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80"/>
      </w:pPr>
    </w:p>
    <w:p>
      <w:pPr>
        <w:ind w:firstLine="480"/>
      </w:pPr>
    </w:p>
    <w:p>
      <w:pPr>
        <w:ind w:firstLine="480"/>
      </w:pPr>
    </w:p>
    <w:p>
      <w:pPr>
        <w:ind w:firstLine="480"/>
      </w:pPr>
    </w:p>
    <w:p>
      <w:pPr>
        <w:spacing w:line="720" w:lineRule="auto"/>
        <w:ind w:firstLine="0" w:firstLineChars="0"/>
        <w:jc w:val="center"/>
        <w:rPr>
          <w:b/>
          <w:bCs/>
          <w:sz w:val="36"/>
          <w:szCs w:val="36"/>
        </w:rPr>
      </w:pPr>
      <w:bookmarkStart w:id="0" w:name="_Toc7744"/>
      <w:bookmarkStart w:id="1" w:name="_Toc24026"/>
      <w:bookmarkStart w:id="2" w:name="_Toc13765"/>
      <w:bookmarkStart w:id="3" w:name="_Toc13412"/>
      <w:bookmarkStart w:id="4" w:name="_Toc11483"/>
      <w:bookmarkStart w:id="5" w:name="_Toc14248"/>
      <w:bookmarkStart w:id="6" w:name="_Toc31129"/>
      <w:bookmarkStart w:id="7" w:name="_Toc29090"/>
      <w:bookmarkStart w:id="8" w:name="_Toc7477"/>
      <w:bookmarkStart w:id="9" w:name="_Toc7721"/>
      <w:bookmarkStart w:id="10" w:name="_Toc20842"/>
      <w:bookmarkStart w:id="11" w:name="_Toc14245"/>
      <w:r>
        <w:rPr>
          <w:rFonts w:hint="eastAsia"/>
          <w:b/>
          <w:bCs/>
          <w:sz w:val="36"/>
          <w:szCs w:val="36"/>
          <w:lang w:val="en-US" w:eastAsia="zh-CN"/>
        </w:rPr>
        <w:t>沅博60万只肉羊精深分割及牛羊预制品加工项目</w:t>
      </w:r>
    </w:p>
    <w:bookmarkEnd w:id="0"/>
    <w:p>
      <w:pPr>
        <w:spacing w:line="720" w:lineRule="auto"/>
        <w:ind w:firstLine="0" w:firstLineChars="0"/>
        <w:jc w:val="center"/>
        <w:rPr>
          <w:b/>
          <w:bCs/>
          <w:sz w:val="72"/>
          <w:szCs w:val="72"/>
        </w:rPr>
      </w:pPr>
      <w:bookmarkStart w:id="12" w:name="_Toc25760"/>
      <w:r>
        <w:rPr>
          <w:b/>
          <w:bCs/>
          <w:sz w:val="72"/>
          <w:szCs w:val="72"/>
        </w:rPr>
        <w:t>环境影响报告书</w:t>
      </w:r>
    </w:p>
    <w:bookmarkEnd w:id="1"/>
    <w:bookmarkEnd w:id="2"/>
    <w:bookmarkEnd w:id="3"/>
    <w:bookmarkEnd w:id="4"/>
    <w:bookmarkEnd w:id="5"/>
    <w:bookmarkEnd w:id="6"/>
    <w:bookmarkEnd w:id="7"/>
    <w:bookmarkEnd w:id="8"/>
    <w:bookmarkEnd w:id="9"/>
    <w:bookmarkEnd w:id="10"/>
    <w:bookmarkEnd w:id="11"/>
    <w:bookmarkEnd w:id="12"/>
    <w:p>
      <w:pPr>
        <w:spacing w:line="720" w:lineRule="auto"/>
        <w:ind w:firstLine="0" w:firstLineChars="0"/>
        <w:jc w:val="center"/>
        <w:rPr>
          <w:b/>
          <w:bCs/>
          <w:sz w:val="36"/>
          <w:szCs w:val="36"/>
        </w:rPr>
      </w:pPr>
      <w:bookmarkStart w:id="13" w:name="_Toc25826"/>
      <w:bookmarkStart w:id="14" w:name="_Toc23070"/>
      <w:bookmarkStart w:id="15" w:name="_Toc19824"/>
      <w:bookmarkStart w:id="16" w:name="_Toc25160"/>
      <w:bookmarkStart w:id="17" w:name="_Toc7686"/>
      <w:bookmarkStart w:id="18" w:name="_Toc30056"/>
      <w:bookmarkStart w:id="19" w:name="_Toc12048"/>
      <w:bookmarkStart w:id="20" w:name="_Toc8117"/>
      <w:bookmarkStart w:id="21" w:name="_Toc24290"/>
      <w:bookmarkStart w:id="22" w:name="_Toc19250"/>
      <w:bookmarkStart w:id="23" w:name="_Toc29029"/>
      <w:r>
        <w:rPr>
          <w:b/>
          <w:bCs/>
          <w:sz w:val="36"/>
          <w:szCs w:val="36"/>
        </w:rPr>
        <w:t>（送审稿）</w:t>
      </w:r>
    </w:p>
    <w:bookmarkEnd w:id="13"/>
    <w:bookmarkEnd w:id="14"/>
    <w:bookmarkEnd w:id="15"/>
    <w:bookmarkEnd w:id="16"/>
    <w:bookmarkEnd w:id="17"/>
    <w:bookmarkEnd w:id="18"/>
    <w:bookmarkEnd w:id="19"/>
    <w:bookmarkEnd w:id="20"/>
    <w:bookmarkEnd w:id="21"/>
    <w:bookmarkEnd w:id="22"/>
    <w:bookmarkEnd w:id="23"/>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pStyle w:val="31"/>
        <w:ind w:firstLine="560"/>
      </w:pPr>
    </w:p>
    <w:p>
      <w:pPr>
        <w:ind w:firstLine="480"/>
      </w:pPr>
    </w:p>
    <w:p>
      <w:pPr>
        <w:ind w:firstLine="480"/>
      </w:pPr>
    </w:p>
    <w:p>
      <w:pPr>
        <w:ind w:firstLine="0" w:firstLineChars="0"/>
        <w:jc w:val="center"/>
        <w:rPr>
          <w:b/>
          <w:bCs/>
          <w:sz w:val="36"/>
          <w:szCs w:val="36"/>
        </w:rPr>
      </w:pPr>
      <w:bookmarkStart w:id="24" w:name="_Toc26350"/>
      <w:bookmarkStart w:id="25" w:name="_Toc25478"/>
      <w:bookmarkStart w:id="26" w:name="_Toc31638"/>
      <w:bookmarkStart w:id="27" w:name="_Toc14432"/>
      <w:bookmarkStart w:id="28" w:name="_Toc7194"/>
      <w:bookmarkStart w:id="29" w:name="_Toc955"/>
      <w:bookmarkStart w:id="30" w:name="_Toc13631"/>
      <w:bookmarkStart w:id="31" w:name="_Toc705"/>
      <w:bookmarkStart w:id="32" w:name="_Toc7457"/>
      <w:bookmarkStart w:id="33" w:name="_Toc27674"/>
      <w:bookmarkStart w:id="34" w:name="_Toc24365"/>
      <w:bookmarkStart w:id="35" w:name="_Toc3769"/>
      <w:r>
        <w:rPr>
          <w:b/>
          <w:bCs/>
          <w:sz w:val="36"/>
          <w:szCs w:val="36"/>
        </w:rPr>
        <w:t>委托单位：</w:t>
      </w:r>
      <w:r>
        <w:rPr>
          <w:rFonts w:hint="eastAsia"/>
          <w:b/>
          <w:bCs/>
          <w:sz w:val="36"/>
          <w:szCs w:val="36"/>
          <w:lang w:val="en-US" w:eastAsia="zh-CN"/>
        </w:rPr>
        <w:t>张掖市沅博农牧产业开发有限公司</w:t>
      </w:r>
    </w:p>
    <w:bookmarkEnd w:id="24"/>
    <w:bookmarkEnd w:id="25"/>
    <w:bookmarkEnd w:id="26"/>
    <w:bookmarkEnd w:id="27"/>
    <w:bookmarkEnd w:id="28"/>
    <w:bookmarkEnd w:id="29"/>
    <w:bookmarkEnd w:id="30"/>
    <w:bookmarkEnd w:id="31"/>
    <w:bookmarkEnd w:id="32"/>
    <w:bookmarkEnd w:id="33"/>
    <w:bookmarkEnd w:id="34"/>
    <w:bookmarkEnd w:id="35"/>
    <w:p>
      <w:pPr>
        <w:ind w:firstLine="0" w:firstLineChars="0"/>
        <w:jc w:val="center"/>
        <w:rPr>
          <w:b/>
          <w:bCs/>
          <w:sz w:val="36"/>
          <w:szCs w:val="36"/>
        </w:rPr>
      </w:pPr>
      <w:bookmarkStart w:id="36" w:name="_Toc2725"/>
      <w:bookmarkStart w:id="37" w:name="_Toc12573"/>
      <w:bookmarkStart w:id="38" w:name="_Toc5447"/>
      <w:bookmarkStart w:id="39" w:name="_Toc6290"/>
      <w:bookmarkStart w:id="40" w:name="_Toc13342"/>
      <w:bookmarkStart w:id="41" w:name="_Toc28239"/>
      <w:bookmarkStart w:id="42" w:name="_Toc32546"/>
      <w:bookmarkStart w:id="43" w:name="_Toc20468"/>
      <w:bookmarkStart w:id="44" w:name="_Toc13540"/>
      <w:bookmarkStart w:id="45" w:name="_Toc9242"/>
      <w:bookmarkStart w:id="46" w:name="_Toc5858"/>
      <w:bookmarkStart w:id="47" w:name="_Toc24559"/>
      <w:r>
        <w:rPr>
          <w:b/>
          <w:bCs/>
          <w:sz w:val="36"/>
          <w:szCs w:val="36"/>
        </w:rPr>
        <w:t>编制单位：甘肃聚泰园环保科技有限公司</w:t>
      </w:r>
    </w:p>
    <w:bookmarkEnd w:id="36"/>
    <w:bookmarkEnd w:id="37"/>
    <w:bookmarkEnd w:id="38"/>
    <w:bookmarkEnd w:id="39"/>
    <w:bookmarkEnd w:id="40"/>
    <w:bookmarkEnd w:id="41"/>
    <w:bookmarkEnd w:id="42"/>
    <w:bookmarkEnd w:id="43"/>
    <w:bookmarkEnd w:id="44"/>
    <w:bookmarkEnd w:id="45"/>
    <w:bookmarkEnd w:id="46"/>
    <w:bookmarkEnd w:id="47"/>
    <w:p>
      <w:pPr>
        <w:ind w:firstLine="0" w:firstLineChars="0"/>
        <w:jc w:val="center"/>
        <w:rPr>
          <w:rStyle w:val="77"/>
          <w:rFonts w:eastAsia="仿宋"/>
          <w:color w:val="000000" w:themeColor="text1"/>
          <w14:textFill>
            <w14:solidFill>
              <w14:schemeClr w14:val="tx1"/>
            </w14:solidFill>
          </w14:textFill>
        </w:rPr>
      </w:pPr>
      <w:bookmarkStart w:id="48" w:name="_Toc15026"/>
      <w:bookmarkStart w:id="49" w:name="_Toc310"/>
      <w:bookmarkStart w:id="50" w:name="_Toc31826"/>
      <w:bookmarkStart w:id="51" w:name="_Toc11266"/>
      <w:bookmarkStart w:id="52" w:name="_Toc31030"/>
      <w:bookmarkStart w:id="53" w:name="_Toc32294"/>
      <w:bookmarkStart w:id="54" w:name="_Toc1813"/>
      <w:bookmarkStart w:id="55" w:name="_Toc952"/>
      <w:bookmarkStart w:id="56" w:name="_Toc30658"/>
      <w:bookmarkStart w:id="57" w:name="_Toc28272"/>
      <w:bookmarkStart w:id="58" w:name="_Toc5799"/>
      <w:bookmarkStart w:id="59" w:name="_Toc10806"/>
      <w:r>
        <w:rPr>
          <w:rFonts w:hint="eastAsia"/>
          <w:b/>
          <w:bCs/>
          <w:sz w:val="36"/>
          <w:szCs w:val="36"/>
        </w:rPr>
        <w:t>202</w:t>
      </w:r>
      <w:r>
        <w:rPr>
          <w:rFonts w:hint="eastAsia"/>
          <w:b/>
          <w:bCs/>
          <w:sz w:val="36"/>
          <w:szCs w:val="36"/>
          <w:lang w:val="en-US" w:eastAsia="zh-CN"/>
        </w:rPr>
        <w:t>3</w:t>
      </w:r>
      <w:r>
        <w:rPr>
          <w:b/>
          <w:bCs/>
          <w:sz w:val="36"/>
          <w:szCs w:val="36"/>
        </w:rPr>
        <w:t>年</w:t>
      </w:r>
      <w:r>
        <w:rPr>
          <w:rFonts w:hint="eastAsia"/>
          <w:b/>
          <w:bCs/>
          <w:sz w:val="36"/>
          <w:szCs w:val="36"/>
          <w:lang w:val="en-US" w:eastAsia="zh-CN"/>
        </w:rPr>
        <w:t>5</w:t>
      </w:r>
      <w:r>
        <w:rPr>
          <w:b/>
          <w:bCs/>
          <w:sz w:val="36"/>
          <w:szCs w:val="36"/>
        </w:rPr>
        <w:t>月</w:t>
      </w:r>
    </w:p>
    <w:bookmarkEnd w:id="48"/>
    <w:bookmarkEnd w:id="49"/>
    <w:bookmarkEnd w:id="50"/>
    <w:bookmarkEnd w:id="51"/>
    <w:bookmarkEnd w:id="52"/>
    <w:bookmarkEnd w:id="53"/>
    <w:bookmarkEnd w:id="54"/>
    <w:bookmarkEnd w:id="55"/>
    <w:bookmarkEnd w:id="56"/>
    <w:bookmarkEnd w:id="57"/>
    <w:bookmarkEnd w:id="58"/>
    <w:bookmarkEnd w:id="59"/>
    <w:p>
      <w:pPr>
        <w:spacing w:line="500" w:lineRule="exact"/>
        <w:ind w:firstLine="640"/>
        <w:rPr>
          <w:rFonts w:eastAsia="仿宋"/>
          <w:color w:val="000000" w:themeColor="text1"/>
          <w:sz w:val="32"/>
          <w:szCs w:val="32"/>
          <w14:textFill>
            <w14:solidFill>
              <w14:schemeClr w14:val="tx1"/>
            </w14:solidFill>
          </w14:textFill>
        </w:rPr>
        <w:sectPr>
          <w:headerReference r:id="rId7"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sdt>
      <w:sdtPr>
        <w:rPr>
          <w:rFonts w:ascii="宋体" w:hAnsi="宋体"/>
          <w:color w:val="000000"/>
          <w:kern w:val="0"/>
          <w:sz w:val="21"/>
        </w:rPr>
        <w:id w:val="147482055"/>
        <w15:color w:val="DBDBDB"/>
        <w:docPartObj>
          <w:docPartGallery w:val="Table of Contents"/>
          <w:docPartUnique/>
        </w:docPartObj>
      </w:sdtPr>
      <w:sdtEndPr>
        <w:rPr>
          <w:rFonts w:ascii="Times New Roman" w:hAnsi="Times New Roman"/>
          <w:color w:val="000000"/>
          <w:kern w:val="0"/>
          <w:sz w:val="24"/>
        </w:rPr>
      </w:sdtEndPr>
      <w:sdtContent>
        <w:p>
          <w:pPr>
            <w:spacing w:line="240" w:lineRule="auto"/>
            <w:ind w:firstLine="0" w:firstLineChars="0"/>
            <w:jc w:val="center"/>
          </w:pPr>
          <w:r>
            <w:rPr>
              <w:rFonts w:ascii="宋体" w:hAnsi="宋体"/>
              <w:sz w:val="21"/>
            </w:rPr>
            <w:t>目录</w:t>
          </w:r>
        </w:p>
        <w:p>
          <w:pPr>
            <w:pStyle w:val="21"/>
            <w:tabs>
              <w:tab w:val="right" w:leader="dot" w:pos="8306"/>
            </w:tabs>
          </w:pPr>
          <w:r>
            <w:fldChar w:fldCharType="begin"/>
          </w:r>
          <w:r>
            <w:instrText xml:space="preserve">TOC \o "1-2" \h \u </w:instrText>
          </w:r>
          <w:r>
            <w:fldChar w:fldCharType="separate"/>
          </w:r>
          <w:r>
            <w:fldChar w:fldCharType="begin"/>
          </w:r>
          <w:r>
            <w:instrText xml:space="preserve"> HYPERLINK \l _Toc934 </w:instrText>
          </w:r>
          <w:r>
            <w:fldChar w:fldCharType="separate"/>
          </w:r>
          <w:r>
            <w:t>概 述</w:t>
          </w:r>
          <w:r>
            <w:tab/>
          </w:r>
          <w:r>
            <w:fldChar w:fldCharType="begin"/>
          </w:r>
          <w:r>
            <w:instrText xml:space="preserve"> PAGEREF _Toc934 \h </w:instrText>
          </w:r>
          <w:r>
            <w:fldChar w:fldCharType="separate"/>
          </w:r>
          <w:r>
            <w:t>1</w:t>
          </w:r>
          <w:r>
            <w:fldChar w:fldCharType="end"/>
          </w:r>
          <w:r>
            <w:fldChar w:fldCharType="end"/>
          </w:r>
        </w:p>
        <w:p>
          <w:pPr>
            <w:pStyle w:val="24"/>
            <w:tabs>
              <w:tab w:val="right" w:leader="dot" w:pos="8306"/>
            </w:tabs>
          </w:pPr>
          <w:r>
            <w:fldChar w:fldCharType="begin"/>
          </w:r>
          <w:r>
            <w:instrText xml:space="preserve"> HYPERLINK \l _Toc726 </w:instrText>
          </w:r>
          <w:r>
            <w:fldChar w:fldCharType="separate"/>
          </w:r>
          <w:r>
            <w:rPr>
              <w:rFonts w:hint="eastAsia"/>
              <w:lang w:val="en-US" w:eastAsia="zh-CN"/>
            </w:rPr>
            <w:t>1</w:t>
          </w:r>
          <w:r>
            <w:t>、项目由来</w:t>
          </w:r>
          <w:r>
            <w:tab/>
          </w:r>
          <w:r>
            <w:fldChar w:fldCharType="begin"/>
          </w:r>
          <w:r>
            <w:instrText xml:space="preserve"> PAGEREF _Toc726 \h </w:instrText>
          </w:r>
          <w:r>
            <w:fldChar w:fldCharType="separate"/>
          </w:r>
          <w:r>
            <w:t>1</w:t>
          </w:r>
          <w:r>
            <w:fldChar w:fldCharType="end"/>
          </w:r>
          <w:r>
            <w:fldChar w:fldCharType="end"/>
          </w:r>
        </w:p>
        <w:p>
          <w:pPr>
            <w:pStyle w:val="24"/>
            <w:tabs>
              <w:tab w:val="right" w:leader="dot" w:pos="8306"/>
            </w:tabs>
          </w:pPr>
          <w:r>
            <w:fldChar w:fldCharType="begin"/>
          </w:r>
          <w:r>
            <w:instrText xml:space="preserve"> HYPERLINK \l _Toc28700 </w:instrText>
          </w:r>
          <w:r>
            <w:fldChar w:fldCharType="separate"/>
          </w:r>
          <w:r>
            <w:rPr>
              <w:rFonts w:hint="eastAsia"/>
              <w:lang w:val="en-US" w:eastAsia="zh-CN"/>
            </w:rPr>
            <w:t>2</w:t>
          </w:r>
          <w:r>
            <w:rPr>
              <w:rFonts w:hint="eastAsia"/>
            </w:rPr>
            <w:t>、</w:t>
          </w:r>
          <w:r>
            <w:t>建设项目概况及特点</w:t>
          </w:r>
          <w:r>
            <w:tab/>
          </w:r>
          <w:r>
            <w:fldChar w:fldCharType="begin"/>
          </w:r>
          <w:r>
            <w:instrText xml:space="preserve"> PAGEREF _Toc28700 \h </w:instrText>
          </w:r>
          <w:r>
            <w:fldChar w:fldCharType="separate"/>
          </w:r>
          <w:r>
            <w:t>1</w:t>
          </w:r>
          <w:r>
            <w:fldChar w:fldCharType="end"/>
          </w:r>
          <w:r>
            <w:fldChar w:fldCharType="end"/>
          </w:r>
        </w:p>
        <w:p>
          <w:pPr>
            <w:pStyle w:val="24"/>
            <w:tabs>
              <w:tab w:val="right" w:leader="dot" w:pos="8306"/>
            </w:tabs>
          </w:pPr>
          <w:r>
            <w:fldChar w:fldCharType="begin"/>
          </w:r>
          <w:r>
            <w:instrText xml:space="preserve"> HYPERLINK \l _Toc1595 </w:instrText>
          </w:r>
          <w:r>
            <w:fldChar w:fldCharType="separate"/>
          </w:r>
          <w:r>
            <w:rPr>
              <w:rFonts w:hint="eastAsia"/>
              <w:lang w:val="en-US" w:eastAsia="zh-CN"/>
            </w:rPr>
            <w:t>3</w:t>
          </w:r>
          <w:r>
            <w:rPr>
              <w:rFonts w:hint="eastAsia"/>
            </w:rPr>
            <w:t>、</w:t>
          </w:r>
          <w:r>
            <w:t>环境影响评价工作过程</w:t>
          </w:r>
          <w:r>
            <w:tab/>
          </w:r>
          <w:r>
            <w:fldChar w:fldCharType="begin"/>
          </w:r>
          <w:r>
            <w:instrText xml:space="preserve"> PAGEREF _Toc1595 \h </w:instrText>
          </w:r>
          <w:r>
            <w:fldChar w:fldCharType="separate"/>
          </w:r>
          <w:r>
            <w:t>2</w:t>
          </w:r>
          <w:r>
            <w:fldChar w:fldCharType="end"/>
          </w:r>
          <w:r>
            <w:fldChar w:fldCharType="end"/>
          </w:r>
        </w:p>
        <w:p>
          <w:pPr>
            <w:pStyle w:val="24"/>
            <w:tabs>
              <w:tab w:val="right" w:leader="dot" w:pos="8306"/>
            </w:tabs>
          </w:pPr>
          <w:r>
            <w:fldChar w:fldCharType="begin"/>
          </w:r>
          <w:r>
            <w:instrText xml:space="preserve"> HYPERLINK \l _Toc9883 </w:instrText>
          </w:r>
          <w:r>
            <w:fldChar w:fldCharType="separate"/>
          </w:r>
          <w:r>
            <w:rPr>
              <w:rFonts w:hint="eastAsia"/>
              <w:lang w:val="en-US" w:eastAsia="zh-CN"/>
            </w:rPr>
            <w:t>4</w:t>
          </w:r>
          <w:r>
            <w:t>、分析判定相关情况</w:t>
          </w:r>
          <w:r>
            <w:tab/>
          </w:r>
          <w:r>
            <w:fldChar w:fldCharType="begin"/>
          </w:r>
          <w:r>
            <w:instrText xml:space="preserve"> PAGEREF _Toc9883 \h </w:instrText>
          </w:r>
          <w:r>
            <w:fldChar w:fldCharType="separate"/>
          </w:r>
          <w:r>
            <w:t>3</w:t>
          </w:r>
          <w:r>
            <w:fldChar w:fldCharType="end"/>
          </w:r>
          <w:r>
            <w:fldChar w:fldCharType="end"/>
          </w:r>
        </w:p>
        <w:p>
          <w:pPr>
            <w:pStyle w:val="24"/>
            <w:tabs>
              <w:tab w:val="right" w:leader="dot" w:pos="8306"/>
            </w:tabs>
          </w:pPr>
          <w:r>
            <w:fldChar w:fldCharType="begin"/>
          </w:r>
          <w:r>
            <w:instrText xml:space="preserve"> HYPERLINK \l _Toc21775 </w:instrText>
          </w:r>
          <w:r>
            <w:fldChar w:fldCharType="separate"/>
          </w:r>
          <w:r>
            <w:rPr>
              <w:rFonts w:hint="eastAsia"/>
              <w:lang w:val="en-US" w:eastAsia="zh-CN"/>
            </w:rPr>
            <w:t>5</w:t>
          </w:r>
          <w:r>
            <w:rPr>
              <w:rFonts w:hint="eastAsia"/>
            </w:rPr>
            <w:t>、</w:t>
          </w:r>
          <w:r>
            <w:t>关注的主要环境问题</w:t>
          </w:r>
          <w:r>
            <w:tab/>
          </w:r>
          <w:r>
            <w:fldChar w:fldCharType="begin"/>
          </w:r>
          <w:r>
            <w:instrText xml:space="preserve"> PAGEREF _Toc21775 \h </w:instrText>
          </w:r>
          <w:r>
            <w:fldChar w:fldCharType="separate"/>
          </w:r>
          <w:r>
            <w:t>4</w:t>
          </w:r>
          <w:r>
            <w:fldChar w:fldCharType="end"/>
          </w:r>
          <w:r>
            <w:fldChar w:fldCharType="end"/>
          </w:r>
        </w:p>
        <w:p>
          <w:pPr>
            <w:pStyle w:val="24"/>
            <w:tabs>
              <w:tab w:val="right" w:leader="dot" w:pos="8306"/>
            </w:tabs>
          </w:pPr>
          <w:r>
            <w:fldChar w:fldCharType="begin"/>
          </w:r>
          <w:r>
            <w:instrText xml:space="preserve"> HYPERLINK \l _Toc2264 </w:instrText>
          </w:r>
          <w:r>
            <w:fldChar w:fldCharType="separate"/>
          </w:r>
          <w:r>
            <w:rPr>
              <w:rFonts w:hint="eastAsia"/>
              <w:lang w:val="en-US" w:eastAsia="zh-CN"/>
            </w:rPr>
            <w:t>6</w:t>
          </w:r>
          <w:r>
            <w:rPr>
              <w:rFonts w:hint="eastAsia"/>
            </w:rPr>
            <w:t>、</w:t>
          </w:r>
          <w:r>
            <w:t>环境影响报告书的主要结论</w:t>
          </w:r>
          <w:r>
            <w:tab/>
          </w:r>
          <w:r>
            <w:fldChar w:fldCharType="begin"/>
          </w:r>
          <w:r>
            <w:instrText xml:space="preserve"> PAGEREF _Toc2264 \h </w:instrText>
          </w:r>
          <w:r>
            <w:fldChar w:fldCharType="separate"/>
          </w:r>
          <w:r>
            <w:t>5</w:t>
          </w:r>
          <w:r>
            <w:fldChar w:fldCharType="end"/>
          </w:r>
          <w:r>
            <w:fldChar w:fldCharType="end"/>
          </w:r>
        </w:p>
        <w:p>
          <w:pPr>
            <w:pStyle w:val="21"/>
            <w:tabs>
              <w:tab w:val="right" w:leader="dot" w:pos="8306"/>
            </w:tabs>
          </w:pPr>
          <w:r>
            <w:fldChar w:fldCharType="begin"/>
          </w:r>
          <w:r>
            <w:instrText xml:space="preserve"> HYPERLINK \l _Toc3010 </w:instrText>
          </w:r>
          <w:r>
            <w:fldChar w:fldCharType="separate"/>
          </w:r>
          <w:r>
            <w:t>1</w:t>
          </w:r>
          <w:r>
            <w:rPr>
              <w:rFonts w:hint="eastAsia"/>
            </w:rPr>
            <w:t>、</w:t>
          </w:r>
          <w:r>
            <w:t>总则</w:t>
          </w:r>
          <w:r>
            <w:tab/>
          </w:r>
          <w:r>
            <w:fldChar w:fldCharType="begin"/>
          </w:r>
          <w:r>
            <w:instrText xml:space="preserve"> PAGEREF _Toc3010 \h </w:instrText>
          </w:r>
          <w:r>
            <w:fldChar w:fldCharType="separate"/>
          </w:r>
          <w:r>
            <w:t>7</w:t>
          </w:r>
          <w:r>
            <w:fldChar w:fldCharType="end"/>
          </w:r>
          <w:r>
            <w:fldChar w:fldCharType="end"/>
          </w:r>
        </w:p>
        <w:p>
          <w:pPr>
            <w:pStyle w:val="24"/>
            <w:tabs>
              <w:tab w:val="right" w:leader="dot" w:pos="8306"/>
            </w:tabs>
          </w:pPr>
          <w:r>
            <w:fldChar w:fldCharType="begin"/>
          </w:r>
          <w:r>
            <w:instrText xml:space="preserve"> HYPERLINK \l _Toc21793 </w:instrText>
          </w:r>
          <w:r>
            <w:fldChar w:fldCharType="separate"/>
          </w:r>
          <w:r>
            <w:t>1.1</w:t>
          </w:r>
          <w:r>
            <w:rPr>
              <w:rFonts w:hint="eastAsia"/>
            </w:rPr>
            <w:t>、</w:t>
          </w:r>
          <w:r>
            <w:t>编制依据</w:t>
          </w:r>
          <w:r>
            <w:tab/>
          </w:r>
          <w:r>
            <w:fldChar w:fldCharType="begin"/>
          </w:r>
          <w:r>
            <w:instrText xml:space="preserve"> PAGEREF _Toc21793 \h </w:instrText>
          </w:r>
          <w:r>
            <w:fldChar w:fldCharType="separate"/>
          </w:r>
          <w:r>
            <w:t>7</w:t>
          </w:r>
          <w:r>
            <w:fldChar w:fldCharType="end"/>
          </w:r>
          <w:r>
            <w:fldChar w:fldCharType="end"/>
          </w:r>
        </w:p>
        <w:p>
          <w:pPr>
            <w:pStyle w:val="24"/>
            <w:tabs>
              <w:tab w:val="right" w:leader="dot" w:pos="8306"/>
            </w:tabs>
          </w:pPr>
          <w:r>
            <w:fldChar w:fldCharType="begin"/>
          </w:r>
          <w:r>
            <w:instrText xml:space="preserve"> HYPERLINK \l _Toc15327 </w:instrText>
          </w:r>
          <w:r>
            <w:fldChar w:fldCharType="separate"/>
          </w:r>
          <w:r>
            <w:t>1.2</w:t>
          </w:r>
          <w:r>
            <w:rPr>
              <w:rFonts w:hint="eastAsia"/>
            </w:rPr>
            <w:t>、</w:t>
          </w:r>
          <w:r>
            <w:t>评价目的与指导思想</w:t>
          </w:r>
          <w:r>
            <w:tab/>
          </w:r>
          <w:r>
            <w:fldChar w:fldCharType="begin"/>
          </w:r>
          <w:r>
            <w:instrText xml:space="preserve"> PAGEREF _Toc15327 \h </w:instrText>
          </w:r>
          <w:r>
            <w:fldChar w:fldCharType="separate"/>
          </w:r>
          <w:r>
            <w:t>12</w:t>
          </w:r>
          <w:r>
            <w:fldChar w:fldCharType="end"/>
          </w:r>
          <w:r>
            <w:fldChar w:fldCharType="end"/>
          </w:r>
        </w:p>
        <w:p>
          <w:pPr>
            <w:pStyle w:val="24"/>
            <w:tabs>
              <w:tab w:val="right" w:leader="dot" w:pos="8306"/>
            </w:tabs>
          </w:pPr>
          <w:r>
            <w:fldChar w:fldCharType="begin"/>
          </w:r>
          <w:r>
            <w:instrText xml:space="preserve"> HYPERLINK \l _Toc11165 </w:instrText>
          </w:r>
          <w:r>
            <w:fldChar w:fldCharType="separate"/>
          </w:r>
          <w:r>
            <w:t>1.3</w:t>
          </w:r>
          <w:r>
            <w:rPr>
              <w:rFonts w:hint="eastAsia"/>
            </w:rPr>
            <w:t>、</w:t>
          </w:r>
          <w:r>
            <w:t>评价内容</w:t>
          </w:r>
          <w:r>
            <w:tab/>
          </w:r>
          <w:r>
            <w:fldChar w:fldCharType="begin"/>
          </w:r>
          <w:r>
            <w:instrText xml:space="preserve"> PAGEREF _Toc11165 \h </w:instrText>
          </w:r>
          <w:r>
            <w:fldChar w:fldCharType="separate"/>
          </w:r>
          <w:r>
            <w:t>13</w:t>
          </w:r>
          <w:r>
            <w:fldChar w:fldCharType="end"/>
          </w:r>
          <w:r>
            <w:fldChar w:fldCharType="end"/>
          </w:r>
        </w:p>
        <w:p>
          <w:pPr>
            <w:pStyle w:val="24"/>
            <w:tabs>
              <w:tab w:val="right" w:leader="dot" w:pos="8306"/>
            </w:tabs>
          </w:pPr>
          <w:r>
            <w:fldChar w:fldCharType="begin"/>
          </w:r>
          <w:r>
            <w:instrText xml:space="preserve"> HYPERLINK \l _Toc32289 </w:instrText>
          </w:r>
          <w:r>
            <w:fldChar w:fldCharType="separate"/>
          </w:r>
          <w:r>
            <w:t>1.4</w:t>
          </w:r>
          <w:r>
            <w:rPr>
              <w:rFonts w:hint="eastAsia"/>
            </w:rPr>
            <w:t>、</w:t>
          </w:r>
          <w:r>
            <w:t>环境功能区划</w:t>
          </w:r>
          <w:r>
            <w:tab/>
          </w:r>
          <w:r>
            <w:fldChar w:fldCharType="begin"/>
          </w:r>
          <w:r>
            <w:instrText xml:space="preserve"> PAGEREF _Toc32289 \h </w:instrText>
          </w:r>
          <w:r>
            <w:fldChar w:fldCharType="separate"/>
          </w:r>
          <w:r>
            <w:t>13</w:t>
          </w:r>
          <w:r>
            <w:fldChar w:fldCharType="end"/>
          </w:r>
          <w:r>
            <w:fldChar w:fldCharType="end"/>
          </w:r>
        </w:p>
        <w:p>
          <w:pPr>
            <w:pStyle w:val="24"/>
            <w:tabs>
              <w:tab w:val="right" w:leader="dot" w:pos="8306"/>
            </w:tabs>
          </w:pPr>
          <w:r>
            <w:fldChar w:fldCharType="begin"/>
          </w:r>
          <w:r>
            <w:instrText xml:space="preserve"> HYPERLINK \l _Toc3691 </w:instrText>
          </w:r>
          <w:r>
            <w:fldChar w:fldCharType="separate"/>
          </w:r>
          <w:r>
            <w:t>1.5</w:t>
          </w:r>
          <w:r>
            <w:rPr>
              <w:rFonts w:hint="eastAsia"/>
            </w:rPr>
            <w:t>、</w:t>
          </w:r>
          <w:r>
            <w:t>评价因子及评价标准</w:t>
          </w:r>
          <w:r>
            <w:tab/>
          </w:r>
          <w:r>
            <w:fldChar w:fldCharType="begin"/>
          </w:r>
          <w:r>
            <w:instrText xml:space="preserve"> PAGEREF _Toc3691 \h </w:instrText>
          </w:r>
          <w:r>
            <w:fldChar w:fldCharType="separate"/>
          </w:r>
          <w:r>
            <w:t>14</w:t>
          </w:r>
          <w:r>
            <w:fldChar w:fldCharType="end"/>
          </w:r>
          <w:r>
            <w:fldChar w:fldCharType="end"/>
          </w:r>
        </w:p>
        <w:p>
          <w:pPr>
            <w:pStyle w:val="24"/>
            <w:tabs>
              <w:tab w:val="right" w:leader="dot" w:pos="8306"/>
            </w:tabs>
          </w:pPr>
          <w:r>
            <w:fldChar w:fldCharType="begin"/>
          </w:r>
          <w:r>
            <w:instrText xml:space="preserve"> HYPERLINK \l _Toc15736 </w:instrText>
          </w:r>
          <w:r>
            <w:fldChar w:fldCharType="separate"/>
          </w:r>
          <w:r>
            <w:t>1.6</w:t>
          </w:r>
          <w:r>
            <w:rPr>
              <w:rFonts w:hint="eastAsia"/>
            </w:rPr>
            <w:t>、</w:t>
          </w:r>
          <w:r>
            <w:t>评级工作等级及评价范围</w:t>
          </w:r>
          <w:r>
            <w:tab/>
          </w:r>
          <w:r>
            <w:fldChar w:fldCharType="begin"/>
          </w:r>
          <w:r>
            <w:instrText xml:space="preserve"> PAGEREF _Toc15736 \h </w:instrText>
          </w:r>
          <w:r>
            <w:fldChar w:fldCharType="separate"/>
          </w:r>
          <w:r>
            <w:t>21</w:t>
          </w:r>
          <w:r>
            <w:fldChar w:fldCharType="end"/>
          </w:r>
          <w:r>
            <w:fldChar w:fldCharType="end"/>
          </w:r>
        </w:p>
        <w:p>
          <w:pPr>
            <w:pStyle w:val="24"/>
            <w:tabs>
              <w:tab w:val="right" w:leader="dot" w:pos="8306"/>
            </w:tabs>
          </w:pPr>
          <w:r>
            <w:fldChar w:fldCharType="begin"/>
          </w:r>
          <w:r>
            <w:instrText xml:space="preserve"> HYPERLINK \l _Toc27200 </w:instrText>
          </w:r>
          <w:r>
            <w:fldChar w:fldCharType="separate"/>
          </w:r>
          <w:r>
            <w:t>1.7</w:t>
          </w:r>
          <w:r>
            <w:rPr>
              <w:rFonts w:hint="eastAsia"/>
            </w:rPr>
            <w:t>、</w:t>
          </w:r>
          <w:r>
            <w:t>评价时段</w:t>
          </w:r>
          <w:r>
            <w:tab/>
          </w:r>
          <w:r>
            <w:fldChar w:fldCharType="begin"/>
          </w:r>
          <w:r>
            <w:instrText xml:space="preserve"> PAGEREF _Toc27200 \h </w:instrText>
          </w:r>
          <w:r>
            <w:fldChar w:fldCharType="separate"/>
          </w:r>
          <w:r>
            <w:t>28</w:t>
          </w:r>
          <w:r>
            <w:fldChar w:fldCharType="end"/>
          </w:r>
          <w:r>
            <w:fldChar w:fldCharType="end"/>
          </w:r>
        </w:p>
        <w:p>
          <w:pPr>
            <w:pStyle w:val="24"/>
            <w:tabs>
              <w:tab w:val="right" w:leader="dot" w:pos="8306"/>
            </w:tabs>
          </w:pPr>
          <w:r>
            <w:fldChar w:fldCharType="begin"/>
          </w:r>
          <w:r>
            <w:instrText xml:space="preserve"> HYPERLINK \l _Toc26889 </w:instrText>
          </w:r>
          <w:r>
            <w:fldChar w:fldCharType="separate"/>
          </w:r>
          <w:r>
            <w:t>1.8</w:t>
          </w:r>
          <w:r>
            <w:rPr>
              <w:rFonts w:hint="eastAsia"/>
            </w:rPr>
            <w:t>、</w:t>
          </w:r>
          <w:r>
            <w:t>主要环境保护目标及环境敏感点</w:t>
          </w:r>
          <w:r>
            <w:tab/>
          </w:r>
          <w:r>
            <w:fldChar w:fldCharType="begin"/>
          </w:r>
          <w:r>
            <w:instrText xml:space="preserve"> PAGEREF _Toc26889 \h </w:instrText>
          </w:r>
          <w:r>
            <w:fldChar w:fldCharType="separate"/>
          </w:r>
          <w:r>
            <w:t>28</w:t>
          </w:r>
          <w:r>
            <w:fldChar w:fldCharType="end"/>
          </w:r>
          <w:r>
            <w:fldChar w:fldCharType="end"/>
          </w:r>
        </w:p>
        <w:p>
          <w:pPr>
            <w:pStyle w:val="21"/>
            <w:tabs>
              <w:tab w:val="right" w:leader="dot" w:pos="8306"/>
            </w:tabs>
          </w:pPr>
          <w:r>
            <w:fldChar w:fldCharType="begin"/>
          </w:r>
          <w:r>
            <w:instrText xml:space="preserve"> HYPERLINK \l _Toc1151 </w:instrText>
          </w:r>
          <w:r>
            <w:fldChar w:fldCharType="separate"/>
          </w:r>
          <w:r>
            <w:t>2</w:t>
          </w:r>
          <w:r>
            <w:rPr>
              <w:rFonts w:hint="eastAsia"/>
            </w:rPr>
            <w:t>、</w:t>
          </w:r>
          <w:r>
            <w:rPr>
              <w:rFonts w:hint="eastAsia"/>
              <w:lang w:val="en-US" w:eastAsia="zh-CN"/>
            </w:rPr>
            <w:t>现有工程</w:t>
          </w:r>
          <w:r>
            <w:tab/>
          </w:r>
          <w:r>
            <w:fldChar w:fldCharType="begin"/>
          </w:r>
          <w:r>
            <w:instrText xml:space="preserve"> PAGEREF _Toc1151 \h </w:instrText>
          </w:r>
          <w:r>
            <w:fldChar w:fldCharType="separate"/>
          </w:r>
          <w:r>
            <w:t>30</w:t>
          </w:r>
          <w:r>
            <w:fldChar w:fldCharType="end"/>
          </w:r>
          <w:r>
            <w:fldChar w:fldCharType="end"/>
          </w:r>
        </w:p>
        <w:p>
          <w:pPr>
            <w:pStyle w:val="24"/>
            <w:tabs>
              <w:tab w:val="right" w:leader="dot" w:pos="8306"/>
            </w:tabs>
          </w:pPr>
          <w:r>
            <w:fldChar w:fldCharType="begin"/>
          </w:r>
          <w:r>
            <w:instrText xml:space="preserve"> HYPERLINK \l _Toc13597 </w:instrText>
          </w:r>
          <w:r>
            <w:fldChar w:fldCharType="separate"/>
          </w:r>
          <w:r>
            <w:rPr>
              <w:rFonts w:hint="eastAsia"/>
              <w:lang w:val="en-US" w:eastAsia="zh-CN"/>
            </w:rPr>
            <w:t>2.1、公司简介</w:t>
          </w:r>
          <w:r>
            <w:tab/>
          </w:r>
          <w:r>
            <w:fldChar w:fldCharType="begin"/>
          </w:r>
          <w:r>
            <w:instrText xml:space="preserve"> PAGEREF _Toc13597 \h </w:instrText>
          </w:r>
          <w:r>
            <w:fldChar w:fldCharType="separate"/>
          </w:r>
          <w:r>
            <w:t>30</w:t>
          </w:r>
          <w:r>
            <w:fldChar w:fldCharType="end"/>
          </w:r>
          <w:r>
            <w:fldChar w:fldCharType="end"/>
          </w:r>
        </w:p>
        <w:p>
          <w:pPr>
            <w:pStyle w:val="24"/>
            <w:tabs>
              <w:tab w:val="right" w:leader="dot" w:pos="8306"/>
            </w:tabs>
          </w:pPr>
          <w:r>
            <w:fldChar w:fldCharType="begin"/>
          </w:r>
          <w:r>
            <w:instrText xml:space="preserve"> HYPERLINK \l _Toc31473 </w:instrText>
          </w:r>
          <w:r>
            <w:fldChar w:fldCharType="separate"/>
          </w:r>
          <w:r>
            <w:rPr>
              <w:rFonts w:hint="eastAsia"/>
            </w:rPr>
            <w:t>2.</w:t>
          </w:r>
          <w:r>
            <w:rPr>
              <w:rFonts w:hint="eastAsia"/>
              <w:lang w:val="en-US" w:eastAsia="zh-CN"/>
            </w:rPr>
            <w:t>2</w:t>
          </w:r>
          <w:r>
            <w:rPr>
              <w:rFonts w:hint="eastAsia"/>
              <w:lang w:eastAsia="zh-CN"/>
            </w:rPr>
            <w:t>、</w:t>
          </w:r>
          <w:r>
            <w:rPr>
              <w:rFonts w:hint="eastAsia"/>
              <w:lang w:val="en-US" w:eastAsia="zh-CN"/>
            </w:rPr>
            <w:t>现有工程</w:t>
          </w:r>
          <w:r>
            <w:rPr>
              <w:rFonts w:hint="eastAsia"/>
            </w:rPr>
            <w:t>环保手续履行情况</w:t>
          </w:r>
          <w:r>
            <w:tab/>
          </w:r>
          <w:r>
            <w:fldChar w:fldCharType="begin"/>
          </w:r>
          <w:r>
            <w:instrText xml:space="preserve"> PAGEREF _Toc31473 \h </w:instrText>
          </w:r>
          <w:r>
            <w:fldChar w:fldCharType="separate"/>
          </w:r>
          <w:r>
            <w:t>30</w:t>
          </w:r>
          <w:r>
            <w:fldChar w:fldCharType="end"/>
          </w:r>
          <w:r>
            <w:fldChar w:fldCharType="end"/>
          </w:r>
        </w:p>
        <w:p>
          <w:pPr>
            <w:pStyle w:val="24"/>
            <w:tabs>
              <w:tab w:val="right" w:leader="dot" w:pos="8306"/>
            </w:tabs>
          </w:pPr>
          <w:r>
            <w:fldChar w:fldCharType="begin"/>
          </w:r>
          <w:r>
            <w:instrText xml:space="preserve"> HYPERLINK \l _Toc16473 </w:instrText>
          </w:r>
          <w:r>
            <w:fldChar w:fldCharType="separate"/>
          </w:r>
          <w:r>
            <w:t>2.</w:t>
          </w:r>
          <w:r>
            <w:rPr>
              <w:rFonts w:hint="eastAsia"/>
              <w:lang w:val="en-US" w:eastAsia="zh-CN"/>
            </w:rPr>
            <w:t>3</w:t>
          </w:r>
          <w:r>
            <w:rPr>
              <w:rFonts w:hint="eastAsia"/>
              <w:lang w:eastAsia="zh-CN"/>
            </w:rPr>
            <w:t>、</w:t>
          </w:r>
          <w:r>
            <w:t>现有工程概况</w:t>
          </w:r>
          <w:r>
            <w:tab/>
          </w:r>
          <w:r>
            <w:fldChar w:fldCharType="begin"/>
          </w:r>
          <w:r>
            <w:instrText xml:space="preserve"> PAGEREF _Toc16473 \h </w:instrText>
          </w:r>
          <w:r>
            <w:fldChar w:fldCharType="separate"/>
          </w:r>
          <w:r>
            <w:t>31</w:t>
          </w:r>
          <w:r>
            <w:fldChar w:fldCharType="end"/>
          </w:r>
          <w:r>
            <w:fldChar w:fldCharType="end"/>
          </w:r>
        </w:p>
        <w:p>
          <w:pPr>
            <w:pStyle w:val="24"/>
            <w:tabs>
              <w:tab w:val="right" w:leader="dot" w:pos="8306"/>
            </w:tabs>
          </w:pPr>
          <w:r>
            <w:fldChar w:fldCharType="begin"/>
          </w:r>
          <w:r>
            <w:instrText xml:space="preserve"> HYPERLINK \l _Toc4518 </w:instrText>
          </w:r>
          <w:r>
            <w:fldChar w:fldCharType="separate"/>
          </w:r>
          <w:r>
            <w:rPr>
              <w:rFonts w:hint="eastAsia"/>
              <w:lang w:val="en-US" w:eastAsia="zh-CN"/>
            </w:rPr>
            <w:t>2.4、现有工程</w:t>
          </w:r>
          <w:r>
            <w:t>主要</w:t>
          </w:r>
          <w:r>
            <w:rPr>
              <w:rFonts w:hint="eastAsia"/>
              <w:lang w:val="en-US" w:eastAsia="zh-CN"/>
            </w:rPr>
            <w:t>的</w:t>
          </w:r>
          <w:r>
            <w:t>原辅材料消耗</w:t>
          </w:r>
          <w:r>
            <w:tab/>
          </w:r>
          <w:r>
            <w:fldChar w:fldCharType="begin"/>
          </w:r>
          <w:r>
            <w:instrText xml:space="preserve"> PAGEREF _Toc4518 \h </w:instrText>
          </w:r>
          <w:r>
            <w:fldChar w:fldCharType="separate"/>
          </w:r>
          <w:r>
            <w:t>34</w:t>
          </w:r>
          <w:r>
            <w:fldChar w:fldCharType="end"/>
          </w:r>
          <w:r>
            <w:fldChar w:fldCharType="end"/>
          </w:r>
        </w:p>
        <w:p>
          <w:pPr>
            <w:pStyle w:val="24"/>
            <w:tabs>
              <w:tab w:val="right" w:leader="dot" w:pos="8306"/>
            </w:tabs>
          </w:pPr>
          <w:r>
            <w:fldChar w:fldCharType="begin"/>
          </w:r>
          <w:r>
            <w:instrText xml:space="preserve"> HYPERLINK \l _Toc18082 </w:instrText>
          </w:r>
          <w:r>
            <w:fldChar w:fldCharType="separate"/>
          </w:r>
          <w:r>
            <w:t>2.</w:t>
          </w:r>
          <w:r>
            <w:rPr>
              <w:rFonts w:hint="eastAsia"/>
              <w:lang w:val="en-US" w:eastAsia="zh-CN"/>
            </w:rPr>
            <w:t>5</w:t>
          </w:r>
          <w:r>
            <w:rPr>
              <w:rFonts w:hint="eastAsia"/>
              <w:lang w:eastAsia="zh-CN"/>
            </w:rPr>
            <w:t>、</w:t>
          </w:r>
          <w:r>
            <w:t>现有工程</w:t>
          </w:r>
          <w:r>
            <w:rPr>
              <w:rFonts w:hint="eastAsia"/>
            </w:rPr>
            <w:t>产品方案</w:t>
          </w:r>
          <w:r>
            <w:tab/>
          </w:r>
          <w:r>
            <w:fldChar w:fldCharType="begin"/>
          </w:r>
          <w:r>
            <w:instrText xml:space="preserve"> PAGEREF _Toc18082 \h </w:instrText>
          </w:r>
          <w:r>
            <w:fldChar w:fldCharType="separate"/>
          </w:r>
          <w:r>
            <w:t>35</w:t>
          </w:r>
          <w:r>
            <w:fldChar w:fldCharType="end"/>
          </w:r>
          <w:r>
            <w:fldChar w:fldCharType="end"/>
          </w:r>
        </w:p>
        <w:p>
          <w:pPr>
            <w:pStyle w:val="24"/>
            <w:tabs>
              <w:tab w:val="right" w:leader="dot" w:pos="8306"/>
            </w:tabs>
          </w:pPr>
          <w:r>
            <w:fldChar w:fldCharType="begin"/>
          </w:r>
          <w:r>
            <w:instrText xml:space="preserve"> HYPERLINK \l _Toc17591 </w:instrText>
          </w:r>
          <w:r>
            <w:fldChar w:fldCharType="separate"/>
          </w:r>
          <w:r>
            <w:t>2.</w:t>
          </w:r>
          <w:r>
            <w:rPr>
              <w:rFonts w:hint="eastAsia"/>
              <w:lang w:val="en-US" w:eastAsia="zh-CN"/>
            </w:rPr>
            <w:t>6、现有工程</w:t>
          </w:r>
          <w:r>
            <w:t>主要</w:t>
          </w:r>
          <w:r>
            <w:rPr>
              <w:rFonts w:hint="eastAsia"/>
              <w:lang w:val="en-US" w:eastAsia="zh-CN"/>
            </w:rPr>
            <w:t>的</w:t>
          </w:r>
          <w:r>
            <w:t>生产设备</w:t>
          </w:r>
          <w:r>
            <w:tab/>
          </w:r>
          <w:r>
            <w:fldChar w:fldCharType="begin"/>
          </w:r>
          <w:r>
            <w:instrText xml:space="preserve"> PAGEREF _Toc17591 \h </w:instrText>
          </w:r>
          <w:r>
            <w:fldChar w:fldCharType="separate"/>
          </w:r>
          <w:r>
            <w:t>36</w:t>
          </w:r>
          <w:r>
            <w:fldChar w:fldCharType="end"/>
          </w:r>
          <w:r>
            <w:fldChar w:fldCharType="end"/>
          </w:r>
        </w:p>
        <w:p>
          <w:pPr>
            <w:pStyle w:val="24"/>
            <w:tabs>
              <w:tab w:val="right" w:leader="dot" w:pos="8306"/>
            </w:tabs>
          </w:pPr>
          <w:r>
            <w:fldChar w:fldCharType="begin"/>
          </w:r>
          <w:r>
            <w:instrText xml:space="preserve"> HYPERLINK \l _Toc27725 </w:instrText>
          </w:r>
          <w:r>
            <w:fldChar w:fldCharType="separate"/>
          </w:r>
          <w:r>
            <w:t>2.</w:t>
          </w:r>
          <w:r>
            <w:rPr>
              <w:rFonts w:hint="eastAsia"/>
              <w:lang w:val="en-US" w:eastAsia="zh-CN"/>
            </w:rPr>
            <w:t>7</w:t>
          </w:r>
          <w:r>
            <w:rPr>
              <w:rFonts w:hint="eastAsia"/>
              <w:lang w:eastAsia="zh-CN"/>
            </w:rPr>
            <w:t>、</w:t>
          </w:r>
          <w:r>
            <w:t>公用工程</w:t>
          </w:r>
          <w:r>
            <w:tab/>
          </w:r>
          <w:r>
            <w:fldChar w:fldCharType="begin"/>
          </w:r>
          <w:r>
            <w:instrText xml:space="preserve"> PAGEREF _Toc27725 \h </w:instrText>
          </w:r>
          <w:r>
            <w:fldChar w:fldCharType="separate"/>
          </w:r>
          <w:r>
            <w:t>41</w:t>
          </w:r>
          <w:r>
            <w:fldChar w:fldCharType="end"/>
          </w:r>
          <w:r>
            <w:fldChar w:fldCharType="end"/>
          </w:r>
        </w:p>
        <w:p>
          <w:pPr>
            <w:pStyle w:val="24"/>
            <w:tabs>
              <w:tab w:val="right" w:leader="dot" w:pos="8306"/>
            </w:tabs>
          </w:pPr>
          <w:r>
            <w:fldChar w:fldCharType="begin"/>
          </w:r>
          <w:r>
            <w:instrText xml:space="preserve"> HYPERLINK \l _Toc25919 </w:instrText>
          </w:r>
          <w:r>
            <w:fldChar w:fldCharType="separate"/>
          </w:r>
          <w:r>
            <w:rPr>
              <w:rFonts w:hint="eastAsia"/>
              <w:lang w:val="en-US" w:eastAsia="zh-CN"/>
            </w:rPr>
            <w:t>2.8、总平面布置</w:t>
          </w:r>
          <w:r>
            <w:tab/>
          </w:r>
          <w:r>
            <w:fldChar w:fldCharType="begin"/>
          </w:r>
          <w:r>
            <w:instrText xml:space="preserve"> PAGEREF _Toc25919 \h </w:instrText>
          </w:r>
          <w:r>
            <w:fldChar w:fldCharType="separate"/>
          </w:r>
          <w:r>
            <w:t>42</w:t>
          </w:r>
          <w:r>
            <w:fldChar w:fldCharType="end"/>
          </w:r>
          <w:r>
            <w:fldChar w:fldCharType="end"/>
          </w:r>
        </w:p>
        <w:p>
          <w:pPr>
            <w:pStyle w:val="24"/>
            <w:tabs>
              <w:tab w:val="right" w:leader="dot" w:pos="8306"/>
            </w:tabs>
          </w:pPr>
          <w:r>
            <w:fldChar w:fldCharType="begin"/>
          </w:r>
          <w:r>
            <w:instrText xml:space="preserve"> HYPERLINK \l _Toc27576 </w:instrText>
          </w:r>
          <w:r>
            <w:fldChar w:fldCharType="separate"/>
          </w:r>
          <w:r>
            <w:t>2.</w:t>
          </w:r>
          <w:r>
            <w:rPr>
              <w:rFonts w:hint="eastAsia"/>
              <w:lang w:val="en-US" w:eastAsia="zh-CN"/>
            </w:rPr>
            <w:t>9、</w:t>
          </w:r>
          <w:r>
            <w:t>工艺流程及排污节点</w:t>
          </w:r>
          <w:r>
            <w:tab/>
          </w:r>
          <w:r>
            <w:fldChar w:fldCharType="begin"/>
          </w:r>
          <w:r>
            <w:instrText xml:space="preserve"> PAGEREF _Toc27576 \h </w:instrText>
          </w:r>
          <w:r>
            <w:fldChar w:fldCharType="separate"/>
          </w:r>
          <w:r>
            <w:t>42</w:t>
          </w:r>
          <w:r>
            <w:fldChar w:fldCharType="end"/>
          </w:r>
          <w:r>
            <w:fldChar w:fldCharType="end"/>
          </w:r>
        </w:p>
        <w:p>
          <w:pPr>
            <w:pStyle w:val="24"/>
            <w:tabs>
              <w:tab w:val="right" w:leader="dot" w:pos="8306"/>
            </w:tabs>
          </w:pPr>
          <w:r>
            <w:fldChar w:fldCharType="begin"/>
          </w:r>
          <w:r>
            <w:instrText xml:space="preserve"> HYPERLINK \l _Toc782 </w:instrText>
          </w:r>
          <w:r>
            <w:fldChar w:fldCharType="separate"/>
          </w:r>
          <w:r>
            <w:t>2.</w:t>
          </w:r>
          <w:r>
            <w:rPr>
              <w:rFonts w:hint="eastAsia"/>
              <w:lang w:val="en-US" w:eastAsia="zh-CN"/>
            </w:rPr>
            <w:t>10</w:t>
          </w:r>
          <w:r>
            <w:rPr>
              <w:rFonts w:hint="eastAsia"/>
              <w:lang w:eastAsia="zh-CN"/>
            </w:rPr>
            <w:t>、</w:t>
          </w:r>
          <w:r>
            <w:t>现有工程污染源及治理措施</w:t>
          </w:r>
          <w:r>
            <w:tab/>
          </w:r>
          <w:r>
            <w:fldChar w:fldCharType="begin"/>
          </w:r>
          <w:r>
            <w:instrText xml:space="preserve"> PAGEREF _Toc782 \h </w:instrText>
          </w:r>
          <w:r>
            <w:fldChar w:fldCharType="separate"/>
          </w:r>
          <w:r>
            <w:t>56</w:t>
          </w:r>
          <w:r>
            <w:fldChar w:fldCharType="end"/>
          </w:r>
          <w:r>
            <w:fldChar w:fldCharType="end"/>
          </w:r>
        </w:p>
        <w:p>
          <w:pPr>
            <w:pStyle w:val="24"/>
            <w:tabs>
              <w:tab w:val="right" w:leader="dot" w:pos="8306"/>
            </w:tabs>
          </w:pPr>
          <w:r>
            <w:fldChar w:fldCharType="begin"/>
          </w:r>
          <w:r>
            <w:instrText xml:space="preserve"> HYPERLINK \l _Toc188 </w:instrText>
          </w:r>
          <w:r>
            <w:fldChar w:fldCharType="separate"/>
          </w:r>
          <w:r>
            <w:t>2.1</w:t>
          </w:r>
          <w:r>
            <w:rPr>
              <w:rFonts w:hint="eastAsia"/>
              <w:lang w:val="en-US" w:eastAsia="zh-CN"/>
            </w:rPr>
            <w:t>1</w:t>
          </w:r>
          <w:r>
            <w:rPr>
              <w:rFonts w:hint="eastAsia"/>
              <w:lang w:eastAsia="zh-CN"/>
            </w:rPr>
            <w:t>、</w:t>
          </w:r>
          <w:r>
            <w:t>现有工程污染物排放情况及达标分析</w:t>
          </w:r>
          <w:r>
            <w:tab/>
          </w:r>
          <w:r>
            <w:fldChar w:fldCharType="begin"/>
          </w:r>
          <w:r>
            <w:instrText xml:space="preserve"> PAGEREF _Toc188 \h </w:instrText>
          </w:r>
          <w:r>
            <w:fldChar w:fldCharType="separate"/>
          </w:r>
          <w:r>
            <w:t>61</w:t>
          </w:r>
          <w:r>
            <w:fldChar w:fldCharType="end"/>
          </w:r>
          <w:r>
            <w:fldChar w:fldCharType="end"/>
          </w:r>
        </w:p>
        <w:p>
          <w:pPr>
            <w:pStyle w:val="24"/>
            <w:tabs>
              <w:tab w:val="right" w:leader="dot" w:pos="8306"/>
            </w:tabs>
          </w:pPr>
          <w:r>
            <w:fldChar w:fldCharType="begin"/>
          </w:r>
          <w:r>
            <w:instrText xml:space="preserve"> HYPERLINK \l _Toc12499 </w:instrText>
          </w:r>
          <w:r>
            <w:fldChar w:fldCharType="separate"/>
          </w:r>
          <w:r>
            <w:t>2.1</w:t>
          </w:r>
          <w:r>
            <w:rPr>
              <w:rFonts w:hint="eastAsia"/>
              <w:lang w:val="en-US" w:eastAsia="zh-CN"/>
            </w:rPr>
            <w:t>2</w:t>
          </w:r>
          <w:r>
            <w:rPr>
              <w:rFonts w:hint="eastAsia"/>
              <w:lang w:eastAsia="zh-CN"/>
            </w:rPr>
            <w:t>、</w:t>
          </w:r>
          <w:r>
            <w:t>现有工程存在的环保问题</w:t>
          </w:r>
          <w:r>
            <w:tab/>
          </w:r>
          <w:r>
            <w:fldChar w:fldCharType="begin"/>
          </w:r>
          <w:r>
            <w:instrText xml:space="preserve"> PAGEREF _Toc12499 \h </w:instrText>
          </w:r>
          <w:r>
            <w:fldChar w:fldCharType="separate"/>
          </w:r>
          <w:r>
            <w:t>71</w:t>
          </w:r>
          <w:r>
            <w:fldChar w:fldCharType="end"/>
          </w:r>
          <w:r>
            <w:fldChar w:fldCharType="end"/>
          </w:r>
        </w:p>
        <w:p>
          <w:pPr>
            <w:pStyle w:val="21"/>
            <w:tabs>
              <w:tab w:val="right" w:leader="dot" w:pos="8306"/>
            </w:tabs>
          </w:pPr>
          <w:r>
            <w:fldChar w:fldCharType="begin"/>
          </w:r>
          <w:r>
            <w:instrText xml:space="preserve"> HYPERLINK \l _Toc2199 </w:instrText>
          </w:r>
          <w:r>
            <w:fldChar w:fldCharType="separate"/>
          </w:r>
          <w:r>
            <w:rPr>
              <w:rFonts w:hint="eastAsia"/>
              <w:lang w:val="en-US" w:eastAsia="zh-CN"/>
            </w:rPr>
            <w:t>3、拟建</w:t>
          </w:r>
          <w:r>
            <w:rPr>
              <w:rFonts w:hint="eastAsia"/>
            </w:rPr>
            <w:t>项目概况及工程分析</w:t>
          </w:r>
          <w:r>
            <w:tab/>
          </w:r>
          <w:r>
            <w:fldChar w:fldCharType="begin"/>
          </w:r>
          <w:r>
            <w:instrText xml:space="preserve"> PAGEREF _Toc2199 \h </w:instrText>
          </w:r>
          <w:r>
            <w:fldChar w:fldCharType="separate"/>
          </w:r>
          <w:r>
            <w:t>72</w:t>
          </w:r>
          <w:r>
            <w:fldChar w:fldCharType="end"/>
          </w:r>
          <w:r>
            <w:fldChar w:fldCharType="end"/>
          </w:r>
        </w:p>
        <w:p>
          <w:pPr>
            <w:pStyle w:val="24"/>
            <w:tabs>
              <w:tab w:val="right" w:leader="dot" w:pos="8306"/>
            </w:tabs>
          </w:pPr>
          <w:r>
            <w:fldChar w:fldCharType="begin"/>
          </w:r>
          <w:r>
            <w:instrText xml:space="preserve"> HYPERLINK \l _Toc24286 </w:instrText>
          </w:r>
          <w:r>
            <w:fldChar w:fldCharType="separate"/>
          </w:r>
          <w:r>
            <w:rPr>
              <w:rFonts w:hint="eastAsia"/>
              <w:lang w:val="en-US" w:eastAsia="zh-CN"/>
            </w:rPr>
            <w:t>3</w:t>
          </w:r>
          <w:r>
            <w:rPr>
              <w:rFonts w:hint="eastAsia"/>
            </w:rPr>
            <w:t>.1、</w:t>
          </w:r>
          <w:r>
            <w:rPr>
              <w:rFonts w:hint="eastAsia"/>
              <w:lang w:val="en-US" w:eastAsia="zh-CN"/>
            </w:rPr>
            <w:t>拟建</w:t>
          </w:r>
          <w:r>
            <w:rPr>
              <w:rFonts w:hint="eastAsia"/>
            </w:rPr>
            <w:t>项目概况</w:t>
          </w:r>
          <w:r>
            <w:tab/>
          </w:r>
          <w:r>
            <w:fldChar w:fldCharType="begin"/>
          </w:r>
          <w:r>
            <w:instrText xml:space="preserve"> PAGEREF _Toc24286 \h </w:instrText>
          </w:r>
          <w:r>
            <w:fldChar w:fldCharType="separate"/>
          </w:r>
          <w:r>
            <w:t>72</w:t>
          </w:r>
          <w:r>
            <w:fldChar w:fldCharType="end"/>
          </w:r>
          <w:r>
            <w:fldChar w:fldCharType="end"/>
          </w:r>
        </w:p>
        <w:p>
          <w:pPr>
            <w:pStyle w:val="24"/>
            <w:tabs>
              <w:tab w:val="right" w:leader="dot" w:pos="8306"/>
            </w:tabs>
          </w:pPr>
          <w:r>
            <w:fldChar w:fldCharType="begin"/>
          </w:r>
          <w:r>
            <w:instrText xml:space="preserve"> HYPERLINK \l _Toc16960 </w:instrText>
          </w:r>
          <w:r>
            <w:fldChar w:fldCharType="separate"/>
          </w:r>
          <w:r>
            <w:rPr>
              <w:rFonts w:hint="eastAsia"/>
              <w:lang w:val="en-US" w:eastAsia="zh-CN"/>
            </w:rPr>
            <w:t>3</w:t>
          </w:r>
          <w:r>
            <w:rPr>
              <w:rFonts w:hint="eastAsia"/>
            </w:rPr>
            <w:t>.2、</w:t>
          </w:r>
          <w:r>
            <w:rPr>
              <w:rFonts w:hint="eastAsia"/>
              <w:lang w:val="en-US" w:eastAsia="zh-CN"/>
            </w:rPr>
            <w:t>拟建</w:t>
          </w:r>
          <w:r>
            <w:t>项目</w:t>
          </w:r>
          <w:r>
            <w:rPr>
              <w:rFonts w:hint="eastAsia"/>
            </w:rPr>
            <w:t>建设内容及规模</w:t>
          </w:r>
          <w:r>
            <w:tab/>
          </w:r>
          <w:r>
            <w:fldChar w:fldCharType="begin"/>
          </w:r>
          <w:r>
            <w:instrText xml:space="preserve"> PAGEREF _Toc16960 \h </w:instrText>
          </w:r>
          <w:r>
            <w:fldChar w:fldCharType="separate"/>
          </w:r>
          <w:r>
            <w:t>72</w:t>
          </w:r>
          <w:r>
            <w:fldChar w:fldCharType="end"/>
          </w:r>
          <w:r>
            <w:fldChar w:fldCharType="end"/>
          </w:r>
        </w:p>
        <w:p>
          <w:pPr>
            <w:pStyle w:val="24"/>
            <w:tabs>
              <w:tab w:val="right" w:leader="dot" w:pos="8306"/>
            </w:tabs>
          </w:pPr>
          <w:r>
            <w:fldChar w:fldCharType="begin"/>
          </w:r>
          <w:r>
            <w:instrText xml:space="preserve"> HYPERLINK \l _Toc10406 </w:instrText>
          </w:r>
          <w:r>
            <w:fldChar w:fldCharType="separate"/>
          </w:r>
          <w:r>
            <w:rPr>
              <w:rFonts w:hint="eastAsia"/>
              <w:lang w:val="en-US" w:eastAsia="zh-CN"/>
            </w:rPr>
            <w:t>3</w:t>
          </w:r>
          <w:r>
            <w:t>.</w:t>
          </w:r>
          <w:r>
            <w:rPr>
              <w:rFonts w:hint="eastAsia"/>
            </w:rPr>
            <w:t>3、</w:t>
          </w:r>
          <w:r>
            <w:rPr>
              <w:rFonts w:hint="eastAsia"/>
              <w:lang w:val="en-US" w:eastAsia="zh-CN"/>
            </w:rPr>
            <w:t>拟建</w:t>
          </w:r>
          <w:r>
            <w:t>项目组织机构</w:t>
          </w:r>
          <w:r>
            <w:tab/>
          </w:r>
          <w:r>
            <w:fldChar w:fldCharType="begin"/>
          </w:r>
          <w:r>
            <w:instrText xml:space="preserve"> PAGEREF _Toc10406 \h </w:instrText>
          </w:r>
          <w:r>
            <w:fldChar w:fldCharType="separate"/>
          </w:r>
          <w:r>
            <w:t>93</w:t>
          </w:r>
          <w:r>
            <w:fldChar w:fldCharType="end"/>
          </w:r>
          <w:r>
            <w:fldChar w:fldCharType="end"/>
          </w:r>
        </w:p>
        <w:p>
          <w:pPr>
            <w:pStyle w:val="24"/>
            <w:tabs>
              <w:tab w:val="right" w:leader="dot" w:pos="8306"/>
            </w:tabs>
          </w:pPr>
          <w:r>
            <w:fldChar w:fldCharType="begin"/>
          </w:r>
          <w:r>
            <w:instrText xml:space="preserve"> HYPERLINK \l _Toc14915 </w:instrText>
          </w:r>
          <w:r>
            <w:fldChar w:fldCharType="separate"/>
          </w:r>
          <w:r>
            <w:rPr>
              <w:rFonts w:hint="eastAsia"/>
              <w:lang w:val="en-US" w:eastAsia="zh-CN"/>
            </w:rPr>
            <w:t>3</w:t>
          </w:r>
          <w:r>
            <w:t>.</w:t>
          </w:r>
          <w:r>
            <w:rPr>
              <w:rFonts w:hint="eastAsia"/>
            </w:rPr>
            <w:t>4、</w:t>
          </w:r>
          <w:r>
            <w:rPr>
              <w:rFonts w:hint="eastAsia"/>
              <w:lang w:val="en-US" w:eastAsia="zh-CN"/>
            </w:rPr>
            <w:t>拟建</w:t>
          </w:r>
          <w:r>
            <w:t>项目依托</w:t>
          </w:r>
          <w:r>
            <w:rPr>
              <w:rFonts w:hint="eastAsia"/>
            </w:rPr>
            <w:t>原有建构筑物的</w:t>
          </w:r>
          <w:r>
            <w:t>可行性分析</w:t>
          </w:r>
          <w:r>
            <w:tab/>
          </w:r>
          <w:r>
            <w:fldChar w:fldCharType="begin"/>
          </w:r>
          <w:r>
            <w:instrText xml:space="preserve"> PAGEREF _Toc14915 \h </w:instrText>
          </w:r>
          <w:r>
            <w:fldChar w:fldCharType="separate"/>
          </w:r>
          <w:r>
            <w:t>94</w:t>
          </w:r>
          <w:r>
            <w:fldChar w:fldCharType="end"/>
          </w:r>
          <w:r>
            <w:fldChar w:fldCharType="end"/>
          </w:r>
        </w:p>
        <w:p>
          <w:pPr>
            <w:pStyle w:val="24"/>
            <w:tabs>
              <w:tab w:val="right" w:leader="dot" w:pos="8306"/>
            </w:tabs>
          </w:pPr>
          <w:r>
            <w:fldChar w:fldCharType="begin"/>
          </w:r>
          <w:r>
            <w:instrText xml:space="preserve"> HYPERLINK \l _Toc5038 </w:instrText>
          </w:r>
          <w:r>
            <w:fldChar w:fldCharType="separate"/>
          </w:r>
          <w:r>
            <w:rPr>
              <w:rFonts w:hint="eastAsia"/>
              <w:lang w:val="en-US" w:eastAsia="zh-CN"/>
            </w:rPr>
            <w:t>3</w:t>
          </w:r>
          <w:r>
            <w:t>.</w:t>
          </w:r>
          <w:r>
            <w:rPr>
              <w:rFonts w:hint="eastAsia"/>
            </w:rPr>
            <w:t>5、</w:t>
          </w:r>
          <w:r>
            <w:rPr>
              <w:rFonts w:hint="eastAsia"/>
              <w:lang w:val="en-US" w:eastAsia="zh-CN"/>
            </w:rPr>
            <w:t>拟建</w:t>
          </w:r>
          <w:r>
            <w:t>项目</w:t>
          </w:r>
          <w:r>
            <w:rPr>
              <w:rFonts w:hint="eastAsia"/>
            </w:rPr>
            <w:t>工艺流程</w:t>
          </w:r>
          <w:r>
            <w:t>分析</w:t>
          </w:r>
          <w:r>
            <w:tab/>
          </w:r>
          <w:r>
            <w:fldChar w:fldCharType="begin"/>
          </w:r>
          <w:r>
            <w:instrText xml:space="preserve"> PAGEREF _Toc5038 \h </w:instrText>
          </w:r>
          <w:r>
            <w:fldChar w:fldCharType="separate"/>
          </w:r>
          <w:r>
            <w:t>96</w:t>
          </w:r>
          <w:r>
            <w:fldChar w:fldCharType="end"/>
          </w:r>
          <w:r>
            <w:fldChar w:fldCharType="end"/>
          </w:r>
        </w:p>
        <w:p>
          <w:pPr>
            <w:pStyle w:val="24"/>
            <w:tabs>
              <w:tab w:val="right" w:leader="dot" w:pos="8306"/>
            </w:tabs>
          </w:pPr>
          <w:r>
            <w:fldChar w:fldCharType="begin"/>
          </w:r>
          <w:r>
            <w:instrText xml:space="preserve"> HYPERLINK \l _Toc1687 </w:instrText>
          </w:r>
          <w:r>
            <w:fldChar w:fldCharType="separate"/>
          </w:r>
          <w:r>
            <w:rPr>
              <w:rFonts w:hint="eastAsia"/>
              <w:lang w:val="en-US" w:eastAsia="zh-CN"/>
            </w:rPr>
            <w:t>3</w:t>
          </w:r>
          <w:r>
            <w:t>.</w:t>
          </w:r>
          <w:r>
            <w:rPr>
              <w:rFonts w:hint="eastAsia"/>
            </w:rPr>
            <w:t>6、</w:t>
          </w:r>
          <w:r>
            <w:rPr>
              <w:rFonts w:hint="eastAsia"/>
              <w:lang w:val="en-US" w:eastAsia="zh-CN"/>
            </w:rPr>
            <w:t>拟建</w:t>
          </w:r>
          <w:r>
            <w:t>项目</w:t>
          </w:r>
          <w:r>
            <w:rPr>
              <w:rFonts w:hint="eastAsia"/>
            </w:rPr>
            <w:t>源强</w:t>
          </w:r>
          <w:r>
            <w:t>分析</w:t>
          </w:r>
          <w:r>
            <w:tab/>
          </w:r>
          <w:r>
            <w:fldChar w:fldCharType="begin"/>
          </w:r>
          <w:r>
            <w:instrText xml:space="preserve"> PAGEREF _Toc1687 \h </w:instrText>
          </w:r>
          <w:r>
            <w:fldChar w:fldCharType="separate"/>
          </w:r>
          <w:r>
            <w:t>109</w:t>
          </w:r>
          <w:r>
            <w:fldChar w:fldCharType="end"/>
          </w:r>
          <w:r>
            <w:fldChar w:fldCharType="end"/>
          </w:r>
        </w:p>
        <w:p>
          <w:pPr>
            <w:pStyle w:val="21"/>
            <w:tabs>
              <w:tab w:val="right" w:leader="dot" w:pos="8306"/>
            </w:tabs>
          </w:pPr>
          <w:r>
            <w:fldChar w:fldCharType="begin"/>
          </w:r>
          <w:r>
            <w:instrText xml:space="preserve"> HYPERLINK \l _Toc29324 </w:instrText>
          </w:r>
          <w:r>
            <w:fldChar w:fldCharType="separate"/>
          </w:r>
          <w:r>
            <w:rPr>
              <w:rFonts w:hint="eastAsia"/>
              <w:lang w:val="en-US" w:eastAsia="zh-CN"/>
            </w:rPr>
            <w:t>4</w:t>
          </w:r>
          <w:r>
            <w:rPr>
              <w:rFonts w:hint="eastAsia"/>
            </w:rPr>
            <w:t>、</w:t>
          </w:r>
          <w:r>
            <w:t>环境概况</w:t>
          </w:r>
          <w:r>
            <w:tab/>
          </w:r>
          <w:r>
            <w:fldChar w:fldCharType="begin"/>
          </w:r>
          <w:r>
            <w:instrText xml:space="preserve"> PAGEREF _Toc29324 \h </w:instrText>
          </w:r>
          <w:r>
            <w:fldChar w:fldCharType="separate"/>
          </w:r>
          <w:r>
            <w:t>124</w:t>
          </w:r>
          <w:r>
            <w:fldChar w:fldCharType="end"/>
          </w:r>
          <w:r>
            <w:fldChar w:fldCharType="end"/>
          </w:r>
        </w:p>
        <w:p>
          <w:pPr>
            <w:pStyle w:val="24"/>
            <w:tabs>
              <w:tab w:val="right" w:leader="dot" w:pos="8306"/>
            </w:tabs>
          </w:pPr>
          <w:r>
            <w:fldChar w:fldCharType="begin"/>
          </w:r>
          <w:r>
            <w:instrText xml:space="preserve"> HYPERLINK \l _Toc23054 </w:instrText>
          </w:r>
          <w:r>
            <w:fldChar w:fldCharType="separate"/>
          </w:r>
          <w:r>
            <w:rPr>
              <w:rFonts w:hint="eastAsia"/>
              <w:bCs/>
              <w:lang w:val="en-US" w:eastAsia="zh-CN"/>
            </w:rPr>
            <w:t>4</w:t>
          </w:r>
          <w:r>
            <w:rPr>
              <w:bCs/>
            </w:rPr>
            <w:t>.1</w:t>
          </w:r>
          <w:r>
            <w:rPr>
              <w:rFonts w:hint="eastAsia"/>
              <w:bCs/>
            </w:rPr>
            <w:t>、</w:t>
          </w:r>
          <w:r>
            <w:rPr>
              <w:bCs/>
            </w:rPr>
            <w:t>自然环境概况</w:t>
          </w:r>
          <w:r>
            <w:tab/>
          </w:r>
          <w:r>
            <w:fldChar w:fldCharType="begin"/>
          </w:r>
          <w:r>
            <w:instrText xml:space="preserve"> PAGEREF _Toc23054 \h </w:instrText>
          </w:r>
          <w:r>
            <w:fldChar w:fldCharType="separate"/>
          </w:r>
          <w:r>
            <w:t>124</w:t>
          </w:r>
          <w:r>
            <w:fldChar w:fldCharType="end"/>
          </w:r>
          <w:r>
            <w:fldChar w:fldCharType="end"/>
          </w:r>
        </w:p>
        <w:p>
          <w:pPr>
            <w:pStyle w:val="24"/>
            <w:tabs>
              <w:tab w:val="right" w:leader="dot" w:pos="8306"/>
            </w:tabs>
          </w:pPr>
          <w:r>
            <w:fldChar w:fldCharType="begin"/>
          </w:r>
          <w:r>
            <w:instrText xml:space="preserve"> HYPERLINK \l _Toc29973 </w:instrText>
          </w:r>
          <w:r>
            <w:fldChar w:fldCharType="separate"/>
          </w:r>
          <w:r>
            <w:rPr>
              <w:rFonts w:hint="eastAsia"/>
              <w:lang w:val="en-US" w:eastAsia="zh-CN"/>
            </w:rPr>
            <w:t>4</w:t>
          </w:r>
          <w:r>
            <w:t>.2</w:t>
          </w:r>
          <w:r>
            <w:rPr>
              <w:rFonts w:hint="eastAsia"/>
            </w:rPr>
            <w:t>、</w:t>
          </w:r>
          <w:r>
            <w:t>环境质量现状</w:t>
          </w:r>
          <w:r>
            <w:tab/>
          </w:r>
          <w:r>
            <w:fldChar w:fldCharType="begin"/>
          </w:r>
          <w:r>
            <w:instrText xml:space="preserve"> PAGEREF _Toc29973 \h </w:instrText>
          </w:r>
          <w:r>
            <w:fldChar w:fldCharType="separate"/>
          </w:r>
          <w:r>
            <w:t>129</w:t>
          </w:r>
          <w:r>
            <w:fldChar w:fldCharType="end"/>
          </w:r>
          <w:r>
            <w:fldChar w:fldCharType="end"/>
          </w:r>
        </w:p>
        <w:p>
          <w:pPr>
            <w:pStyle w:val="21"/>
            <w:tabs>
              <w:tab w:val="right" w:leader="dot" w:pos="8306"/>
            </w:tabs>
          </w:pPr>
          <w:r>
            <w:fldChar w:fldCharType="begin"/>
          </w:r>
          <w:r>
            <w:instrText xml:space="preserve"> HYPERLINK \l _Toc29769 </w:instrText>
          </w:r>
          <w:r>
            <w:fldChar w:fldCharType="separate"/>
          </w:r>
          <w:r>
            <w:rPr>
              <w:rFonts w:hint="eastAsia"/>
              <w:lang w:val="en-US" w:eastAsia="zh-CN"/>
            </w:rPr>
            <w:t>5</w:t>
          </w:r>
          <w:r>
            <w:rPr>
              <w:rFonts w:hint="eastAsia"/>
            </w:rPr>
            <w:t>、</w:t>
          </w:r>
          <w:r>
            <w:t>环境影响分析</w:t>
          </w:r>
          <w:r>
            <w:tab/>
          </w:r>
          <w:r>
            <w:fldChar w:fldCharType="begin"/>
          </w:r>
          <w:r>
            <w:instrText xml:space="preserve"> PAGEREF _Toc29769 \h </w:instrText>
          </w:r>
          <w:r>
            <w:fldChar w:fldCharType="separate"/>
          </w:r>
          <w:r>
            <w:t>143</w:t>
          </w:r>
          <w:r>
            <w:fldChar w:fldCharType="end"/>
          </w:r>
          <w:r>
            <w:fldChar w:fldCharType="end"/>
          </w:r>
        </w:p>
        <w:p>
          <w:pPr>
            <w:pStyle w:val="24"/>
            <w:tabs>
              <w:tab w:val="right" w:leader="dot" w:pos="8306"/>
            </w:tabs>
          </w:pPr>
          <w:r>
            <w:fldChar w:fldCharType="begin"/>
          </w:r>
          <w:r>
            <w:instrText xml:space="preserve"> HYPERLINK \l _Toc30462 </w:instrText>
          </w:r>
          <w:r>
            <w:fldChar w:fldCharType="separate"/>
          </w:r>
          <w:r>
            <w:rPr>
              <w:rFonts w:hint="eastAsia"/>
              <w:lang w:val="en-US" w:eastAsia="zh-CN"/>
            </w:rPr>
            <w:t>5</w:t>
          </w:r>
          <w:r>
            <w:t>.1</w:t>
          </w:r>
          <w:r>
            <w:rPr>
              <w:rFonts w:hint="eastAsia"/>
            </w:rPr>
            <w:t>、</w:t>
          </w:r>
          <w:r>
            <w:t>施工期环境影响分析</w:t>
          </w:r>
          <w:r>
            <w:tab/>
          </w:r>
          <w:r>
            <w:fldChar w:fldCharType="begin"/>
          </w:r>
          <w:r>
            <w:instrText xml:space="preserve"> PAGEREF _Toc30462 \h </w:instrText>
          </w:r>
          <w:r>
            <w:fldChar w:fldCharType="separate"/>
          </w:r>
          <w:r>
            <w:t>143</w:t>
          </w:r>
          <w:r>
            <w:fldChar w:fldCharType="end"/>
          </w:r>
          <w:r>
            <w:fldChar w:fldCharType="end"/>
          </w:r>
        </w:p>
        <w:p>
          <w:pPr>
            <w:pStyle w:val="24"/>
            <w:tabs>
              <w:tab w:val="right" w:leader="dot" w:pos="8306"/>
            </w:tabs>
          </w:pPr>
          <w:r>
            <w:fldChar w:fldCharType="begin"/>
          </w:r>
          <w:r>
            <w:instrText xml:space="preserve"> HYPERLINK \l _Toc23134 </w:instrText>
          </w:r>
          <w:r>
            <w:fldChar w:fldCharType="separate"/>
          </w:r>
          <w:r>
            <w:rPr>
              <w:rFonts w:hint="eastAsia"/>
              <w:lang w:val="en-US" w:eastAsia="zh-CN"/>
            </w:rPr>
            <w:t>5</w:t>
          </w:r>
          <w:r>
            <w:t>.2</w:t>
          </w:r>
          <w:r>
            <w:rPr>
              <w:rFonts w:hint="eastAsia"/>
            </w:rPr>
            <w:t>、</w:t>
          </w:r>
          <w:r>
            <w:t>运营期环境影响分析</w:t>
          </w:r>
          <w:r>
            <w:tab/>
          </w:r>
          <w:r>
            <w:fldChar w:fldCharType="begin"/>
          </w:r>
          <w:r>
            <w:instrText xml:space="preserve"> PAGEREF _Toc23134 \h </w:instrText>
          </w:r>
          <w:r>
            <w:fldChar w:fldCharType="separate"/>
          </w:r>
          <w:r>
            <w:t>147</w:t>
          </w:r>
          <w:r>
            <w:fldChar w:fldCharType="end"/>
          </w:r>
          <w:r>
            <w:fldChar w:fldCharType="end"/>
          </w:r>
        </w:p>
        <w:p>
          <w:pPr>
            <w:pStyle w:val="21"/>
            <w:tabs>
              <w:tab w:val="right" w:leader="dot" w:pos="8306"/>
            </w:tabs>
          </w:pPr>
          <w:r>
            <w:fldChar w:fldCharType="begin"/>
          </w:r>
          <w:r>
            <w:instrText xml:space="preserve"> HYPERLINK \l _Toc26738 </w:instrText>
          </w:r>
          <w:r>
            <w:fldChar w:fldCharType="separate"/>
          </w:r>
          <w:r>
            <w:rPr>
              <w:rFonts w:hint="eastAsia"/>
              <w:lang w:val="en-US" w:eastAsia="zh-CN"/>
            </w:rPr>
            <w:t>6</w:t>
          </w:r>
          <w:r>
            <w:rPr>
              <w:rFonts w:hint="eastAsia"/>
            </w:rPr>
            <w:t>、</w:t>
          </w:r>
          <w:r>
            <w:t>污染防治措施及其可行性分析</w:t>
          </w:r>
          <w:r>
            <w:tab/>
          </w:r>
          <w:r>
            <w:fldChar w:fldCharType="begin"/>
          </w:r>
          <w:r>
            <w:instrText xml:space="preserve"> PAGEREF _Toc26738 \h </w:instrText>
          </w:r>
          <w:r>
            <w:fldChar w:fldCharType="separate"/>
          </w:r>
          <w:r>
            <w:t>178</w:t>
          </w:r>
          <w:r>
            <w:fldChar w:fldCharType="end"/>
          </w:r>
          <w:r>
            <w:fldChar w:fldCharType="end"/>
          </w:r>
        </w:p>
        <w:p>
          <w:pPr>
            <w:pStyle w:val="24"/>
            <w:tabs>
              <w:tab w:val="right" w:leader="dot" w:pos="8306"/>
            </w:tabs>
          </w:pPr>
          <w:r>
            <w:fldChar w:fldCharType="begin"/>
          </w:r>
          <w:r>
            <w:instrText xml:space="preserve"> HYPERLINK \l _Toc25995 </w:instrText>
          </w:r>
          <w:r>
            <w:fldChar w:fldCharType="separate"/>
          </w:r>
          <w:r>
            <w:rPr>
              <w:rFonts w:hint="eastAsia"/>
              <w:lang w:val="en-US" w:eastAsia="zh-CN"/>
            </w:rPr>
            <w:t>6</w:t>
          </w:r>
          <w:r>
            <w:t>.1</w:t>
          </w:r>
          <w:r>
            <w:rPr>
              <w:rFonts w:hint="eastAsia"/>
            </w:rPr>
            <w:t>、</w:t>
          </w:r>
          <w:r>
            <w:t>施工期污染防治措施及可行性分析</w:t>
          </w:r>
          <w:r>
            <w:tab/>
          </w:r>
          <w:r>
            <w:fldChar w:fldCharType="begin"/>
          </w:r>
          <w:r>
            <w:instrText xml:space="preserve"> PAGEREF _Toc25995 \h </w:instrText>
          </w:r>
          <w:r>
            <w:fldChar w:fldCharType="separate"/>
          </w:r>
          <w:r>
            <w:t>178</w:t>
          </w:r>
          <w:r>
            <w:fldChar w:fldCharType="end"/>
          </w:r>
          <w:r>
            <w:fldChar w:fldCharType="end"/>
          </w:r>
        </w:p>
        <w:p>
          <w:pPr>
            <w:pStyle w:val="24"/>
            <w:tabs>
              <w:tab w:val="right" w:leader="dot" w:pos="8306"/>
            </w:tabs>
          </w:pPr>
          <w:r>
            <w:fldChar w:fldCharType="begin"/>
          </w:r>
          <w:r>
            <w:instrText xml:space="preserve"> HYPERLINK \l _Toc18541 </w:instrText>
          </w:r>
          <w:r>
            <w:fldChar w:fldCharType="separate"/>
          </w:r>
          <w:r>
            <w:rPr>
              <w:rFonts w:hint="eastAsia"/>
              <w:lang w:val="en-US" w:eastAsia="zh-CN"/>
            </w:rPr>
            <w:t>6</w:t>
          </w:r>
          <w:r>
            <w:t>.2</w:t>
          </w:r>
          <w:r>
            <w:rPr>
              <w:rFonts w:hint="eastAsia"/>
            </w:rPr>
            <w:t>、</w:t>
          </w:r>
          <w:r>
            <w:t>运营期污染防治措施及其可行性分析</w:t>
          </w:r>
          <w:r>
            <w:tab/>
          </w:r>
          <w:r>
            <w:fldChar w:fldCharType="begin"/>
          </w:r>
          <w:r>
            <w:instrText xml:space="preserve"> PAGEREF _Toc18541 \h </w:instrText>
          </w:r>
          <w:r>
            <w:fldChar w:fldCharType="separate"/>
          </w:r>
          <w:r>
            <w:t>181</w:t>
          </w:r>
          <w:r>
            <w:fldChar w:fldCharType="end"/>
          </w:r>
          <w:r>
            <w:fldChar w:fldCharType="end"/>
          </w:r>
        </w:p>
        <w:p>
          <w:pPr>
            <w:pStyle w:val="24"/>
            <w:tabs>
              <w:tab w:val="right" w:leader="dot" w:pos="8306"/>
            </w:tabs>
          </w:pPr>
          <w:r>
            <w:fldChar w:fldCharType="begin"/>
          </w:r>
          <w:r>
            <w:instrText xml:space="preserve"> HYPERLINK \l _Toc24752 </w:instrText>
          </w:r>
          <w:r>
            <w:fldChar w:fldCharType="separate"/>
          </w:r>
          <w:r>
            <w:rPr>
              <w:rFonts w:hint="eastAsia"/>
              <w:lang w:val="en-US" w:eastAsia="zh-CN"/>
            </w:rPr>
            <w:t>6</w:t>
          </w:r>
          <w:r>
            <w:t>.3</w:t>
          </w:r>
          <w:r>
            <w:rPr>
              <w:rFonts w:hint="eastAsia"/>
            </w:rPr>
            <w:t>、</w:t>
          </w:r>
          <w:r>
            <w:t>环保投资概算</w:t>
          </w:r>
          <w:r>
            <w:tab/>
          </w:r>
          <w:r>
            <w:fldChar w:fldCharType="begin"/>
          </w:r>
          <w:r>
            <w:instrText xml:space="preserve"> PAGEREF _Toc24752 \h </w:instrText>
          </w:r>
          <w:r>
            <w:fldChar w:fldCharType="separate"/>
          </w:r>
          <w:r>
            <w:t>198</w:t>
          </w:r>
          <w:r>
            <w:fldChar w:fldCharType="end"/>
          </w:r>
          <w:r>
            <w:fldChar w:fldCharType="end"/>
          </w:r>
        </w:p>
        <w:p>
          <w:pPr>
            <w:pStyle w:val="21"/>
            <w:tabs>
              <w:tab w:val="right" w:leader="dot" w:pos="8306"/>
            </w:tabs>
          </w:pPr>
          <w:r>
            <w:fldChar w:fldCharType="begin"/>
          </w:r>
          <w:r>
            <w:instrText xml:space="preserve"> HYPERLINK \l _Toc9949 </w:instrText>
          </w:r>
          <w:r>
            <w:fldChar w:fldCharType="separate"/>
          </w:r>
          <w:r>
            <w:rPr>
              <w:rFonts w:hint="eastAsia"/>
              <w:lang w:val="en-US" w:eastAsia="zh-CN"/>
            </w:rPr>
            <w:t>7</w:t>
          </w:r>
          <w:r>
            <w:rPr>
              <w:rFonts w:hint="eastAsia"/>
            </w:rPr>
            <w:t>、</w:t>
          </w:r>
          <w:r>
            <w:t>环境风险</w:t>
          </w:r>
          <w:r>
            <w:tab/>
          </w:r>
          <w:r>
            <w:fldChar w:fldCharType="begin"/>
          </w:r>
          <w:r>
            <w:instrText xml:space="preserve"> PAGEREF _Toc9949 \h </w:instrText>
          </w:r>
          <w:r>
            <w:fldChar w:fldCharType="separate"/>
          </w:r>
          <w:r>
            <w:t>199</w:t>
          </w:r>
          <w:r>
            <w:fldChar w:fldCharType="end"/>
          </w:r>
          <w:r>
            <w:fldChar w:fldCharType="end"/>
          </w:r>
        </w:p>
        <w:p>
          <w:pPr>
            <w:pStyle w:val="24"/>
            <w:tabs>
              <w:tab w:val="right" w:leader="dot" w:pos="8306"/>
            </w:tabs>
          </w:pPr>
          <w:r>
            <w:fldChar w:fldCharType="begin"/>
          </w:r>
          <w:r>
            <w:instrText xml:space="preserve"> HYPERLINK \l _Toc29284 </w:instrText>
          </w:r>
          <w:r>
            <w:fldChar w:fldCharType="separate"/>
          </w:r>
          <w:r>
            <w:rPr>
              <w:rFonts w:hint="eastAsia"/>
              <w:lang w:val="en-US" w:eastAsia="zh-CN"/>
            </w:rPr>
            <w:t>7</w:t>
          </w:r>
          <w:r>
            <w:rPr>
              <w:rFonts w:hint="eastAsia"/>
            </w:rPr>
            <w:t>.1、评价原则</w:t>
          </w:r>
          <w:r>
            <w:tab/>
          </w:r>
          <w:r>
            <w:fldChar w:fldCharType="begin"/>
          </w:r>
          <w:r>
            <w:instrText xml:space="preserve"> PAGEREF _Toc29284 \h </w:instrText>
          </w:r>
          <w:r>
            <w:fldChar w:fldCharType="separate"/>
          </w:r>
          <w:r>
            <w:t>199</w:t>
          </w:r>
          <w:r>
            <w:fldChar w:fldCharType="end"/>
          </w:r>
          <w:r>
            <w:fldChar w:fldCharType="end"/>
          </w:r>
        </w:p>
        <w:p>
          <w:pPr>
            <w:pStyle w:val="24"/>
            <w:tabs>
              <w:tab w:val="right" w:leader="dot" w:pos="8306"/>
            </w:tabs>
          </w:pPr>
          <w:r>
            <w:fldChar w:fldCharType="begin"/>
          </w:r>
          <w:r>
            <w:instrText xml:space="preserve"> HYPERLINK \l _Toc5334 </w:instrText>
          </w:r>
          <w:r>
            <w:fldChar w:fldCharType="separate"/>
          </w:r>
          <w:r>
            <w:rPr>
              <w:rFonts w:hint="eastAsia"/>
              <w:lang w:val="en-US" w:eastAsia="zh-CN"/>
            </w:rPr>
            <w:t>7</w:t>
          </w:r>
          <w:r>
            <w:rPr>
              <w:rFonts w:hint="eastAsia"/>
            </w:rPr>
            <w:t>.2、</w:t>
          </w:r>
          <w:r>
            <w:t>评价工作程序</w:t>
          </w:r>
          <w:r>
            <w:tab/>
          </w:r>
          <w:r>
            <w:fldChar w:fldCharType="begin"/>
          </w:r>
          <w:r>
            <w:instrText xml:space="preserve"> PAGEREF _Toc5334 \h </w:instrText>
          </w:r>
          <w:r>
            <w:fldChar w:fldCharType="separate"/>
          </w:r>
          <w:r>
            <w:t>199</w:t>
          </w:r>
          <w:r>
            <w:fldChar w:fldCharType="end"/>
          </w:r>
          <w:r>
            <w:fldChar w:fldCharType="end"/>
          </w:r>
        </w:p>
        <w:p>
          <w:pPr>
            <w:pStyle w:val="24"/>
            <w:tabs>
              <w:tab w:val="right" w:leader="dot" w:pos="8306"/>
            </w:tabs>
          </w:pPr>
          <w:r>
            <w:fldChar w:fldCharType="begin"/>
          </w:r>
          <w:r>
            <w:instrText xml:space="preserve"> HYPERLINK \l _Toc16605 </w:instrText>
          </w:r>
          <w:r>
            <w:fldChar w:fldCharType="separate"/>
          </w:r>
          <w:r>
            <w:rPr>
              <w:rFonts w:hint="eastAsia"/>
              <w:lang w:val="en-US" w:eastAsia="zh-CN"/>
            </w:rPr>
            <w:t>7</w:t>
          </w:r>
          <w:r>
            <w:rPr>
              <w:rFonts w:hint="eastAsia"/>
            </w:rPr>
            <w:t>.3、风险调查</w:t>
          </w:r>
          <w:r>
            <w:tab/>
          </w:r>
          <w:r>
            <w:fldChar w:fldCharType="begin"/>
          </w:r>
          <w:r>
            <w:instrText xml:space="preserve"> PAGEREF _Toc16605 \h </w:instrText>
          </w:r>
          <w:r>
            <w:fldChar w:fldCharType="separate"/>
          </w:r>
          <w:r>
            <w:t>200</w:t>
          </w:r>
          <w:r>
            <w:fldChar w:fldCharType="end"/>
          </w:r>
          <w:r>
            <w:fldChar w:fldCharType="end"/>
          </w:r>
        </w:p>
        <w:p>
          <w:pPr>
            <w:pStyle w:val="24"/>
            <w:tabs>
              <w:tab w:val="right" w:leader="dot" w:pos="8306"/>
            </w:tabs>
          </w:pPr>
          <w:r>
            <w:fldChar w:fldCharType="begin"/>
          </w:r>
          <w:r>
            <w:instrText xml:space="preserve"> HYPERLINK \l _Toc23390 </w:instrText>
          </w:r>
          <w:r>
            <w:fldChar w:fldCharType="separate"/>
          </w:r>
          <w:r>
            <w:rPr>
              <w:rFonts w:hint="eastAsia"/>
              <w:lang w:val="en-US" w:eastAsia="zh-CN"/>
            </w:rPr>
            <w:t>7</w:t>
          </w:r>
          <w:r>
            <w:rPr>
              <w:rFonts w:hint="eastAsia"/>
            </w:rPr>
            <w:t>.4、</w:t>
          </w:r>
          <w:r>
            <w:t>风险潜势初判</w:t>
          </w:r>
          <w:r>
            <w:tab/>
          </w:r>
          <w:r>
            <w:fldChar w:fldCharType="begin"/>
          </w:r>
          <w:r>
            <w:instrText xml:space="preserve"> PAGEREF _Toc23390 \h </w:instrText>
          </w:r>
          <w:r>
            <w:fldChar w:fldCharType="separate"/>
          </w:r>
          <w:r>
            <w:t>200</w:t>
          </w:r>
          <w:r>
            <w:fldChar w:fldCharType="end"/>
          </w:r>
          <w:r>
            <w:fldChar w:fldCharType="end"/>
          </w:r>
        </w:p>
        <w:p>
          <w:pPr>
            <w:pStyle w:val="24"/>
            <w:tabs>
              <w:tab w:val="right" w:leader="dot" w:pos="8306"/>
            </w:tabs>
          </w:pPr>
          <w:r>
            <w:fldChar w:fldCharType="begin"/>
          </w:r>
          <w:r>
            <w:instrText xml:space="preserve"> HYPERLINK \l _Toc26126 </w:instrText>
          </w:r>
          <w:r>
            <w:fldChar w:fldCharType="separate"/>
          </w:r>
          <w:r>
            <w:rPr>
              <w:rFonts w:hint="eastAsia"/>
              <w:lang w:val="en-US" w:eastAsia="zh-CN"/>
            </w:rPr>
            <w:t>7</w:t>
          </w:r>
          <w:r>
            <w:rPr>
              <w:rFonts w:hint="eastAsia"/>
            </w:rPr>
            <w:t>.5、评价等级</w:t>
          </w:r>
          <w:r>
            <w:tab/>
          </w:r>
          <w:r>
            <w:fldChar w:fldCharType="begin"/>
          </w:r>
          <w:r>
            <w:instrText xml:space="preserve"> PAGEREF _Toc26126 \h </w:instrText>
          </w:r>
          <w:r>
            <w:fldChar w:fldCharType="separate"/>
          </w:r>
          <w:r>
            <w:t>201</w:t>
          </w:r>
          <w:r>
            <w:fldChar w:fldCharType="end"/>
          </w:r>
          <w:r>
            <w:fldChar w:fldCharType="end"/>
          </w:r>
        </w:p>
        <w:p>
          <w:pPr>
            <w:pStyle w:val="24"/>
            <w:tabs>
              <w:tab w:val="right" w:leader="dot" w:pos="8306"/>
            </w:tabs>
          </w:pPr>
          <w:r>
            <w:fldChar w:fldCharType="begin"/>
          </w:r>
          <w:r>
            <w:instrText xml:space="preserve"> HYPERLINK \l _Toc21911 </w:instrText>
          </w:r>
          <w:r>
            <w:fldChar w:fldCharType="separate"/>
          </w:r>
          <w:r>
            <w:rPr>
              <w:rFonts w:hint="eastAsia"/>
              <w:lang w:val="en-US" w:eastAsia="zh-CN"/>
            </w:rPr>
            <w:t>7</w:t>
          </w:r>
          <w:r>
            <w:t>.</w:t>
          </w:r>
          <w:r>
            <w:rPr>
              <w:rFonts w:hint="eastAsia"/>
            </w:rPr>
            <w:t>6、环境</w:t>
          </w:r>
          <w:r>
            <w:t>风险识别</w:t>
          </w:r>
          <w:r>
            <w:tab/>
          </w:r>
          <w:r>
            <w:fldChar w:fldCharType="begin"/>
          </w:r>
          <w:r>
            <w:instrText xml:space="preserve"> PAGEREF _Toc21911 \h </w:instrText>
          </w:r>
          <w:r>
            <w:fldChar w:fldCharType="separate"/>
          </w:r>
          <w:r>
            <w:t>201</w:t>
          </w:r>
          <w:r>
            <w:fldChar w:fldCharType="end"/>
          </w:r>
          <w:r>
            <w:fldChar w:fldCharType="end"/>
          </w:r>
        </w:p>
        <w:p>
          <w:pPr>
            <w:pStyle w:val="24"/>
            <w:tabs>
              <w:tab w:val="right" w:leader="dot" w:pos="8306"/>
            </w:tabs>
          </w:pPr>
          <w:r>
            <w:fldChar w:fldCharType="begin"/>
          </w:r>
          <w:r>
            <w:instrText xml:space="preserve"> HYPERLINK \l _Toc15772 </w:instrText>
          </w:r>
          <w:r>
            <w:fldChar w:fldCharType="separate"/>
          </w:r>
          <w:r>
            <w:rPr>
              <w:rFonts w:hint="eastAsia"/>
              <w:lang w:val="en-US" w:eastAsia="zh-CN"/>
            </w:rPr>
            <w:t>7</w:t>
          </w:r>
          <w:r>
            <w:rPr>
              <w:rFonts w:hint="eastAsia"/>
            </w:rPr>
            <w:t>.7、环境风险分析</w:t>
          </w:r>
          <w:r>
            <w:tab/>
          </w:r>
          <w:r>
            <w:fldChar w:fldCharType="begin"/>
          </w:r>
          <w:r>
            <w:instrText xml:space="preserve"> PAGEREF _Toc15772 \h </w:instrText>
          </w:r>
          <w:r>
            <w:fldChar w:fldCharType="separate"/>
          </w:r>
          <w:r>
            <w:t>206</w:t>
          </w:r>
          <w:r>
            <w:fldChar w:fldCharType="end"/>
          </w:r>
          <w:r>
            <w:fldChar w:fldCharType="end"/>
          </w:r>
        </w:p>
        <w:p>
          <w:pPr>
            <w:pStyle w:val="24"/>
            <w:tabs>
              <w:tab w:val="right" w:leader="dot" w:pos="8306"/>
            </w:tabs>
          </w:pPr>
          <w:r>
            <w:fldChar w:fldCharType="begin"/>
          </w:r>
          <w:r>
            <w:instrText xml:space="preserve"> HYPERLINK \l _Toc29020 </w:instrText>
          </w:r>
          <w:r>
            <w:fldChar w:fldCharType="separate"/>
          </w:r>
          <w:r>
            <w:rPr>
              <w:rFonts w:hint="eastAsia"/>
              <w:lang w:val="en-US" w:eastAsia="zh-CN"/>
            </w:rPr>
            <w:t>7</w:t>
          </w:r>
          <w:r>
            <w:rPr>
              <w:rFonts w:hint="eastAsia"/>
            </w:rPr>
            <w:t>.8、环境</w:t>
          </w:r>
          <w:r>
            <w:t>风险防范</w:t>
          </w:r>
          <w:r>
            <w:rPr>
              <w:rFonts w:hint="eastAsia"/>
            </w:rPr>
            <w:t>措施</w:t>
          </w:r>
          <w:r>
            <w:tab/>
          </w:r>
          <w:r>
            <w:fldChar w:fldCharType="begin"/>
          </w:r>
          <w:r>
            <w:instrText xml:space="preserve"> PAGEREF _Toc29020 \h </w:instrText>
          </w:r>
          <w:r>
            <w:fldChar w:fldCharType="separate"/>
          </w:r>
          <w:r>
            <w:t>207</w:t>
          </w:r>
          <w:r>
            <w:fldChar w:fldCharType="end"/>
          </w:r>
          <w:r>
            <w:fldChar w:fldCharType="end"/>
          </w:r>
        </w:p>
        <w:p>
          <w:pPr>
            <w:pStyle w:val="24"/>
            <w:tabs>
              <w:tab w:val="right" w:leader="dot" w:pos="8306"/>
            </w:tabs>
          </w:pPr>
          <w:r>
            <w:fldChar w:fldCharType="begin"/>
          </w:r>
          <w:r>
            <w:instrText xml:space="preserve"> HYPERLINK \l _Toc9119 </w:instrText>
          </w:r>
          <w:r>
            <w:fldChar w:fldCharType="separate"/>
          </w:r>
          <w:r>
            <w:rPr>
              <w:rFonts w:hint="eastAsia"/>
              <w:lang w:val="en-US" w:eastAsia="zh-CN"/>
            </w:rPr>
            <w:t>7</w:t>
          </w:r>
          <w:r>
            <w:rPr>
              <w:rFonts w:hint="eastAsia"/>
            </w:rPr>
            <w:t>.9、环境风险应急措施</w:t>
          </w:r>
          <w:r>
            <w:tab/>
          </w:r>
          <w:r>
            <w:fldChar w:fldCharType="begin"/>
          </w:r>
          <w:r>
            <w:instrText xml:space="preserve"> PAGEREF _Toc9119 \h </w:instrText>
          </w:r>
          <w:r>
            <w:fldChar w:fldCharType="separate"/>
          </w:r>
          <w:r>
            <w:t>208</w:t>
          </w:r>
          <w:r>
            <w:fldChar w:fldCharType="end"/>
          </w:r>
          <w:r>
            <w:fldChar w:fldCharType="end"/>
          </w:r>
        </w:p>
        <w:p>
          <w:pPr>
            <w:pStyle w:val="24"/>
            <w:tabs>
              <w:tab w:val="right" w:leader="dot" w:pos="8306"/>
            </w:tabs>
          </w:pPr>
          <w:r>
            <w:fldChar w:fldCharType="begin"/>
          </w:r>
          <w:r>
            <w:instrText xml:space="preserve"> HYPERLINK \l _Toc12673 </w:instrText>
          </w:r>
          <w:r>
            <w:fldChar w:fldCharType="separate"/>
          </w:r>
          <w:r>
            <w:rPr>
              <w:rFonts w:hint="eastAsia"/>
              <w:lang w:val="en-US" w:eastAsia="zh-CN"/>
            </w:rPr>
            <w:t>7</w:t>
          </w:r>
          <w:r>
            <w:rPr>
              <w:rFonts w:hint="eastAsia"/>
            </w:rPr>
            <w:t>.10、</w:t>
          </w:r>
          <w:r>
            <w:t>环境风险管理</w:t>
          </w:r>
          <w:r>
            <w:tab/>
          </w:r>
          <w:r>
            <w:fldChar w:fldCharType="begin"/>
          </w:r>
          <w:r>
            <w:instrText xml:space="preserve"> PAGEREF _Toc12673 \h </w:instrText>
          </w:r>
          <w:r>
            <w:fldChar w:fldCharType="separate"/>
          </w:r>
          <w:r>
            <w:t>208</w:t>
          </w:r>
          <w:r>
            <w:fldChar w:fldCharType="end"/>
          </w:r>
          <w:r>
            <w:fldChar w:fldCharType="end"/>
          </w:r>
        </w:p>
        <w:p>
          <w:pPr>
            <w:pStyle w:val="24"/>
            <w:tabs>
              <w:tab w:val="right" w:leader="dot" w:pos="8306"/>
            </w:tabs>
          </w:pPr>
          <w:r>
            <w:fldChar w:fldCharType="begin"/>
          </w:r>
          <w:r>
            <w:instrText xml:space="preserve"> HYPERLINK \l _Toc12873 </w:instrText>
          </w:r>
          <w:r>
            <w:fldChar w:fldCharType="separate"/>
          </w:r>
          <w:r>
            <w:rPr>
              <w:rFonts w:hint="eastAsia"/>
              <w:lang w:val="en-US" w:eastAsia="zh-CN"/>
            </w:rPr>
            <w:t>7</w:t>
          </w:r>
          <w:r>
            <w:rPr>
              <w:rFonts w:hint="eastAsia"/>
            </w:rPr>
            <w:t>.11、</w:t>
          </w:r>
          <w:r>
            <w:t>环境风险应急预案</w:t>
          </w:r>
          <w:r>
            <w:tab/>
          </w:r>
          <w:r>
            <w:fldChar w:fldCharType="begin"/>
          </w:r>
          <w:r>
            <w:instrText xml:space="preserve"> PAGEREF _Toc12873 \h </w:instrText>
          </w:r>
          <w:r>
            <w:fldChar w:fldCharType="separate"/>
          </w:r>
          <w:r>
            <w:t>209</w:t>
          </w:r>
          <w:r>
            <w:fldChar w:fldCharType="end"/>
          </w:r>
          <w:r>
            <w:fldChar w:fldCharType="end"/>
          </w:r>
        </w:p>
        <w:p>
          <w:pPr>
            <w:pStyle w:val="24"/>
            <w:tabs>
              <w:tab w:val="right" w:leader="dot" w:pos="8306"/>
            </w:tabs>
          </w:pPr>
          <w:r>
            <w:fldChar w:fldCharType="begin"/>
          </w:r>
          <w:r>
            <w:instrText xml:space="preserve"> HYPERLINK \l _Toc10072 </w:instrText>
          </w:r>
          <w:r>
            <w:fldChar w:fldCharType="separate"/>
          </w:r>
          <w:r>
            <w:rPr>
              <w:rFonts w:hint="eastAsia"/>
              <w:lang w:val="en-US" w:eastAsia="zh-CN"/>
            </w:rPr>
            <w:t>7</w:t>
          </w:r>
          <w:r>
            <w:rPr>
              <w:rFonts w:hint="eastAsia"/>
            </w:rPr>
            <w:t>.12、环境风险评价结论</w:t>
          </w:r>
          <w:r>
            <w:tab/>
          </w:r>
          <w:r>
            <w:fldChar w:fldCharType="begin"/>
          </w:r>
          <w:r>
            <w:instrText xml:space="preserve"> PAGEREF _Toc10072 \h </w:instrText>
          </w:r>
          <w:r>
            <w:fldChar w:fldCharType="separate"/>
          </w:r>
          <w:r>
            <w:t>210</w:t>
          </w:r>
          <w:r>
            <w:fldChar w:fldCharType="end"/>
          </w:r>
          <w:r>
            <w:fldChar w:fldCharType="end"/>
          </w:r>
        </w:p>
        <w:p>
          <w:pPr>
            <w:pStyle w:val="21"/>
            <w:tabs>
              <w:tab w:val="right" w:leader="dot" w:pos="8306"/>
            </w:tabs>
          </w:pPr>
          <w:r>
            <w:fldChar w:fldCharType="begin"/>
          </w:r>
          <w:r>
            <w:instrText xml:space="preserve"> HYPERLINK \l _Toc15849 </w:instrText>
          </w:r>
          <w:r>
            <w:fldChar w:fldCharType="separate"/>
          </w:r>
          <w:r>
            <w:rPr>
              <w:rFonts w:hint="eastAsia"/>
              <w:lang w:val="en-US" w:eastAsia="zh-CN"/>
            </w:rPr>
            <w:t>8</w:t>
          </w:r>
          <w:r>
            <w:rPr>
              <w:rFonts w:hint="eastAsia"/>
            </w:rPr>
            <w:t>、</w:t>
          </w:r>
          <w:r>
            <w:t>环境影响经济损益分析</w:t>
          </w:r>
          <w:r>
            <w:tab/>
          </w:r>
          <w:r>
            <w:fldChar w:fldCharType="begin"/>
          </w:r>
          <w:r>
            <w:instrText xml:space="preserve"> PAGEREF _Toc15849 \h </w:instrText>
          </w:r>
          <w:r>
            <w:fldChar w:fldCharType="separate"/>
          </w:r>
          <w:r>
            <w:t>212</w:t>
          </w:r>
          <w:r>
            <w:fldChar w:fldCharType="end"/>
          </w:r>
          <w:r>
            <w:fldChar w:fldCharType="end"/>
          </w:r>
        </w:p>
        <w:p>
          <w:pPr>
            <w:pStyle w:val="24"/>
            <w:tabs>
              <w:tab w:val="right" w:leader="dot" w:pos="8306"/>
            </w:tabs>
          </w:pPr>
          <w:r>
            <w:fldChar w:fldCharType="begin"/>
          </w:r>
          <w:r>
            <w:instrText xml:space="preserve"> HYPERLINK \l _Toc2533 </w:instrText>
          </w:r>
          <w:r>
            <w:fldChar w:fldCharType="separate"/>
          </w:r>
          <w:r>
            <w:rPr>
              <w:rFonts w:hint="eastAsia"/>
              <w:lang w:val="en-US" w:eastAsia="zh-CN"/>
            </w:rPr>
            <w:t>8.1、经济效益分析</w:t>
          </w:r>
          <w:r>
            <w:tab/>
          </w:r>
          <w:r>
            <w:fldChar w:fldCharType="begin"/>
          </w:r>
          <w:r>
            <w:instrText xml:space="preserve"> PAGEREF _Toc2533 \h </w:instrText>
          </w:r>
          <w:r>
            <w:fldChar w:fldCharType="separate"/>
          </w:r>
          <w:r>
            <w:t>212</w:t>
          </w:r>
          <w:r>
            <w:fldChar w:fldCharType="end"/>
          </w:r>
          <w:r>
            <w:fldChar w:fldCharType="end"/>
          </w:r>
        </w:p>
        <w:p>
          <w:pPr>
            <w:pStyle w:val="24"/>
            <w:tabs>
              <w:tab w:val="right" w:leader="dot" w:pos="8306"/>
            </w:tabs>
          </w:pPr>
          <w:r>
            <w:fldChar w:fldCharType="begin"/>
          </w:r>
          <w:r>
            <w:instrText xml:space="preserve"> HYPERLINK \l _Toc14811 </w:instrText>
          </w:r>
          <w:r>
            <w:fldChar w:fldCharType="separate"/>
          </w:r>
          <w:r>
            <w:rPr>
              <w:rFonts w:hint="eastAsia"/>
              <w:lang w:val="en-US" w:eastAsia="zh-CN"/>
            </w:rPr>
            <w:t>8</w:t>
          </w:r>
          <w:r>
            <w:t>.</w:t>
          </w:r>
          <w:r>
            <w:rPr>
              <w:rFonts w:hint="eastAsia"/>
              <w:lang w:val="en-US" w:eastAsia="zh-CN"/>
            </w:rPr>
            <w:t>2</w:t>
          </w:r>
          <w:r>
            <w:rPr>
              <w:rFonts w:hint="eastAsia"/>
            </w:rPr>
            <w:t>、</w:t>
          </w:r>
          <w:r>
            <w:t>社会效益分析</w:t>
          </w:r>
          <w:r>
            <w:tab/>
          </w:r>
          <w:r>
            <w:fldChar w:fldCharType="begin"/>
          </w:r>
          <w:r>
            <w:instrText xml:space="preserve"> PAGEREF _Toc14811 \h </w:instrText>
          </w:r>
          <w:r>
            <w:fldChar w:fldCharType="separate"/>
          </w:r>
          <w:r>
            <w:t>212</w:t>
          </w:r>
          <w:r>
            <w:fldChar w:fldCharType="end"/>
          </w:r>
          <w:r>
            <w:fldChar w:fldCharType="end"/>
          </w:r>
        </w:p>
        <w:p>
          <w:pPr>
            <w:pStyle w:val="24"/>
            <w:tabs>
              <w:tab w:val="right" w:leader="dot" w:pos="8306"/>
            </w:tabs>
          </w:pPr>
          <w:r>
            <w:fldChar w:fldCharType="begin"/>
          </w:r>
          <w:r>
            <w:instrText xml:space="preserve"> HYPERLINK \l _Toc18078 </w:instrText>
          </w:r>
          <w:r>
            <w:fldChar w:fldCharType="separate"/>
          </w:r>
          <w:r>
            <w:rPr>
              <w:rFonts w:hint="eastAsia"/>
              <w:lang w:val="en-US" w:eastAsia="zh-CN"/>
            </w:rPr>
            <w:t>8</w:t>
          </w:r>
          <w:r>
            <w:t>.</w:t>
          </w:r>
          <w:r>
            <w:rPr>
              <w:rFonts w:hint="eastAsia"/>
              <w:lang w:val="en-US" w:eastAsia="zh-CN"/>
            </w:rPr>
            <w:t>3</w:t>
          </w:r>
          <w:r>
            <w:rPr>
              <w:rFonts w:hint="eastAsia"/>
            </w:rPr>
            <w:t>、</w:t>
          </w:r>
          <w:r>
            <w:t>环境</w:t>
          </w:r>
          <w:r>
            <w:rPr>
              <w:rFonts w:hint="eastAsia"/>
              <w:lang w:val="en-US" w:eastAsia="zh-CN"/>
            </w:rPr>
            <w:t>经济损益</w:t>
          </w:r>
          <w:r>
            <w:t>分析</w:t>
          </w:r>
          <w:r>
            <w:tab/>
          </w:r>
          <w:r>
            <w:fldChar w:fldCharType="begin"/>
          </w:r>
          <w:r>
            <w:instrText xml:space="preserve"> PAGEREF _Toc18078 \h </w:instrText>
          </w:r>
          <w:r>
            <w:fldChar w:fldCharType="separate"/>
          </w:r>
          <w:r>
            <w:t>212</w:t>
          </w:r>
          <w:r>
            <w:fldChar w:fldCharType="end"/>
          </w:r>
          <w:r>
            <w:fldChar w:fldCharType="end"/>
          </w:r>
        </w:p>
        <w:p>
          <w:pPr>
            <w:pStyle w:val="21"/>
            <w:tabs>
              <w:tab w:val="right" w:leader="dot" w:pos="8306"/>
            </w:tabs>
          </w:pPr>
          <w:r>
            <w:fldChar w:fldCharType="begin"/>
          </w:r>
          <w:r>
            <w:instrText xml:space="preserve"> HYPERLINK \l _Toc17813 </w:instrText>
          </w:r>
          <w:r>
            <w:fldChar w:fldCharType="separate"/>
          </w:r>
          <w:r>
            <w:rPr>
              <w:rFonts w:hint="eastAsia"/>
              <w:lang w:val="en-US" w:eastAsia="zh-CN"/>
            </w:rPr>
            <w:t>9</w:t>
          </w:r>
          <w:r>
            <w:rPr>
              <w:rFonts w:hint="eastAsia"/>
            </w:rPr>
            <w:t>、产业政策与规划符合性</w:t>
          </w:r>
          <w:r>
            <w:tab/>
          </w:r>
          <w:r>
            <w:fldChar w:fldCharType="begin"/>
          </w:r>
          <w:r>
            <w:instrText xml:space="preserve"> PAGEREF _Toc17813 \h </w:instrText>
          </w:r>
          <w:r>
            <w:fldChar w:fldCharType="separate"/>
          </w:r>
          <w:r>
            <w:t>214</w:t>
          </w:r>
          <w:r>
            <w:fldChar w:fldCharType="end"/>
          </w:r>
          <w:r>
            <w:fldChar w:fldCharType="end"/>
          </w:r>
        </w:p>
        <w:p>
          <w:pPr>
            <w:pStyle w:val="24"/>
            <w:tabs>
              <w:tab w:val="right" w:leader="dot" w:pos="8306"/>
            </w:tabs>
          </w:pPr>
          <w:r>
            <w:fldChar w:fldCharType="begin"/>
          </w:r>
          <w:r>
            <w:instrText xml:space="preserve"> HYPERLINK \l _Toc10077 </w:instrText>
          </w:r>
          <w:r>
            <w:fldChar w:fldCharType="separate"/>
          </w:r>
          <w:r>
            <w:rPr>
              <w:rFonts w:hint="eastAsia"/>
              <w:lang w:val="en-US" w:eastAsia="zh-CN"/>
            </w:rPr>
            <w:t>9</w:t>
          </w:r>
          <w:r>
            <w:rPr>
              <w:rFonts w:hint="eastAsia"/>
            </w:rPr>
            <w:t>.1、</w:t>
          </w:r>
          <w:r>
            <w:t>产业政策符合性</w:t>
          </w:r>
          <w:r>
            <w:tab/>
          </w:r>
          <w:r>
            <w:fldChar w:fldCharType="begin"/>
          </w:r>
          <w:r>
            <w:instrText xml:space="preserve"> PAGEREF _Toc10077 \h </w:instrText>
          </w:r>
          <w:r>
            <w:fldChar w:fldCharType="separate"/>
          </w:r>
          <w:r>
            <w:t>214</w:t>
          </w:r>
          <w:r>
            <w:fldChar w:fldCharType="end"/>
          </w:r>
          <w:r>
            <w:fldChar w:fldCharType="end"/>
          </w:r>
        </w:p>
        <w:p>
          <w:pPr>
            <w:pStyle w:val="24"/>
            <w:tabs>
              <w:tab w:val="right" w:leader="dot" w:pos="8306"/>
            </w:tabs>
          </w:pPr>
          <w:r>
            <w:fldChar w:fldCharType="begin"/>
          </w:r>
          <w:r>
            <w:instrText xml:space="preserve"> HYPERLINK \l _Toc15020 </w:instrText>
          </w:r>
          <w:r>
            <w:fldChar w:fldCharType="separate"/>
          </w:r>
          <w:r>
            <w:rPr>
              <w:rFonts w:hint="eastAsia"/>
              <w:lang w:val="en-US" w:eastAsia="zh-CN"/>
            </w:rPr>
            <w:t>9</w:t>
          </w:r>
          <w:r>
            <w:rPr>
              <w:rFonts w:hint="eastAsia"/>
            </w:rPr>
            <w:t>.2、</w:t>
          </w:r>
          <w:r>
            <w:t>平面布置</w:t>
          </w:r>
          <w:r>
            <w:rPr>
              <w:rFonts w:hint="eastAsia"/>
            </w:rPr>
            <w:t>的</w:t>
          </w:r>
          <w:r>
            <w:t>合理性分析</w:t>
          </w:r>
          <w:r>
            <w:tab/>
          </w:r>
          <w:r>
            <w:fldChar w:fldCharType="begin"/>
          </w:r>
          <w:r>
            <w:instrText xml:space="preserve"> PAGEREF _Toc15020 \h </w:instrText>
          </w:r>
          <w:r>
            <w:fldChar w:fldCharType="separate"/>
          </w:r>
          <w:r>
            <w:t>214</w:t>
          </w:r>
          <w:r>
            <w:fldChar w:fldCharType="end"/>
          </w:r>
          <w:r>
            <w:fldChar w:fldCharType="end"/>
          </w:r>
        </w:p>
        <w:p>
          <w:pPr>
            <w:pStyle w:val="24"/>
            <w:tabs>
              <w:tab w:val="right" w:leader="dot" w:pos="8306"/>
            </w:tabs>
          </w:pPr>
          <w:r>
            <w:fldChar w:fldCharType="begin"/>
          </w:r>
          <w:r>
            <w:instrText xml:space="preserve"> HYPERLINK \l _Toc6328 </w:instrText>
          </w:r>
          <w:r>
            <w:fldChar w:fldCharType="separate"/>
          </w:r>
          <w:r>
            <w:rPr>
              <w:rFonts w:hint="eastAsia"/>
              <w:lang w:val="en-US" w:eastAsia="zh-CN"/>
            </w:rPr>
            <w:t>9</w:t>
          </w:r>
          <w:r>
            <w:rPr>
              <w:rFonts w:hint="eastAsia"/>
            </w:rPr>
            <w:t>.3、选址合理性</w:t>
          </w:r>
          <w:r>
            <w:t>分析</w:t>
          </w:r>
          <w:r>
            <w:tab/>
          </w:r>
          <w:r>
            <w:fldChar w:fldCharType="begin"/>
          </w:r>
          <w:r>
            <w:instrText xml:space="preserve"> PAGEREF _Toc6328 \h </w:instrText>
          </w:r>
          <w:r>
            <w:fldChar w:fldCharType="separate"/>
          </w:r>
          <w:r>
            <w:t>214</w:t>
          </w:r>
          <w:r>
            <w:fldChar w:fldCharType="end"/>
          </w:r>
          <w:r>
            <w:fldChar w:fldCharType="end"/>
          </w:r>
        </w:p>
        <w:p>
          <w:pPr>
            <w:pStyle w:val="24"/>
            <w:tabs>
              <w:tab w:val="right" w:leader="dot" w:pos="8306"/>
            </w:tabs>
          </w:pPr>
          <w:r>
            <w:fldChar w:fldCharType="begin"/>
          </w:r>
          <w:r>
            <w:instrText xml:space="preserve"> HYPERLINK \l _Toc12507 </w:instrText>
          </w:r>
          <w:r>
            <w:fldChar w:fldCharType="separate"/>
          </w:r>
          <w:r>
            <w:rPr>
              <w:rFonts w:hint="eastAsia"/>
              <w:lang w:val="en-US" w:eastAsia="zh-CN"/>
            </w:rPr>
            <w:t>9</w:t>
          </w:r>
          <w:r>
            <w:rPr>
              <w:rFonts w:hint="eastAsia"/>
            </w:rPr>
            <w:t>.4、</w:t>
          </w:r>
          <w:r>
            <w:t>规划符合性</w:t>
          </w:r>
          <w:r>
            <w:rPr>
              <w:rFonts w:hint="eastAsia"/>
              <w:lang w:val="en-US" w:eastAsia="zh-CN"/>
            </w:rPr>
            <w:t>分析</w:t>
          </w:r>
          <w:r>
            <w:tab/>
          </w:r>
          <w:r>
            <w:fldChar w:fldCharType="begin"/>
          </w:r>
          <w:r>
            <w:instrText xml:space="preserve"> PAGEREF _Toc12507 \h </w:instrText>
          </w:r>
          <w:r>
            <w:fldChar w:fldCharType="separate"/>
          </w:r>
          <w:r>
            <w:t>215</w:t>
          </w:r>
          <w:r>
            <w:fldChar w:fldCharType="end"/>
          </w:r>
          <w:r>
            <w:fldChar w:fldCharType="end"/>
          </w:r>
        </w:p>
        <w:p>
          <w:pPr>
            <w:pStyle w:val="24"/>
            <w:tabs>
              <w:tab w:val="right" w:leader="dot" w:pos="8306"/>
            </w:tabs>
          </w:pPr>
          <w:r>
            <w:fldChar w:fldCharType="begin"/>
          </w:r>
          <w:r>
            <w:instrText xml:space="preserve"> HYPERLINK \l _Toc8975 </w:instrText>
          </w:r>
          <w:r>
            <w:fldChar w:fldCharType="separate"/>
          </w:r>
          <w:r>
            <w:rPr>
              <w:rFonts w:hint="eastAsia"/>
              <w:lang w:val="en-US" w:eastAsia="zh-CN"/>
            </w:rPr>
            <w:t>9</w:t>
          </w:r>
          <w:r>
            <w:rPr>
              <w:rFonts w:hint="eastAsia"/>
            </w:rPr>
            <w:t>.5、与“三线一单”的符合性分析</w:t>
          </w:r>
          <w:r>
            <w:tab/>
          </w:r>
          <w:r>
            <w:fldChar w:fldCharType="begin"/>
          </w:r>
          <w:r>
            <w:instrText xml:space="preserve"> PAGEREF _Toc8975 \h </w:instrText>
          </w:r>
          <w:r>
            <w:fldChar w:fldCharType="separate"/>
          </w:r>
          <w:r>
            <w:t>217</w:t>
          </w:r>
          <w:r>
            <w:fldChar w:fldCharType="end"/>
          </w:r>
          <w:r>
            <w:fldChar w:fldCharType="end"/>
          </w:r>
        </w:p>
        <w:p>
          <w:pPr>
            <w:pStyle w:val="21"/>
            <w:tabs>
              <w:tab w:val="right" w:leader="dot" w:pos="8306"/>
            </w:tabs>
          </w:pPr>
          <w:r>
            <w:fldChar w:fldCharType="begin"/>
          </w:r>
          <w:r>
            <w:instrText xml:space="preserve"> HYPERLINK \l _Toc26695 </w:instrText>
          </w:r>
          <w:r>
            <w:fldChar w:fldCharType="separate"/>
          </w:r>
          <w:r>
            <w:rPr>
              <w:rFonts w:hint="eastAsia"/>
              <w:lang w:val="en-US" w:eastAsia="zh-CN"/>
            </w:rPr>
            <w:t>10</w:t>
          </w:r>
          <w:r>
            <w:rPr>
              <w:rFonts w:hint="eastAsia"/>
            </w:rPr>
            <w:t>、</w:t>
          </w:r>
          <w:r>
            <w:t>环境管理与监测计划</w:t>
          </w:r>
          <w:r>
            <w:tab/>
          </w:r>
          <w:r>
            <w:fldChar w:fldCharType="begin"/>
          </w:r>
          <w:r>
            <w:instrText xml:space="preserve"> PAGEREF _Toc26695 \h </w:instrText>
          </w:r>
          <w:r>
            <w:fldChar w:fldCharType="separate"/>
          </w:r>
          <w:r>
            <w:t>221</w:t>
          </w:r>
          <w:r>
            <w:fldChar w:fldCharType="end"/>
          </w:r>
          <w:r>
            <w:fldChar w:fldCharType="end"/>
          </w:r>
        </w:p>
        <w:p>
          <w:pPr>
            <w:pStyle w:val="24"/>
            <w:tabs>
              <w:tab w:val="right" w:leader="dot" w:pos="8306"/>
            </w:tabs>
          </w:pPr>
          <w:r>
            <w:fldChar w:fldCharType="begin"/>
          </w:r>
          <w:r>
            <w:instrText xml:space="preserve"> HYPERLINK \l _Toc8727 </w:instrText>
          </w:r>
          <w:r>
            <w:fldChar w:fldCharType="separate"/>
          </w:r>
          <w:r>
            <w:rPr>
              <w:rFonts w:hint="eastAsia"/>
              <w:lang w:val="en-US" w:eastAsia="zh-CN"/>
            </w:rPr>
            <w:t>10</w:t>
          </w:r>
          <w:r>
            <w:rPr>
              <w:rFonts w:hint="eastAsia"/>
            </w:rPr>
            <w:t>.1、环境管理</w:t>
          </w:r>
          <w:r>
            <w:tab/>
          </w:r>
          <w:r>
            <w:fldChar w:fldCharType="begin"/>
          </w:r>
          <w:r>
            <w:instrText xml:space="preserve"> PAGEREF _Toc8727 \h </w:instrText>
          </w:r>
          <w:r>
            <w:fldChar w:fldCharType="separate"/>
          </w:r>
          <w:r>
            <w:t>221</w:t>
          </w:r>
          <w:r>
            <w:fldChar w:fldCharType="end"/>
          </w:r>
          <w:r>
            <w:fldChar w:fldCharType="end"/>
          </w:r>
        </w:p>
        <w:p>
          <w:pPr>
            <w:pStyle w:val="24"/>
            <w:tabs>
              <w:tab w:val="right" w:leader="dot" w:pos="8306"/>
            </w:tabs>
          </w:pPr>
          <w:r>
            <w:fldChar w:fldCharType="begin"/>
          </w:r>
          <w:r>
            <w:instrText xml:space="preserve"> HYPERLINK \l _Toc365 </w:instrText>
          </w:r>
          <w:r>
            <w:fldChar w:fldCharType="separate"/>
          </w:r>
          <w:r>
            <w:rPr>
              <w:rFonts w:hint="eastAsia"/>
              <w:lang w:val="en-US" w:eastAsia="zh-CN"/>
            </w:rPr>
            <w:t>10</w:t>
          </w:r>
          <w:r>
            <w:rPr>
              <w:rFonts w:hint="eastAsia"/>
            </w:rPr>
            <w:t>.2、排污许可及台账管理</w:t>
          </w:r>
          <w:r>
            <w:tab/>
          </w:r>
          <w:r>
            <w:fldChar w:fldCharType="begin"/>
          </w:r>
          <w:r>
            <w:instrText xml:space="preserve"> PAGEREF _Toc365 \h </w:instrText>
          </w:r>
          <w:r>
            <w:fldChar w:fldCharType="separate"/>
          </w:r>
          <w:r>
            <w:t>227</w:t>
          </w:r>
          <w:r>
            <w:fldChar w:fldCharType="end"/>
          </w:r>
          <w:r>
            <w:fldChar w:fldCharType="end"/>
          </w:r>
        </w:p>
        <w:p>
          <w:pPr>
            <w:pStyle w:val="24"/>
            <w:tabs>
              <w:tab w:val="right" w:leader="dot" w:pos="8306"/>
            </w:tabs>
          </w:pPr>
          <w:r>
            <w:fldChar w:fldCharType="begin"/>
          </w:r>
          <w:r>
            <w:instrText xml:space="preserve"> HYPERLINK \l _Toc394 </w:instrText>
          </w:r>
          <w:r>
            <w:fldChar w:fldCharType="separate"/>
          </w:r>
          <w:r>
            <w:rPr>
              <w:rFonts w:hint="eastAsia"/>
              <w:lang w:val="en-US" w:eastAsia="zh-CN"/>
            </w:rPr>
            <w:t>10</w:t>
          </w:r>
          <w:r>
            <w:rPr>
              <w:rFonts w:hint="eastAsia"/>
            </w:rPr>
            <w:t>.3、排污口规范化管理</w:t>
          </w:r>
          <w:r>
            <w:tab/>
          </w:r>
          <w:r>
            <w:fldChar w:fldCharType="begin"/>
          </w:r>
          <w:r>
            <w:instrText xml:space="preserve"> PAGEREF _Toc394 \h </w:instrText>
          </w:r>
          <w:r>
            <w:fldChar w:fldCharType="separate"/>
          </w:r>
          <w:r>
            <w:t>228</w:t>
          </w:r>
          <w:r>
            <w:fldChar w:fldCharType="end"/>
          </w:r>
          <w:r>
            <w:fldChar w:fldCharType="end"/>
          </w:r>
        </w:p>
        <w:p>
          <w:pPr>
            <w:pStyle w:val="24"/>
            <w:tabs>
              <w:tab w:val="right" w:leader="dot" w:pos="8306"/>
            </w:tabs>
          </w:pPr>
          <w:r>
            <w:fldChar w:fldCharType="begin"/>
          </w:r>
          <w:r>
            <w:instrText xml:space="preserve"> HYPERLINK \l _Toc6539 </w:instrText>
          </w:r>
          <w:r>
            <w:fldChar w:fldCharType="separate"/>
          </w:r>
          <w:r>
            <w:rPr>
              <w:rFonts w:hint="eastAsia"/>
              <w:lang w:val="en-US" w:eastAsia="zh-CN"/>
            </w:rPr>
            <w:t>10</w:t>
          </w:r>
          <w:r>
            <w:rPr>
              <w:rFonts w:hint="eastAsia"/>
            </w:rPr>
            <w:t>.4、企业环境信息公开</w:t>
          </w:r>
          <w:r>
            <w:tab/>
          </w:r>
          <w:r>
            <w:fldChar w:fldCharType="begin"/>
          </w:r>
          <w:r>
            <w:instrText xml:space="preserve"> PAGEREF _Toc6539 \h </w:instrText>
          </w:r>
          <w:r>
            <w:fldChar w:fldCharType="separate"/>
          </w:r>
          <w:r>
            <w:t>230</w:t>
          </w:r>
          <w:r>
            <w:fldChar w:fldCharType="end"/>
          </w:r>
          <w:r>
            <w:fldChar w:fldCharType="end"/>
          </w:r>
        </w:p>
        <w:p>
          <w:pPr>
            <w:pStyle w:val="24"/>
            <w:tabs>
              <w:tab w:val="right" w:leader="dot" w:pos="8306"/>
            </w:tabs>
          </w:pPr>
          <w:r>
            <w:fldChar w:fldCharType="begin"/>
          </w:r>
          <w:r>
            <w:instrText xml:space="preserve"> HYPERLINK \l _Toc28780 </w:instrText>
          </w:r>
          <w:r>
            <w:fldChar w:fldCharType="separate"/>
          </w:r>
          <w:r>
            <w:rPr>
              <w:rFonts w:hint="eastAsia"/>
              <w:lang w:val="en-US" w:eastAsia="zh-CN"/>
            </w:rPr>
            <w:t>10</w:t>
          </w:r>
          <w:r>
            <w:rPr>
              <w:rFonts w:hint="eastAsia"/>
            </w:rPr>
            <w:t>.5、总量控制</w:t>
          </w:r>
          <w:r>
            <w:tab/>
          </w:r>
          <w:r>
            <w:fldChar w:fldCharType="begin"/>
          </w:r>
          <w:r>
            <w:instrText xml:space="preserve"> PAGEREF _Toc28780 \h </w:instrText>
          </w:r>
          <w:r>
            <w:fldChar w:fldCharType="separate"/>
          </w:r>
          <w:r>
            <w:t>231</w:t>
          </w:r>
          <w:r>
            <w:fldChar w:fldCharType="end"/>
          </w:r>
          <w:r>
            <w:fldChar w:fldCharType="end"/>
          </w:r>
        </w:p>
        <w:p>
          <w:pPr>
            <w:pStyle w:val="24"/>
            <w:tabs>
              <w:tab w:val="right" w:leader="dot" w:pos="8306"/>
            </w:tabs>
          </w:pPr>
          <w:r>
            <w:fldChar w:fldCharType="begin"/>
          </w:r>
          <w:r>
            <w:instrText xml:space="preserve"> HYPERLINK \l _Toc5963 </w:instrText>
          </w:r>
          <w:r>
            <w:fldChar w:fldCharType="separate"/>
          </w:r>
          <w:r>
            <w:rPr>
              <w:rFonts w:hint="eastAsia"/>
              <w:lang w:val="en-US" w:eastAsia="zh-CN"/>
            </w:rPr>
            <w:t>10</w:t>
          </w:r>
          <w:r>
            <w:rPr>
              <w:rFonts w:hint="eastAsia"/>
            </w:rPr>
            <w:t>.6、环境监控计划</w:t>
          </w:r>
          <w:r>
            <w:tab/>
          </w:r>
          <w:r>
            <w:fldChar w:fldCharType="begin"/>
          </w:r>
          <w:r>
            <w:instrText xml:space="preserve"> PAGEREF _Toc5963 \h </w:instrText>
          </w:r>
          <w:r>
            <w:fldChar w:fldCharType="separate"/>
          </w:r>
          <w:r>
            <w:t>232</w:t>
          </w:r>
          <w:r>
            <w:fldChar w:fldCharType="end"/>
          </w:r>
          <w:r>
            <w:fldChar w:fldCharType="end"/>
          </w:r>
        </w:p>
        <w:p>
          <w:pPr>
            <w:pStyle w:val="24"/>
            <w:tabs>
              <w:tab w:val="right" w:leader="dot" w:pos="8306"/>
            </w:tabs>
          </w:pPr>
          <w:r>
            <w:fldChar w:fldCharType="begin"/>
          </w:r>
          <w:r>
            <w:instrText xml:space="preserve"> HYPERLINK \l _Toc18325 </w:instrText>
          </w:r>
          <w:r>
            <w:fldChar w:fldCharType="separate"/>
          </w:r>
          <w:r>
            <w:rPr>
              <w:rFonts w:hint="eastAsia"/>
              <w:lang w:val="en-US" w:eastAsia="zh-CN"/>
            </w:rPr>
            <w:t>10</w:t>
          </w:r>
          <w:r>
            <w:rPr>
              <w:rFonts w:hint="eastAsia"/>
            </w:rPr>
            <w:t>.7、环保“三同时”验收</w:t>
          </w:r>
          <w:r>
            <w:tab/>
          </w:r>
          <w:r>
            <w:fldChar w:fldCharType="begin"/>
          </w:r>
          <w:r>
            <w:instrText xml:space="preserve"> PAGEREF _Toc18325 \h </w:instrText>
          </w:r>
          <w:r>
            <w:fldChar w:fldCharType="separate"/>
          </w:r>
          <w:r>
            <w:t>234</w:t>
          </w:r>
          <w:r>
            <w:fldChar w:fldCharType="end"/>
          </w:r>
          <w:r>
            <w:fldChar w:fldCharType="end"/>
          </w:r>
        </w:p>
        <w:p>
          <w:pPr>
            <w:pStyle w:val="21"/>
            <w:tabs>
              <w:tab w:val="right" w:leader="dot" w:pos="8306"/>
            </w:tabs>
          </w:pPr>
          <w:r>
            <w:fldChar w:fldCharType="begin"/>
          </w:r>
          <w:r>
            <w:instrText xml:space="preserve"> HYPERLINK \l _Toc4531 </w:instrText>
          </w:r>
          <w:r>
            <w:fldChar w:fldCharType="separate"/>
          </w:r>
          <w:r>
            <w:rPr>
              <w:rFonts w:hint="eastAsia"/>
              <w:lang w:val="en-US" w:eastAsia="zh-CN"/>
            </w:rPr>
            <w:t>11</w:t>
          </w:r>
          <w:r>
            <w:rPr>
              <w:rFonts w:hint="eastAsia"/>
            </w:rPr>
            <w:t>、</w:t>
          </w:r>
          <w:r>
            <w:t>环境影响评价结论</w:t>
          </w:r>
          <w:r>
            <w:tab/>
          </w:r>
          <w:r>
            <w:fldChar w:fldCharType="begin"/>
          </w:r>
          <w:r>
            <w:instrText xml:space="preserve"> PAGEREF _Toc4531 \h </w:instrText>
          </w:r>
          <w:r>
            <w:fldChar w:fldCharType="separate"/>
          </w:r>
          <w:r>
            <w:t>236</w:t>
          </w:r>
          <w:r>
            <w:fldChar w:fldCharType="end"/>
          </w:r>
          <w:r>
            <w:fldChar w:fldCharType="end"/>
          </w:r>
        </w:p>
        <w:p>
          <w:pPr>
            <w:pStyle w:val="24"/>
            <w:tabs>
              <w:tab w:val="right" w:leader="dot" w:pos="8306"/>
            </w:tabs>
          </w:pPr>
          <w:r>
            <w:fldChar w:fldCharType="begin"/>
          </w:r>
          <w:r>
            <w:instrText xml:space="preserve"> HYPERLINK \l _Toc1367 </w:instrText>
          </w:r>
          <w:r>
            <w:fldChar w:fldCharType="separate"/>
          </w:r>
          <w:r>
            <w:rPr>
              <w:rFonts w:hint="eastAsia"/>
              <w:lang w:val="en-US" w:eastAsia="zh-CN"/>
            </w:rPr>
            <w:t>11</w:t>
          </w:r>
          <w:r>
            <w:t>.1</w:t>
          </w:r>
          <w:r>
            <w:rPr>
              <w:rFonts w:hint="eastAsia"/>
            </w:rPr>
            <w:t>、</w:t>
          </w:r>
          <w:r>
            <w:t>建设项目概况</w:t>
          </w:r>
          <w:r>
            <w:tab/>
          </w:r>
          <w:r>
            <w:fldChar w:fldCharType="begin"/>
          </w:r>
          <w:r>
            <w:instrText xml:space="preserve"> PAGEREF _Toc1367 \h </w:instrText>
          </w:r>
          <w:r>
            <w:fldChar w:fldCharType="separate"/>
          </w:r>
          <w:r>
            <w:t>236</w:t>
          </w:r>
          <w:r>
            <w:fldChar w:fldCharType="end"/>
          </w:r>
          <w:r>
            <w:fldChar w:fldCharType="end"/>
          </w:r>
        </w:p>
        <w:p>
          <w:pPr>
            <w:pStyle w:val="24"/>
            <w:tabs>
              <w:tab w:val="right" w:leader="dot" w:pos="8306"/>
            </w:tabs>
          </w:pPr>
          <w:r>
            <w:fldChar w:fldCharType="begin"/>
          </w:r>
          <w:r>
            <w:instrText xml:space="preserve"> HYPERLINK \l _Toc19367 </w:instrText>
          </w:r>
          <w:r>
            <w:fldChar w:fldCharType="separate"/>
          </w:r>
          <w:r>
            <w:rPr>
              <w:rFonts w:hint="eastAsia"/>
            </w:rPr>
            <w:t>1</w:t>
          </w:r>
          <w:r>
            <w:rPr>
              <w:rFonts w:hint="eastAsia"/>
              <w:lang w:val="en-US" w:eastAsia="zh-CN"/>
            </w:rPr>
            <w:t>1</w:t>
          </w:r>
          <w:r>
            <w:t>.2</w:t>
          </w:r>
          <w:r>
            <w:rPr>
              <w:rFonts w:hint="eastAsia"/>
            </w:rPr>
            <w:t>、</w:t>
          </w:r>
          <w:r>
            <w:t>产业政策、规划及选址符合性</w:t>
          </w:r>
          <w:r>
            <w:tab/>
          </w:r>
          <w:r>
            <w:fldChar w:fldCharType="begin"/>
          </w:r>
          <w:r>
            <w:instrText xml:space="preserve"> PAGEREF _Toc19367 \h </w:instrText>
          </w:r>
          <w:r>
            <w:fldChar w:fldCharType="separate"/>
          </w:r>
          <w:r>
            <w:t>236</w:t>
          </w:r>
          <w:r>
            <w:fldChar w:fldCharType="end"/>
          </w:r>
          <w:r>
            <w:fldChar w:fldCharType="end"/>
          </w:r>
        </w:p>
        <w:p>
          <w:pPr>
            <w:pStyle w:val="24"/>
            <w:tabs>
              <w:tab w:val="right" w:leader="dot" w:pos="8306"/>
            </w:tabs>
          </w:pPr>
          <w:r>
            <w:fldChar w:fldCharType="begin"/>
          </w:r>
          <w:r>
            <w:instrText xml:space="preserve"> HYPERLINK \l _Toc3956 </w:instrText>
          </w:r>
          <w:r>
            <w:fldChar w:fldCharType="separate"/>
          </w:r>
          <w:r>
            <w:rPr>
              <w:rFonts w:hint="eastAsia"/>
            </w:rPr>
            <w:t>1</w:t>
          </w:r>
          <w:r>
            <w:rPr>
              <w:rFonts w:hint="eastAsia"/>
              <w:lang w:val="en-US" w:eastAsia="zh-CN"/>
            </w:rPr>
            <w:t>1</w:t>
          </w:r>
          <w:r>
            <w:t>.3</w:t>
          </w:r>
          <w:r>
            <w:rPr>
              <w:rFonts w:hint="eastAsia"/>
            </w:rPr>
            <w:t>、</w:t>
          </w:r>
          <w:r>
            <w:t>环境质量现状</w:t>
          </w:r>
          <w:r>
            <w:tab/>
          </w:r>
          <w:r>
            <w:fldChar w:fldCharType="begin"/>
          </w:r>
          <w:r>
            <w:instrText xml:space="preserve"> PAGEREF _Toc3956 \h </w:instrText>
          </w:r>
          <w:r>
            <w:fldChar w:fldCharType="separate"/>
          </w:r>
          <w:r>
            <w:t>242</w:t>
          </w:r>
          <w:r>
            <w:fldChar w:fldCharType="end"/>
          </w:r>
          <w:r>
            <w:fldChar w:fldCharType="end"/>
          </w:r>
        </w:p>
        <w:p>
          <w:pPr>
            <w:pStyle w:val="24"/>
            <w:tabs>
              <w:tab w:val="right" w:leader="dot" w:pos="8306"/>
            </w:tabs>
          </w:pPr>
          <w:r>
            <w:fldChar w:fldCharType="begin"/>
          </w:r>
          <w:r>
            <w:instrText xml:space="preserve"> HYPERLINK \l _Toc20615 </w:instrText>
          </w:r>
          <w:r>
            <w:fldChar w:fldCharType="separate"/>
          </w:r>
          <w:r>
            <w:rPr>
              <w:rFonts w:hint="eastAsia"/>
            </w:rPr>
            <w:t>1</w:t>
          </w:r>
          <w:r>
            <w:rPr>
              <w:rFonts w:hint="eastAsia"/>
              <w:lang w:val="en-US" w:eastAsia="zh-CN"/>
            </w:rPr>
            <w:t>1</w:t>
          </w:r>
          <w:r>
            <w:t>.4</w:t>
          </w:r>
          <w:r>
            <w:rPr>
              <w:rFonts w:hint="eastAsia"/>
            </w:rPr>
            <w:t>、</w:t>
          </w:r>
          <w:r>
            <w:t>运营期环境影响分析及污染防治措施</w:t>
          </w:r>
          <w:r>
            <w:tab/>
          </w:r>
          <w:r>
            <w:fldChar w:fldCharType="begin"/>
          </w:r>
          <w:r>
            <w:instrText xml:space="preserve"> PAGEREF _Toc20615 \h </w:instrText>
          </w:r>
          <w:r>
            <w:fldChar w:fldCharType="separate"/>
          </w:r>
          <w:r>
            <w:t>242</w:t>
          </w:r>
          <w:r>
            <w:fldChar w:fldCharType="end"/>
          </w:r>
          <w:r>
            <w:fldChar w:fldCharType="end"/>
          </w:r>
        </w:p>
        <w:p>
          <w:pPr>
            <w:pStyle w:val="24"/>
            <w:tabs>
              <w:tab w:val="right" w:leader="dot" w:pos="8306"/>
            </w:tabs>
          </w:pPr>
          <w:r>
            <w:fldChar w:fldCharType="begin"/>
          </w:r>
          <w:r>
            <w:instrText xml:space="preserve"> HYPERLINK \l _Toc13772 </w:instrText>
          </w:r>
          <w:r>
            <w:fldChar w:fldCharType="separate"/>
          </w:r>
          <w:r>
            <w:rPr>
              <w:rFonts w:hint="eastAsia"/>
            </w:rPr>
            <w:t>1</w:t>
          </w:r>
          <w:r>
            <w:rPr>
              <w:rFonts w:hint="eastAsia"/>
              <w:lang w:val="en-US" w:eastAsia="zh-CN"/>
            </w:rPr>
            <w:t>1</w:t>
          </w:r>
          <w:r>
            <w:rPr>
              <w:rFonts w:hint="eastAsia"/>
            </w:rPr>
            <w:t>.5、环境风险结论</w:t>
          </w:r>
          <w:r>
            <w:tab/>
          </w:r>
          <w:r>
            <w:fldChar w:fldCharType="begin"/>
          </w:r>
          <w:r>
            <w:instrText xml:space="preserve"> PAGEREF _Toc13772 \h </w:instrText>
          </w:r>
          <w:r>
            <w:fldChar w:fldCharType="separate"/>
          </w:r>
          <w:r>
            <w:t>246</w:t>
          </w:r>
          <w:r>
            <w:fldChar w:fldCharType="end"/>
          </w:r>
          <w:r>
            <w:fldChar w:fldCharType="end"/>
          </w:r>
        </w:p>
        <w:p>
          <w:pPr>
            <w:pStyle w:val="24"/>
            <w:tabs>
              <w:tab w:val="right" w:leader="dot" w:pos="8306"/>
            </w:tabs>
          </w:pPr>
          <w:r>
            <w:fldChar w:fldCharType="begin"/>
          </w:r>
          <w:r>
            <w:instrText xml:space="preserve"> HYPERLINK \l _Toc25262 </w:instrText>
          </w:r>
          <w:r>
            <w:fldChar w:fldCharType="separate"/>
          </w:r>
          <w:r>
            <w:rPr>
              <w:rFonts w:hint="eastAsia"/>
            </w:rPr>
            <w:t>1</w:t>
          </w:r>
          <w:r>
            <w:rPr>
              <w:rFonts w:hint="eastAsia"/>
              <w:lang w:val="en-US" w:eastAsia="zh-CN"/>
            </w:rPr>
            <w:t>1</w:t>
          </w:r>
          <w:r>
            <w:rPr>
              <w:rFonts w:hint="eastAsia"/>
            </w:rPr>
            <w:t>.6、环境管理及监测计划</w:t>
          </w:r>
          <w:r>
            <w:tab/>
          </w:r>
          <w:r>
            <w:fldChar w:fldCharType="begin"/>
          </w:r>
          <w:r>
            <w:instrText xml:space="preserve"> PAGEREF _Toc25262 \h </w:instrText>
          </w:r>
          <w:r>
            <w:fldChar w:fldCharType="separate"/>
          </w:r>
          <w:r>
            <w:t>246</w:t>
          </w:r>
          <w:r>
            <w:fldChar w:fldCharType="end"/>
          </w:r>
          <w:r>
            <w:fldChar w:fldCharType="end"/>
          </w:r>
        </w:p>
        <w:p>
          <w:pPr>
            <w:pStyle w:val="24"/>
            <w:tabs>
              <w:tab w:val="right" w:leader="dot" w:pos="8306"/>
            </w:tabs>
          </w:pPr>
          <w:r>
            <w:fldChar w:fldCharType="begin"/>
          </w:r>
          <w:r>
            <w:instrText xml:space="preserve"> HYPERLINK \l _Toc870 </w:instrText>
          </w:r>
          <w:r>
            <w:fldChar w:fldCharType="separate"/>
          </w:r>
          <w:r>
            <w:rPr>
              <w:rFonts w:hint="eastAsia"/>
            </w:rPr>
            <w:t>1</w:t>
          </w:r>
          <w:r>
            <w:rPr>
              <w:rFonts w:hint="eastAsia"/>
              <w:lang w:val="en-US" w:eastAsia="zh-CN"/>
            </w:rPr>
            <w:t>1</w:t>
          </w:r>
          <w:r>
            <w:rPr>
              <w:rFonts w:hint="eastAsia"/>
            </w:rPr>
            <w:t>.7、</w:t>
          </w:r>
          <w:r>
            <w:t>污染物排放总量控制和排污许可</w:t>
          </w:r>
          <w:r>
            <w:rPr>
              <w:rFonts w:hint="eastAsia"/>
            </w:rPr>
            <w:t>制度</w:t>
          </w:r>
          <w:r>
            <w:tab/>
          </w:r>
          <w:r>
            <w:fldChar w:fldCharType="begin"/>
          </w:r>
          <w:r>
            <w:instrText xml:space="preserve"> PAGEREF _Toc870 \h </w:instrText>
          </w:r>
          <w:r>
            <w:fldChar w:fldCharType="separate"/>
          </w:r>
          <w:r>
            <w:t>246</w:t>
          </w:r>
          <w:r>
            <w:fldChar w:fldCharType="end"/>
          </w:r>
          <w:r>
            <w:fldChar w:fldCharType="end"/>
          </w:r>
        </w:p>
        <w:p>
          <w:pPr>
            <w:pStyle w:val="24"/>
            <w:tabs>
              <w:tab w:val="right" w:leader="dot" w:pos="8306"/>
            </w:tabs>
          </w:pPr>
          <w:r>
            <w:fldChar w:fldCharType="begin"/>
          </w:r>
          <w:r>
            <w:instrText xml:space="preserve"> HYPERLINK \l _Toc13011 </w:instrText>
          </w:r>
          <w:r>
            <w:fldChar w:fldCharType="separate"/>
          </w:r>
          <w:r>
            <w:rPr>
              <w:rFonts w:hint="eastAsia"/>
            </w:rPr>
            <w:t>1</w:t>
          </w:r>
          <w:r>
            <w:rPr>
              <w:rFonts w:hint="eastAsia"/>
              <w:lang w:val="en-US" w:eastAsia="zh-CN"/>
            </w:rPr>
            <w:t>1</w:t>
          </w:r>
          <w:r>
            <w:rPr>
              <w:rFonts w:hint="eastAsia"/>
            </w:rPr>
            <w:t>.8、环境经济损益分析</w:t>
          </w:r>
          <w:r>
            <w:tab/>
          </w:r>
          <w:r>
            <w:fldChar w:fldCharType="begin"/>
          </w:r>
          <w:r>
            <w:instrText xml:space="preserve"> PAGEREF _Toc13011 \h </w:instrText>
          </w:r>
          <w:r>
            <w:fldChar w:fldCharType="separate"/>
          </w:r>
          <w:r>
            <w:t>247</w:t>
          </w:r>
          <w:r>
            <w:fldChar w:fldCharType="end"/>
          </w:r>
          <w:r>
            <w:fldChar w:fldCharType="end"/>
          </w:r>
        </w:p>
        <w:p>
          <w:pPr>
            <w:pStyle w:val="24"/>
            <w:tabs>
              <w:tab w:val="right" w:leader="dot" w:pos="8306"/>
            </w:tabs>
          </w:pPr>
          <w:r>
            <w:fldChar w:fldCharType="begin"/>
          </w:r>
          <w:r>
            <w:instrText xml:space="preserve"> HYPERLINK \l _Toc6331 </w:instrText>
          </w:r>
          <w:r>
            <w:fldChar w:fldCharType="separate"/>
          </w:r>
          <w:r>
            <w:rPr>
              <w:rFonts w:hint="eastAsia"/>
            </w:rPr>
            <w:t>1</w:t>
          </w:r>
          <w:r>
            <w:rPr>
              <w:rFonts w:hint="eastAsia"/>
              <w:lang w:val="en-US" w:eastAsia="zh-CN"/>
            </w:rPr>
            <w:t>1</w:t>
          </w:r>
          <w:r>
            <w:t>.</w:t>
          </w:r>
          <w:r>
            <w:rPr>
              <w:rFonts w:hint="eastAsia"/>
            </w:rPr>
            <w:t>9、</w:t>
          </w:r>
          <w:r>
            <w:t>环保投资概算</w:t>
          </w:r>
          <w:r>
            <w:tab/>
          </w:r>
          <w:r>
            <w:fldChar w:fldCharType="begin"/>
          </w:r>
          <w:r>
            <w:instrText xml:space="preserve"> PAGEREF _Toc6331 \h </w:instrText>
          </w:r>
          <w:r>
            <w:fldChar w:fldCharType="separate"/>
          </w:r>
          <w:r>
            <w:t>247</w:t>
          </w:r>
          <w:r>
            <w:fldChar w:fldCharType="end"/>
          </w:r>
          <w:r>
            <w:fldChar w:fldCharType="end"/>
          </w:r>
        </w:p>
        <w:p>
          <w:pPr>
            <w:pStyle w:val="24"/>
            <w:tabs>
              <w:tab w:val="right" w:leader="dot" w:pos="8306"/>
            </w:tabs>
          </w:pPr>
          <w:r>
            <w:fldChar w:fldCharType="begin"/>
          </w:r>
          <w:r>
            <w:instrText xml:space="preserve"> HYPERLINK \l _Toc20390 </w:instrText>
          </w:r>
          <w:r>
            <w:fldChar w:fldCharType="separate"/>
          </w:r>
          <w:r>
            <w:rPr>
              <w:rFonts w:hint="eastAsia"/>
            </w:rPr>
            <w:t>1</w:t>
          </w:r>
          <w:r>
            <w:rPr>
              <w:rFonts w:hint="eastAsia"/>
              <w:lang w:val="en-US" w:eastAsia="zh-CN"/>
            </w:rPr>
            <w:t>1</w:t>
          </w:r>
          <w:r>
            <w:rPr>
              <w:rFonts w:hint="eastAsia"/>
            </w:rPr>
            <w:t>.10、公众参与</w:t>
          </w:r>
          <w:r>
            <w:tab/>
          </w:r>
          <w:r>
            <w:fldChar w:fldCharType="begin"/>
          </w:r>
          <w:r>
            <w:instrText xml:space="preserve"> PAGEREF _Toc20390 \h </w:instrText>
          </w:r>
          <w:r>
            <w:fldChar w:fldCharType="separate"/>
          </w:r>
          <w:r>
            <w:t>247</w:t>
          </w:r>
          <w:r>
            <w:fldChar w:fldCharType="end"/>
          </w:r>
          <w:r>
            <w:fldChar w:fldCharType="end"/>
          </w:r>
        </w:p>
        <w:p>
          <w:pPr>
            <w:pStyle w:val="24"/>
            <w:tabs>
              <w:tab w:val="right" w:leader="dot" w:pos="8306"/>
            </w:tabs>
          </w:pPr>
          <w:r>
            <w:fldChar w:fldCharType="begin"/>
          </w:r>
          <w:r>
            <w:instrText xml:space="preserve"> HYPERLINK \l _Toc24946 </w:instrText>
          </w:r>
          <w:r>
            <w:fldChar w:fldCharType="separate"/>
          </w:r>
          <w:r>
            <w:rPr>
              <w:rFonts w:hint="eastAsia"/>
            </w:rPr>
            <w:t>1</w:t>
          </w:r>
          <w:r>
            <w:rPr>
              <w:rFonts w:hint="eastAsia"/>
              <w:lang w:val="en-US" w:eastAsia="zh-CN"/>
            </w:rPr>
            <w:t>1</w:t>
          </w:r>
          <w:r>
            <w:rPr>
              <w:rFonts w:hint="eastAsia"/>
            </w:rPr>
            <w:t>.1</w:t>
          </w:r>
          <w:r>
            <w:rPr>
              <w:rFonts w:hint="eastAsia"/>
              <w:lang w:val="en-US" w:eastAsia="zh-CN"/>
            </w:rPr>
            <w:t>1</w:t>
          </w:r>
          <w:r>
            <w:rPr>
              <w:rFonts w:hint="eastAsia"/>
            </w:rPr>
            <w:t>、</w:t>
          </w:r>
          <w:r>
            <w:t>综合评价结论</w:t>
          </w:r>
          <w:r>
            <w:tab/>
          </w:r>
          <w:r>
            <w:fldChar w:fldCharType="begin"/>
          </w:r>
          <w:r>
            <w:instrText xml:space="preserve"> PAGEREF _Toc24946 \h </w:instrText>
          </w:r>
          <w:r>
            <w:fldChar w:fldCharType="separate"/>
          </w:r>
          <w:r>
            <w:t>248</w:t>
          </w:r>
          <w:r>
            <w:fldChar w:fldCharType="end"/>
          </w:r>
          <w:r>
            <w:fldChar w:fldCharType="end"/>
          </w:r>
        </w:p>
        <w:p>
          <w:pPr>
            <w:pStyle w:val="24"/>
            <w:tabs>
              <w:tab w:val="right" w:leader="dot" w:pos="8306"/>
            </w:tabs>
          </w:pPr>
          <w:r>
            <w:fldChar w:fldCharType="begin"/>
          </w:r>
          <w:r>
            <w:instrText xml:space="preserve"> HYPERLINK \l _Toc30489 </w:instrText>
          </w:r>
          <w:r>
            <w:fldChar w:fldCharType="separate"/>
          </w:r>
          <w:r>
            <w:rPr>
              <w:rFonts w:hint="eastAsia"/>
            </w:rPr>
            <w:t>1</w:t>
          </w:r>
          <w:r>
            <w:rPr>
              <w:rFonts w:hint="eastAsia"/>
              <w:lang w:val="en-US" w:eastAsia="zh-CN"/>
            </w:rPr>
            <w:t>1</w:t>
          </w:r>
          <w:r>
            <w:rPr>
              <w:rFonts w:hint="eastAsia"/>
            </w:rPr>
            <w:t>.13、</w:t>
          </w:r>
          <w:r>
            <w:t>建议</w:t>
          </w:r>
          <w:r>
            <w:tab/>
          </w:r>
          <w:r>
            <w:fldChar w:fldCharType="begin"/>
          </w:r>
          <w:r>
            <w:instrText xml:space="preserve"> PAGEREF _Toc30489 \h </w:instrText>
          </w:r>
          <w:r>
            <w:fldChar w:fldCharType="separate"/>
          </w:r>
          <w:r>
            <w:t>248</w:t>
          </w:r>
          <w:r>
            <w:fldChar w:fldCharType="end"/>
          </w:r>
          <w:r>
            <w:fldChar w:fldCharType="end"/>
          </w:r>
        </w:p>
        <w:p>
          <w:pPr>
            <w:pStyle w:val="2"/>
          </w:pPr>
          <w:r>
            <w:fldChar w:fldCharType="end"/>
          </w:r>
        </w:p>
      </w:sdtContent>
    </w:sdt>
    <w:p>
      <w:pPr>
        <w:pStyle w:val="2"/>
        <w:rPr>
          <w:color w:val="000000" w:themeColor="text1"/>
          <w14:textFill>
            <w14:solidFill>
              <w14:schemeClr w14:val="tx1"/>
            </w14:solidFill>
          </w14:textFill>
        </w:rPr>
      </w:pPr>
    </w:p>
    <w:p>
      <w:pPr>
        <w:ind w:firstLine="480"/>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pStyle w:val="4"/>
      </w:pPr>
      <w:bookmarkStart w:id="60" w:name="_Toc10631"/>
      <w:bookmarkStart w:id="61" w:name="_Toc934"/>
      <w:r>
        <w:t>概 述</w:t>
      </w:r>
      <w:bookmarkEnd w:id="60"/>
      <w:bookmarkEnd w:id="61"/>
    </w:p>
    <w:p>
      <w:pPr>
        <w:pStyle w:val="5"/>
        <w:bidi w:val="0"/>
      </w:pPr>
      <w:bookmarkStart w:id="62" w:name="_Toc26923_WPSOffice_Level1"/>
      <w:bookmarkStart w:id="63" w:name="_Toc18998_WPSOffice_Level1"/>
      <w:bookmarkStart w:id="64" w:name="_Toc16486_WPSOffice_Level1"/>
      <w:bookmarkStart w:id="65" w:name="_Toc30647_WPSOffice_Level1"/>
      <w:bookmarkStart w:id="66" w:name="_Toc7157_WPSOffice_Level1"/>
      <w:bookmarkStart w:id="67" w:name="_Toc7786_WPSOffice_Level1"/>
      <w:bookmarkStart w:id="68" w:name="_Toc29551_WPSOffice_Level1"/>
      <w:bookmarkStart w:id="69" w:name="_Toc26417_WPSOffice_Level1"/>
      <w:bookmarkStart w:id="70" w:name="_Toc726"/>
      <w:r>
        <w:rPr>
          <w:rFonts w:hint="eastAsia"/>
          <w:lang w:val="en-US" w:eastAsia="zh-CN"/>
        </w:rPr>
        <w:t>1</w:t>
      </w:r>
      <w:r>
        <w:t>、项目由来</w:t>
      </w:r>
      <w:bookmarkEnd w:id="62"/>
      <w:bookmarkEnd w:id="63"/>
      <w:bookmarkEnd w:id="64"/>
      <w:bookmarkEnd w:id="65"/>
      <w:bookmarkEnd w:id="66"/>
      <w:bookmarkEnd w:id="67"/>
      <w:bookmarkEnd w:id="68"/>
      <w:bookmarkEnd w:id="69"/>
      <w:bookmarkEnd w:id="70"/>
    </w:p>
    <w:p>
      <w:pPr>
        <w:ind w:firstLine="480"/>
      </w:pPr>
      <w:r>
        <w:t>近年来，随着人民生活水平的不断提高，饮食结构的不断改善，肉牛、肉羊的消费数量呈现持续增长的局面，与国际市场相比，我国肉牛、肉羊生产在饲料资源、劳动力成本、产品价格等方面具有很大优势，但我们还应该清醒地认识到，与美、英、日等肉产业发达的国家相比，我国肉牛、肉羊产业还很落后，存在着很大的差距</w:t>
      </w:r>
      <w:r>
        <w:rPr>
          <w:rFonts w:hint="eastAsia"/>
        </w:rPr>
        <w:t>。首先从生产上来说，我国</w:t>
      </w:r>
      <w:r>
        <w:t>畜牧业经营分散、生产成本高、商品率低，规模化</w:t>
      </w:r>
      <w:r>
        <w:rPr>
          <w:rFonts w:hint="eastAsia"/>
        </w:rPr>
        <w:t>和</w:t>
      </w:r>
      <w:r>
        <w:t>专业化程度低，影响了产业规模的扩大。</w:t>
      </w:r>
      <w:r>
        <w:rPr>
          <w:rFonts w:hint="eastAsia"/>
        </w:rPr>
        <w:t>同时由于</w:t>
      </w:r>
      <w:r>
        <w:t>产业化程度低，</w:t>
      </w:r>
      <w:r>
        <w:rPr>
          <w:rFonts w:hint="eastAsia"/>
        </w:rPr>
        <w:t>致使</w:t>
      </w:r>
      <w:r>
        <w:t>小市场与大生产连接不紧密，未能形成贸工农一体化、产供销一条龙的经营体系</w:t>
      </w:r>
      <w:r>
        <w:rPr>
          <w:rFonts w:hint="eastAsia"/>
        </w:rPr>
        <w:t>；其次</w:t>
      </w:r>
      <w:r>
        <w:t>牛羊肉加工企业小而散、弱而低，管理粗放、精深加工不足，产品档次低，附加值不高，没有品牌优势和市场优势，市场竞争力弱，使资源优势未能形成产业优势</w:t>
      </w:r>
      <w:r>
        <w:rPr>
          <w:rFonts w:hint="eastAsia"/>
        </w:rPr>
        <w:t>。</w:t>
      </w:r>
      <w:r>
        <w:t>因此，如何依托我</w:t>
      </w:r>
      <w:r>
        <w:rPr>
          <w:rFonts w:hint="eastAsia"/>
        </w:rPr>
        <w:t>国</w:t>
      </w:r>
      <w:r>
        <w:t>畜牧业优势资源，加快培育和优先发展影响力大、带动力强、关联度高、规模经营的牛羊肉精深加工龙头企业，就成为</w:t>
      </w:r>
      <w:r>
        <w:rPr>
          <w:rFonts w:hint="eastAsia"/>
        </w:rPr>
        <w:t>目前畜牧业发展的</w:t>
      </w:r>
      <w:r>
        <w:t>重中之重。</w:t>
      </w:r>
    </w:p>
    <w:p>
      <w:pPr>
        <w:ind w:firstLine="480"/>
      </w:pPr>
      <w:r>
        <w:t>针对当前肉羊、肉牛产业存在的问题，</w:t>
      </w:r>
      <w:r>
        <w:rPr>
          <w:rFonts w:hint="eastAsia"/>
          <w:lang w:val="en-US" w:eastAsia="zh-CN"/>
        </w:rPr>
        <w:t>张掖市沅博农牧产业开发有限公司</w:t>
      </w:r>
      <w:r>
        <w:rPr>
          <w:rFonts w:hint="eastAsia"/>
        </w:rPr>
        <w:t>紧抓时代机遇，</w:t>
      </w:r>
      <w:r>
        <w:t>引进先进的技术，建设</w:t>
      </w:r>
      <w:r>
        <w:rPr>
          <w:rFonts w:hint="eastAsia"/>
        </w:rPr>
        <w:t>肉羊</w:t>
      </w:r>
      <w:r>
        <w:t>屠宰</w:t>
      </w:r>
      <w:r>
        <w:rPr>
          <w:rFonts w:hint="eastAsia"/>
        </w:rPr>
        <w:t>精深</w:t>
      </w:r>
      <w:r>
        <w:t>加工</w:t>
      </w:r>
      <w:r>
        <w:rPr>
          <w:rFonts w:hint="eastAsia"/>
        </w:rPr>
        <w:t>加车间及牛羊预制品生产车间1座来</w:t>
      </w:r>
      <w:r>
        <w:t>生产优质高档羊肉</w:t>
      </w:r>
      <w:r>
        <w:rPr>
          <w:rFonts w:hint="eastAsia"/>
        </w:rPr>
        <w:t>产品和牛羊预制品</w:t>
      </w:r>
      <w:r>
        <w:t>，有效延长肉牛、肉羊生产产业链条，提高产品附加值</w:t>
      </w:r>
      <w:r>
        <w:rPr>
          <w:rFonts w:hint="eastAsia"/>
        </w:rPr>
        <w:t>，助力当地经济发展</w:t>
      </w:r>
      <w:r>
        <w:t>。</w:t>
      </w:r>
    </w:p>
    <w:p>
      <w:pPr>
        <w:ind w:firstLine="480"/>
      </w:pPr>
      <w:r>
        <w:rPr>
          <w:rFonts w:hint="eastAsia"/>
          <w:lang w:val="en-US" w:eastAsia="zh-CN"/>
        </w:rPr>
        <w:t>张掖市沅博农牧产业开发有限公司</w:t>
      </w:r>
      <w:r>
        <w:t>作为张掖市集“养殖—加工”于一体的农业产业化重点龙头企业，</w:t>
      </w:r>
      <w:r>
        <w:rPr>
          <w:rFonts w:hint="eastAsia"/>
        </w:rPr>
        <w:t>多年来一直从事肉牛的养殖，目前公司已建设有智慧牧场1处，可实现年出栏肉牛1.2万头，同时公司自建有张掖市最大的以羊为主的活畜交易市场，年交易量可达到100万只，其次公司周边土地、水、通讯、电力资源充裕，环境容量大，给排水、畜禽防疫等公用设施条件完备，为本项目的建设提供了便利的条件。</w:t>
      </w:r>
    </w:p>
    <w:p>
      <w:pPr>
        <w:pStyle w:val="5"/>
        <w:bidi w:val="0"/>
        <w:rPr>
          <w:rFonts w:hint="eastAsia"/>
          <w:lang w:val="en-US" w:eastAsia="zh-CN"/>
        </w:rPr>
      </w:pPr>
      <w:bookmarkStart w:id="71" w:name="_Toc9611_WPSOffice_Level1"/>
      <w:bookmarkStart w:id="72" w:name="_Toc25261_WPSOffice_Level1"/>
      <w:bookmarkStart w:id="73" w:name="_Toc4398_WPSOffice_Level1"/>
      <w:bookmarkStart w:id="74" w:name="_Toc27855_WPSOffice_Level1"/>
      <w:bookmarkStart w:id="75" w:name="_Toc23708_WPSOffice_Level1"/>
      <w:bookmarkStart w:id="76" w:name="_Toc28700"/>
      <w:bookmarkStart w:id="77" w:name="_Toc28677_WPSOffice_Level1"/>
      <w:bookmarkStart w:id="78" w:name="_Toc8871_WPSOffice_Level1"/>
      <w:bookmarkStart w:id="79" w:name="_Toc23759_WPSOffice_Level1"/>
      <w:r>
        <w:rPr>
          <w:rFonts w:hint="eastAsia"/>
          <w:lang w:val="en-US" w:eastAsia="zh-CN"/>
        </w:rPr>
        <w:t>2</w:t>
      </w:r>
      <w:r>
        <w:rPr>
          <w:rFonts w:hint="eastAsia"/>
        </w:rPr>
        <w:t>、</w:t>
      </w:r>
      <w:r>
        <w:t>建设项目概况及特点</w:t>
      </w:r>
      <w:bookmarkEnd w:id="71"/>
      <w:bookmarkEnd w:id="72"/>
      <w:bookmarkEnd w:id="73"/>
      <w:bookmarkEnd w:id="74"/>
      <w:bookmarkEnd w:id="75"/>
      <w:bookmarkEnd w:id="76"/>
      <w:bookmarkEnd w:id="77"/>
      <w:bookmarkEnd w:id="78"/>
      <w:bookmarkEnd w:id="79"/>
    </w:p>
    <w:p>
      <w:pPr>
        <w:pStyle w:val="6"/>
        <w:bidi w:val="0"/>
        <w:rPr>
          <w:rFonts w:hint="eastAsia"/>
          <w:lang w:val="en-US" w:eastAsia="zh-CN"/>
        </w:rPr>
      </w:pPr>
      <w:r>
        <w:rPr>
          <w:rFonts w:hint="eastAsia"/>
          <w:lang w:val="en-US" w:eastAsia="zh-CN"/>
        </w:rPr>
        <w:t>2.1、</w:t>
      </w:r>
      <w:r>
        <w:t>建设项目概况</w:t>
      </w:r>
    </w:p>
    <w:p>
      <w:pPr>
        <w:ind w:firstLine="480"/>
        <w:rPr>
          <w:rFonts w:hint="default" w:ascii="Times New Roman" w:hAnsi="Times New Roman" w:cs="Times New Roman"/>
          <w:lang w:val="en-US" w:eastAsia="zh-CN"/>
        </w:rPr>
      </w:pPr>
      <w:r>
        <w:t>本项目拟建于张掖市经济技术开发区</w:t>
      </w:r>
      <w:r>
        <w:rPr>
          <w:rFonts w:hint="eastAsia"/>
        </w:rPr>
        <w:t>巴吉滩</w:t>
      </w:r>
      <w:r>
        <w:t>农产品加工产业园</w:t>
      </w:r>
      <w:r>
        <w:rPr>
          <w:rFonts w:hint="eastAsia"/>
          <w:lang w:val="en-US" w:eastAsia="zh-CN"/>
        </w:rPr>
        <w:t>张掖市沅博农牧产业开发有限公司</w:t>
      </w:r>
      <w:r>
        <w:rPr>
          <w:rFonts w:hint="eastAsia"/>
        </w:rPr>
        <w:t>现厂址内</w:t>
      </w:r>
      <w:r>
        <w:rPr>
          <w:rFonts w:hint="eastAsia"/>
          <w:lang w:val="en-US" w:eastAsia="zh-CN"/>
        </w:rPr>
        <w:t>西</w:t>
      </w:r>
      <w:r>
        <w:rPr>
          <w:rFonts w:hint="eastAsia"/>
        </w:rPr>
        <w:t>侧</w:t>
      </w:r>
      <w:r>
        <w:t>，项目总投资</w:t>
      </w:r>
      <w:r>
        <w:rPr>
          <w:rFonts w:hint="eastAsia"/>
          <w:lang w:val="en-US" w:eastAsia="zh-CN"/>
        </w:rPr>
        <w:t>6000</w:t>
      </w:r>
      <w:r>
        <w:t>万元，</w:t>
      </w:r>
      <w:r>
        <w:rPr>
          <w:rFonts w:hint="eastAsia"/>
          <w:lang w:val="en-US" w:eastAsia="zh-CN"/>
        </w:rPr>
        <w:t>总占地面积19886m</w:t>
      </w:r>
      <w:r>
        <w:rPr>
          <w:rFonts w:hint="eastAsia"/>
          <w:vertAlign w:val="superscript"/>
          <w:lang w:val="en-US" w:eastAsia="zh-CN"/>
        </w:rPr>
        <w:t>2</w:t>
      </w:r>
      <w:r>
        <w:rPr>
          <w:rFonts w:hint="eastAsia"/>
          <w:lang w:val="en-US" w:eastAsia="zh-CN"/>
        </w:rPr>
        <w:t>，总建筑面积13578m</w:t>
      </w:r>
      <w:r>
        <w:rPr>
          <w:rFonts w:hint="eastAsia"/>
          <w:vertAlign w:val="superscript"/>
          <w:lang w:val="en-US" w:eastAsia="zh-CN"/>
        </w:rPr>
        <w:t>2</w:t>
      </w:r>
      <w:r>
        <w:rPr>
          <w:rFonts w:hint="eastAsia"/>
          <w:lang w:val="en-US" w:eastAsia="zh-CN"/>
        </w:rPr>
        <w:t>，项目建成后可实现年精深加工肉羊60万只，同时以本项目生产的新羊肉和羊杂为原料年生产加工羊肉预制品3000t、年生产羊杂预制品2000t，其次以公司现有的肉牛精深加工生产线生产的鲜牛肉为原料年生产加工牛肉预制品7000t。项目主要建设有待宰圈、屠宰加工车间、牛羊预制品车间以及冷库等，其中：待宰圈总体上位于拟建区域东侧，待宰圈主要用于肉羊宰前暂存；屠宰加工车间位于拟建区域中间位置，主要设置现代化屠宰流水作业线1条，分割生产线2条，包装生产线1条及肉羊副产物处理生产线1条，同时设置相应的员工更衣间、消毒室等；牛羊预制品车间总体上位于拟建区域北侧，主要设置肉羊预制品生产线1条、肉牛预制品生产线1条，羊杂预制品生产线1条；冷库区主要位于拟建区域西北侧，主要承担本项目鲜羊肉的冷藏工作。</w:t>
      </w:r>
    </w:p>
    <w:p>
      <w:pPr>
        <w:pStyle w:val="6"/>
        <w:bidi w:val="0"/>
        <w:rPr>
          <w:rFonts w:hint="default"/>
          <w:lang w:val="en-US" w:eastAsia="zh-CN"/>
        </w:rPr>
      </w:pPr>
      <w:r>
        <w:rPr>
          <w:rFonts w:hint="eastAsia"/>
          <w:lang w:val="en-US" w:eastAsia="zh-CN"/>
        </w:rPr>
        <w:t>2.2、建设项目特点</w:t>
      </w:r>
    </w:p>
    <w:p>
      <w:pPr>
        <w:ind w:firstLine="480"/>
        <w:rPr>
          <w14:textFill>
            <w14:gradFill>
              <w14:gsLst>
                <w14:gs w14:pos="0">
                  <w14:srgbClr w14:val="14CD68"/>
                </w14:gs>
                <w14:gs w14:pos="100000">
                  <w14:srgbClr w14:val="0B6E38"/>
                </w14:gs>
              </w14:gsLst>
              <w14:lin w14:ang="0" w14:scaled="0"/>
            </w14:gradFill>
          </w14:textFill>
        </w:rPr>
      </w:pPr>
      <w:r>
        <w:t>本项目主要特点如下：</w:t>
      </w:r>
    </w:p>
    <w:p>
      <w:pPr>
        <w:ind w:firstLine="480"/>
      </w:pPr>
      <w:r>
        <w:rPr>
          <w:rFonts w:hint="eastAsia"/>
        </w:rPr>
        <w:t>（1）</w:t>
      </w:r>
      <w:r>
        <w:t>本项目位于</w:t>
      </w:r>
      <w:r>
        <w:rPr>
          <w:rFonts w:hint="eastAsia"/>
          <w:lang w:eastAsia="zh-CN"/>
        </w:rPr>
        <w:t>张掖市甘州区巴吉滩农产品产业园</w:t>
      </w:r>
      <w:r>
        <w:t>，即位于工业园区，</w:t>
      </w:r>
      <w:r>
        <w:rPr>
          <w:rFonts w:hint="eastAsia"/>
        </w:rPr>
        <w:t>有利于张掖市肉羊养殖产业的集群化发展，有利于构建更具有竞争力的现代化产业格局。</w:t>
      </w:r>
    </w:p>
    <w:p>
      <w:pPr>
        <w:ind w:firstLine="480"/>
      </w:pPr>
      <w:r>
        <w:rPr>
          <w:rFonts w:hint="eastAsia"/>
        </w:rPr>
        <w:t>（2）</w:t>
      </w:r>
      <w:r>
        <w:t>本项目</w:t>
      </w:r>
      <w:r>
        <w:rPr>
          <w:rFonts w:hint="eastAsia"/>
        </w:rPr>
        <w:t>肉羊全部从周边养殖农户购入，有效的促进了张掖市肉羊养殖产业的高质量发展，同时助力张掖市肉羊养殖高效、健康的发展。</w:t>
      </w:r>
    </w:p>
    <w:p>
      <w:pPr>
        <w:ind w:firstLine="480"/>
      </w:pPr>
      <w:r>
        <w:rPr>
          <w:rFonts w:hint="eastAsia"/>
        </w:rPr>
        <w:t>（3）公司建设有有机肥生产车间1座，肉羊在屠宰过程中产生的固废可以全部拉运至有机肥生产车间处置，</w:t>
      </w:r>
      <w:r>
        <w:t>变废为宝生产有机肥，</w:t>
      </w:r>
      <w:r>
        <w:rPr>
          <w:rFonts w:hint="eastAsia"/>
        </w:rPr>
        <w:t>最大限度的提高了资源利用效率，同时建设单位在生产设备上选购节能环保的生产设备，最大限度的节约了资源，基本做到了发展与环境保护两不误。</w:t>
      </w:r>
    </w:p>
    <w:p>
      <w:pPr>
        <w:ind w:firstLine="480"/>
      </w:pPr>
      <w:r>
        <w:rPr>
          <w:rFonts w:hint="eastAsia"/>
        </w:rPr>
        <w:t>（4）本项目的建设可以延伸</w:t>
      </w:r>
      <w:r>
        <w:t>有效延长肉羊生产</w:t>
      </w:r>
      <w:r>
        <w:rPr>
          <w:rFonts w:hint="eastAsia"/>
        </w:rPr>
        <w:t>加工</w:t>
      </w:r>
      <w:r>
        <w:t>产业链条</w:t>
      </w:r>
      <w:r>
        <w:rPr>
          <w:rFonts w:hint="eastAsia"/>
        </w:rPr>
        <w:t>，树立品牌效应，提高了企业抗风险能力，提高了</w:t>
      </w:r>
      <w:r>
        <w:t>肉羊</w:t>
      </w:r>
      <w:r>
        <w:rPr>
          <w:rFonts w:hint="eastAsia"/>
        </w:rPr>
        <w:t>产品的附加值，有利于壮大提升企业的工业实力。</w:t>
      </w:r>
    </w:p>
    <w:p>
      <w:pPr>
        <w:pStyle w:val="5"/>
        <w:bidi w:val="0"/>
      </w:pPr>
      <w:bookmarkStart w:id="80" w:name="_Toc27526_WPSOffice_Level1"/>
      <w:bookmarkStart w:id="81" w:name="_Toc17729_WPSOffice_Level1"/>
      <w:bookmarkStart w:id="82" w:name="_Toc13551_WPSOffice_Level1"/>
      <w:bookmarkStart w:id="83" w:name="_Toc16823_WPSOffice_Level1"/>
      <w:bookmarkStart w:id="84" w:name="_Toc14014_WPSOffice_Level1"/>
      <w:bookmarkStart w:id="85" w:name="_Toc19364_WPSOffice_Level1"/>
      <w:bookmarkStart w:id="86" w:name="_Toc30082_WPSOffice_Level1"/>
      <w:bookmarkStart w:id="87" w:name="_Toc10459_WPSOffice_Level1"/>
      <w:bookmarkStart w:id="88" w:name="_Toc1595"/>
      <w:r>
        <w:rPr>
          <w:rFonts w:hint="eastAsia"/>
          <w:lang w:val="en-US" w:eastAsia="zh-CN"/>
        </w:rPr>
        <w:t>3</w:t>
      </w:r>
      <w:r>
        <w:rPr>
          <w:rFonts w:hint="eastAsia"/>
        </w:rPr>
        <w:t>、</w:t>
      </w:r>
      <w:r>
        <w:t>环境影响评价工作过程</w:t>
      </w:r>
      <w:bookmarkEnd w:id="80"/>
      <w:bookmarkEnd w:id="81"/>
      <w:bookmarkEnd w:id="82"/>
      <w:bookmarkEnd w:id="83"/>
      <w:bookmarkEnd w:id="84"/>
      <w:bookmarkEnd w:id="85"/>
      <w:bookmarkEnd w:id="86"/>
      <w:bookmarkEnd w:id="87"/>
      <w:bookmarkEnd w:id="88"/>
    </w:p>
    <w:p>
      <w:pPr>
        <w:ind w:firstLine="480"/>
      </w:pPr>
      <w:r>
        <w:rPr>
          <w:rFonts w:hint="eastAsia"/>
        </w:rPr>
        <w:t>（1）</w:t>
      </w:r>
      <w:r>
        <w:rPr>
          <w:color w:val="000000" w:themeColor="text1"/>
          <w14:textFill>
            <w14:solidFill>
              <w14:schemeClr w14:val="tx1"/>
            </w14:solidFill>
          </w14:textFill>
        </w:rPr>
        <w:t>根据《中华人民共和国环境保护法》《中华人民共和国环境影响评价法》和《建设项目环境保护管理条例》（国务院682号令）</w:t>
      </w:r>
      <w:r>
        <w:rPr>
          <w:rFonts w:hint="eastAsia"/>
          <w:color w:val="000000" w:themeColor="text1"/>
          <w14:textFill>
            <w14:solidFill>
              <w14:schemeClr w14:val="tx1"/>
            </w14:solidFill>
          </w14:textFill>
        </w:rPr>
        <w:t>、</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建设项目环境影响评价分类管理名录（2021年版）</w:t>
      </w:r>
      <w:r>
        <w:rPr>
          <w:color w:val="000000" w:themeColor="text1"/>
          <w:kern w:val="0"/>
          <w14:textFill>
            <w14:solidFill>
              <w14:schemeClr w14:val="tx1"/>
            </w14:solidFill>
          </w14:textFill>
        </w:rPr>
        <w:t>》</w:t>
      </w:r>
      <w:r>
        <w:rPr>
          <w:rFonts w:hint="eastAsia"/>
          <w:color w:val="000000" w:themeColor="text1"/>
          <w:kern w:val="0"/>
          <w14:textFill>
            <w14:solidFill>
              <w14:schemeClr w14:val="tx1"/>
            </w14:solidFill>
          </w14:textFill>
        </w:rPr>
        <w:t>（部令 第16号）</w:t>
      </w:r>
      <w:r>
        <w:rPr>
          <w:color w:val="000000" w:themeColor="text1"/>
          <w:kern w:val="0"/>
          <w14:textFill>
            <w14:solidFill>
              <w14:schemeClr w14:val="tx1"/>
            </w14:solidFill>
          </w14:textFill>
        </w:rPr>
        <w:t>，项目属环评类别中</w:t>
      </w:r>
      <w:r>
        <w:rPr>
          <w:rFonts w:hint="eastAsia"/>
          <w:color w:val="000000" w:themeColor="text1"/>
          <w:kern w:val="0"/>
          <w14:textFill>
            <w14:solidFill>
              <w14:schemeClr w14:val="tx1"/>
            </w14:solidFill>
          </w14:textFill>
        </w:rPr>
        <w:t>“十、农副食品加工业/18屠宰及肉类加工/屠宰生猪10万头、肉牛1万头、</w:t>
      </w:r>
      <w:r>
        <w:rPr>
          <w:rFonts w:hint="eastAsia"/>
          <w:b w:val="0"/>
          <w:bCs w:val="0"/>
          <w:color w:val="000000" w:themeColor="text1"/>
          <w:kern w:val="0"/>
          <w14:textFill>
            <w14:solidFill>
              <w14:schemeClr w14:val="tx1"/>
            </w14:solidFill>
          </w14:textFill>
        </w:rPr>
        <w:t>肉羊15万只、</w:t>
      </w:r>
      <w:r>
        <w:rPr>
          <w:rFonts w:hint="eastAsia"/>
          <w:color w:val="000000" w:themeColor="text1"/>
          <w:kern w:val="0"/>
          <w14:textFill>
            <w14:solidFill>
              <w14:schemeClr w14:val="tx1"/>
            </w14:solidFill>
          </w14:textFill>
        </w:rPr>
        <w:t>禽类1000万只及以上的”</w:t>
      </w:r>
      <w:r>
        <w:rPr>
          <w:color w:val="000000" w:themeColor="text1"/>
          <w:kern w:val="0"/>
          <w14:textFill>
            <w14:solidFill>
              <w14:schemeClr w14:val="tx1"/>
            </w14:solidFill>
          </w14:textFill>
        </w:rPr>
        <w:t>，</w:t>
      </w:r>
      <w:r>
        <w:rPr>
          <w:bCs/>
          <w:color w:val="000000" w:themeColor="text1"/>
          <w14:textFill>
            <w14:solidFill>
              <w14:schemeClr w14:val="tx1"/>
            </w14:solidFill>
          </w14:textFill>
        </w:rPr>
        <w:t>应</w:t>
      </w:r>
      <w:r>
        <w:rPr>
          <w:color w:val="000000" w:themeColor="text1"/>
          <w14:textFill>
            <w14:solidFill>
              <w14:schemeClr w14:val="tx1"/>
            </w14:solidFill>
          </w14:textFill>
        </w:rPr>
        <w:t>编制环境影响报告书。</w:t>
      </w:r>
      <w:r>
        <w:t>20</w:t>
      </w:r>
      <w:r>
        <w:rPr>
          <w:rFonts w:hint="eastAsia"/>
        </w:rPr>
        <w:t>22</w:t>
      </w:r>
      <w:r>
        <w:t>年</w:t>
      </w:r>
      <w:r>
        <w:rPr>
          <w:rFonts w:hint="eastAsia"/>
        </w:rPr>
        <w:t>5</w:t>
      </w:r>
      <w:r>
        <w:t>月，</w:t>
      </w:r>
      <w:r>
        <w:rPr>
          <w:rFonts w:hint="eastAsia"/>
          <w:lang w:val="en-US" w:eastAsia="zh-CN"/>
        </w:rPr>
        <w:t>张掖市沅博农牧产业开发有限公司</w:t>
      </w:r>
      <w:r>
        <w:t>委托我公司承担《</w:t>
      </w:r>
      <w:r>
        <w:rPr>
          <w:rFonts w:hint="eastAsia"/>
          <w:lang w:val="en-US" w:eastAsia="zh-CN"/>
        </w:rPr>
        <w:t>沅博60万只肉羊精深分割及牛羊预制品加工项目</w:t>
      </w:r>
      <w:r>
        <w:t>》的编制工作；</w:t>
      </w:r>
    </w:p>
    <w:p>
      <w:pPr>
        <w:ind w:firstLine="480"/>
      </w:pPr>
      <w:r>
        <w:rPr>
          <w:rFonts w:hint="eastAsia"/>
        </w:rPr>
        <w:t>（2）2022</w:t>
      </w:r>
      <w:r>
        <w:t>年</w:t>
      </w:r>
      <w:r>
        <w:rPr>
          <w:rFonts w:hint="eastAsia"/>
        </w:rPr>
        <w:t>5</w:t>
      </w:r>
      <w:r>
        <w:t>月</w:t>
      </w:r>
      <w:r>
        <w:rPr>
          <w:rFonts w:hint="eastAsia"/>
        </w:rPr>
        <w:t>20</w:t>
      </w:r>
      <w:r>
        <w:t>日在环评互联网上进行了该项目环境影响评价的第一次公示；</w:t>
      </w:r>
    </w:p>
    <w:p>
      <w:pPr>
        <w:ind w:firstLine="480"/>
        <w:rPr>
          <w:color w:val="FF0000"/>
        </w:rPr>
      </w:pPr>
      <w:r>
        <w:rPr>
          <w:rFonts w:hint="eastAsia"/>
          <w:color w:val="FF0000"/>
        </w:rPr>
        <w:t>（3）</w:t>
      </w:r>
      <w:r>
        <w:rPr>
          <w:color w:val="FF0000"/>
        </w:rPr>
        <w:t>20</w:t>
      </w:r>
      <w:r>
        <w:rPr>
          <w:rFonts w:hint="eastAsia"/>
          <w:color w:val="FF0000"/>
        </w:rPr>
        <w:t>22</w:t>
      </w:r>
      <w:r>
        <w:rPr>
          <w:color w:val="FF0000"/>
        </w:rPr>
        <w:t>年</w:t>
      </w:r>
      <w:r>
        <w:rPr>
          <w:rFonts w:hint="eastAsia"/>
          <w:color w:val="FF0000"/>
        </w:rPr>
        <w:t>3</w:t>
      </w:r>
      <w:r>
        <w:rPr>
          <w:color w:val="FF0000"/>
        </w:rPr>
        <w:t>月</w:t>
      </w:r>
      <w:r>
        <w:rPr>
          <w:rFonts w:hint="eastAsia"/>
          <w:color w:val="FF0000"/>
        </w:rPr>
        <w:t>2</w:t>
      </w:r>
      <w:r>
        <w:rPr>
          <w:color w:val="FF0000"/>
        </w:rPr>
        <w:t>日，根据</w:t>
      </w:r>
      <w:r>
        <w:rPr>
          <w:rFonts w:hint="eastAsia"/>
          <w:color w:val="FF0000"/>
        </w:rPr>
        <w:t>《环境影响评价公众参与办法》（生态环境部令第4号），建设单位通过采用网络、报纸及公告的方式对《60万只肉羊精深分割及牛羊预制品加工项目环境影响报告书（征求意见稿）》进行了为期十个工作日的公示，公示期间未收到任何公众意见。</w:t>
      </w:r>
    </w:p>
    <w:p>
      <w:pPr>
        <w:ind w:firstLine="480"/>
      </w:pPr>
      <w:r>
        <w:rPr>
          <w:rFonts w:hint="eastAsia"/>
          <w:color w:val="FF0000"/>
        </w:rPr>
        <w:t>（3）2022</w:t>
      </w:r>
      <w:r>
        <w:rPr>
          <w:color w:val="FF0000"/>
        </w:rPr>
        <w:t>年</w:t>
      </w:r>
      <w:r>
        <w:rPr>
          <w:rFonts w:hint="eastAsia"/>
          <w:color w:val="FF0000"/>
        </w:rPr>
        <w:t>3</w:t>
      </w:r>
      <w:r>
        <w:rPr>
          <w:color w:val="FF0000"/>
        </w:rPr>
        <w:t>月</w:t>
      </w:r>
      <w:r>
        <w:rPr>
          <w:rFonts w:hint="eastAsia"/>
          <w:color w:val="FF0000"/>
        </w:rPr>
        <w:t>17</w:t>
      </w:r>
      <w:r>
        <w:rPr>
          <w:color w:val="FF0000"/>
        </w:rPr>
        <w:t>日，</w:t>
      </w:r>
      <w:r>
        <w:rPr>
          <w:rFonts w:hint="eastAsia"/>
          <w:color w:val="FF0000"/>
        </w:rPr>
        <w:t>建设单位在</w:t>
      </w:r>
      <w:r>
        <w:rPr>
          <w:rFonts w:hint="eastAsia"/>
          <w:color w:val="FF0000"/>
          <w:lang w:eastAsia="zh-CN"/>
        </w:rPr>
        <w:t>张掖市沅博农牧产业开发有限公司</w:t>
      </w:r>
      <w:r>
        <w:rPr>
          <w:rFonts w:hint="eastAsia"/>
          <w:color w:val="FF0000"/>
        </w:rPr>
        <w:t>网站上</w:t>
      </w:r>
      <w:r>
        <w:rPr>
          <w:color w:val="FF0000"/>
        </w:rPr>
        <w:t>进行了</w:t>
      </w:r>
      <w:r>
        <w:rPr>
          <w:rFonts w:hint="eastAsia"/>
          <w:color w:val="FF0000"/>
        </w:rPr>
        <w:t>《60万只肉羊精深分割及牛羊预制品加工项目环境影响报告书（</w:t>
      </w:r>
      <w:r>
        <w:rPr>
          <w:rFonts w:hint="eastAsia"/>
          <w:color w:val="FF0000"/>
          <w:lang w:val="en-US" w:eastAsia="zh-CN"/>
        </w:rPr>
        <w:t>送审</w:t>
      </w:r>
      <w:r>
        <w:rPr>
          <w:rFonts w:hint="eastAsia"/>
          <w:color w:val="FF0000"/>
        </w:rPr>
        <w:t>稿）》及《60万只肉羊精深分割及牛羊预制品加工项目环境影响评价公众参与说明》</w:t>
      </w:r>
      <w:r>
        <w:rPr>
          <w:color w:val="FF0000"/>
        </w:rPr>
        <w:t>公示；</w:t>
      </w:r>
      <w:r>
        <w:t>建设项目环境影响评价工作程序见图</w:t>
      </w:r>
      <w:r>
        <w:rPr>
          <w:rFonts w:hint="eastAsia"/>
        </w:rPr>
        <w:t>0</w:t>
      </w:r>
      <w:r>
        <w:t>-1。</w:t>
      </w:r>
    </w:p>
    <w:p>
      <w:pPr>
        <w:pStyle w:val="5"/>
        <w:bidi w:val="0"/>
      </w:pPr>
      <w:bookmarkStart w:id="89" w:name="_Toc12855"/>
      <w:bookmarkStart w:id="90" w:name="_Toc9883"/>
      <w:bookmarkStart w:id="91" w:name="_Toc10319_WPSOffice_Level1"/>
      <w:bookmarkStart w:id="92" w:name="_Toc6477_WPSOffice_Level1"/>
      <w:bookmarkStart w:id="93" w:name="_Toc30364_WPSOffice_Level1"/>
      <w:bookmarkStart w:id="94" w:name="_Toc20936_WPSOffice_Level1"/>
      <w:bookmarkStart w:id="95" w:name="_Toc9184_WPSOffice_Level1"/>
      <w:bookmarkStart w:id="96" w:name="_Toc10825_WPSOffice_Level1"/>
      <w:bookmarkStart w:id="97" w:name="_Toc504_WPSOffice_Level1"/>
      <w:bookmarkStart w:id="98" w:name="_Toc24478_WPSOffice_Level1"/>
      <w:r>
        <w:rPr>
          <w:rFonts w:hint="eastAsia"/>
          <w:lang w:val="en-US" w:eastAsia="zh-CN"/>
        </w:rPr>
        <w:t>4</w:t>
      </w:r>
      <w:r>
        <w:t>、分析判定相关情况</w:t>
      </w:r>
      <w:bookmarkEnd w:id="89"/>
      <w:bookmarkEnd w:id="90"/>
    </w:p>
    <w:p>
      <w:pPr>
        <w:pStyle w:val="6"/>
        <w:bidi w:val="0"/>
        <w:rPr>
          <w:rFonts w:hint="default"/>
          <w:lang w:val="en-US" w:eastAsia="zh-CN"/>
        </w:rPr>
      </w:pPr>
      <w:r>
        <w:rPr>
          <w:rFonts w:hint="eastAsia"/>
          <w:lang w:val="en-US" w:eastAsia="zh-CN"/>
        </w:rPr>
        <w:t>4.1、产业政策</w:t>
      </w:r>
    </w:p>
    <w:p>
      <w:pPr>
        <w:bidi w:val="0"/>
        <w:rPr>
          <w:rFonts w:hint="eastAsia"/>
        </w:rPr>
      </w:pPr>
      <w:r>
        <w:rPr>
          <w:rFonts w:hint="eastAsia"/>
        </w:rPr>
        <w:t>本项目属于屠宰及肉类加工行业，</w:t>
      </w:r>
      <w:r>
        <w:t>经检索国家发改委2019令第29号《产业结构调整指导目录（2019年本）》，本项目属于名录中</w:t>
      </w:r>
      <w:r>
        <w:rPr>
          <w:rFonts w:hint="eastAsia"/>
        </w:rPr>
        <w:t>的</w:t>
      </w:r>
      <w:r>
        <w:t>第一条</w:t>
      </w:r>
      <w:r>
        <w:rPr>
          <w:rFonts w:hint="eastAsia"/>
        </w:rPr>
        <w:t>“</w:t>
      </w:r>
      <w:r>
        <w:t>农林业</w:t>
      </w:r>
      <w:r>
        <w:rPr>
          <w:rFonts w:hint="eastAsia"/>
        </w:rPr>
        <w:t>”中的“</w:t>
      </w:r>
      <w:r>
        <w:t>第26款</w:t>
      </w:r>
      <w:r>
        <w:rPr>
          <w:rFonts w:hint="eastAsia"/>
        </w:rPr>
        <w:t>，</w:t>
      </w:r>
      <w:r>
        <w:t>农林牧渔产品的储运、保鲜、加工及综合利用</w:t>
      </w:r>
      <w:r>
        <w:rPr>
          <w:rFonts w:hint="eastAsia"/>
        </w:rPr>
        <w:t>”</w:t>
      </w:r>
      <w:r>
        <w:t>，属鼓励类产业，项目建设符合国家产业政策。同时，</w:t>
      </w:r>
      <w:r>
        <w:rPr>
          <w:rFonts w:hint="eastAsia"/>
        </w:rPr>
        <w:t>本建设项目</w:t>
      </w:r>
      <w:r>
        <w:t>《企业投资项目核准和备案管理条例》及相关规定已完成网上备案，并获得</w:t>
      </w:r>
      <w:r>
        <w:rPr>
          <w:rFonts w:hint="eastAsia"/>
        </w:rPr>
        <w:t>张掖经济技术开发区经济发展局下发的</w:t>
      </w:r>
      <w:r>
        <w:t>《</w:t>
      </w:r>
      <w:r>
        <w:rPr>
          <w:rFonts w:hint="eastAsia"/>
        </w:rPr>
        <w:t>甘肃省</w:t>
      </w:r>
      <w:r>
        <w:t>投资项目</w:t>
      </w:r>
      <w:r>
        <w:rPr>
          <w:rFonts w:hint="eastAsia"/>
          <w:lang w:val="en-US" w:eastAsia="zh-CN"/>
        </w:rPr>
        <w:t>信用</w:t>
      </w:r>
      <w:r>
        <w:t>备案表》</w:t>
      </w:r>
      <w:r>
        <w:rPr>
          <w:rFonts w:hint="eastAsia"/>
        </w:rPr>
        <w:t>，备案号为：张经发字</w:t>
      </w:r>
      <w:r>
        <w:rPr>
          <w:rFonts w:hint="eastAsia"/>
          <w:lang w:eastAsia="zh-CN"/>
        </w:rPr>
        <w:t>（</w:t>
      </w:r>
      <w:r>
        <w:rPr>
          <w:rFonts w:hint="eastAsia"/>
        </w:rPr>
        <w:t>备</w:t>
      </w:r>
      <w:r>
        <w:rPr>
          <w:rFonts w:hint="eastAsia"/>
          <w:lang w:eastAsia="zh-CN"/>
        </w:rPr>
        <w:t>）〔</w:t>
      </w:r>
      <w:r>
        <w:rPr>
          <w:rFonts w:hint="eastAsia"/>
        </w:rPr>
        <w:t>2023</w:t>
      </w:r>
      <w:r>
        <w:rPr>
          <w:rFonts w:hint="eastAsia"/>
          <w:lang w:eastAsia="zh-CN"/>
        </w:rPr>
        <w:t>〕</w:t>
      </w:r>
      <w:r>
        <w:rPr>
          <w:rFonts w:hint="eastAsia"/>
        </w:rPr>
        <w:t>18号，</w:t>
      </w:r>
      <w:r>
        <w:t>备案</w:t>
      </w:r>
      <w:r>
        <w:rPr>
          <w:rFonts w:hint="eastAsia"/>
        </w:rPr>
        <w:t>证详见附件3</w:t>
      </w:r>
      <w:r>
        <w:t>。因此，本项目建设符合国家产业政策。</w:t>
      </w:r>
    </w:p>
    <w:p>
      <w:pPr>
        <w:pStyle w:val="6"/>
        <w:bidi w:val="0"/>
        <w:rPr>
          <w:rFonts w:hint="default"/>
          <w:lang w:val="en-US" w:eastAsia="zh-CN"/>
        </w:rPr>
      </w:pPr>
      <w:r>
        <w:rPr>
          <w:rFonts w:hint="eastAsia"/>
          <w:lang w:val="en-US" w:eastAsia="zh-CN"/>
        </w:rPr>
        <w:t>4.2、</w:t>
      </w:r>
      <w:r>
        <w:rPr>
          <w:rFonts w:hint="eastAsia"/>
        </w:rPr>
        <w:t>规划相符性</w:t>
      </w:r>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highlight w:val="none"/>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eastAsia"/>
          <w:b/>
          <w:bCs/>
          <w:color w:val="auto"/>
          <w:highlight w:val="none"/>
        </w:rPr>
        <w:t>与《甘肃省国民经济和社会发展第十四个五年规划和2035年远景目标纲要》符合性分析</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auto"/>
          <w:highlight w:val="none"/>
        </w:rPr>
        <w:t>《甘肃省国民经济和社会发展第十四个五年规划和2035年远景目标纲要》中提出：培育千亿产业集群。实施产业基础高级化和产业链现代化攻坚战</w:t>
      </w:r>
      <w:r>
        <w:rPr>
          <w:rFonts w:hint="eastAsia"/>
          <w:color w:val="auto"/>
          <w:highlight w:val="none"/>
          <w:lang w:eastAsia="zh-CN"/>
        </w:rPr>
        <w:t>，</w:t>
      </w:r>
      <w:r>
        <w:rPr>
          <w:rFonts w:hint="eastAsia"/>
          <w:color w:val="auto"/>
          <w:highlight w:val="none"/>
        </w:rPr>
        <w:t>开展重点和优势产业链培育攻坚行动</w:t>
      </w:r>
      <w:r>
        <w:rPr>
          <w:rFonts w:hint="eastAsia"/>
          <w:color w:val="auto"/>
          <w:highlight w:val="none"/>
          <w:lang w:eastAsia="zh-CN"/>
        </w:rPr>
        <w:t>，</w:t>
      </w:r>
      <w:r>
        <w:rPr>
          <w:rFonts w:hint="eastAsia"/>
          <w:color w:val="auto"/>
          <w:highlight w:val="none"/>
        </w:rPr>
        <w:t>促进优势产业链由低端向高端迈进、由短链向长链发展。集中土地、人才、资本等要素资源</w:t>
      </w:r>
      <w:r>
        <w:rPr>
          <w:rFonts w:hint="eastAsia"/>
          <w:color w:val="auto"/>
          <w:highlight w:val="none"/>
          <w:lang w:eastAsia="zh-CN"/>
        </w:rPr>
        <w:t>，</w:t>
      </w:r>
      <w:r>
        <w:rPr>
          <w:rFonts w:hint="eastAsia"/>
          <w:color w:val="auto"/>
          <w:highlight w:val="none"/>
        </w:rPr>
        <w:t>综合运用财政、金融、税收、产业等政策</w:t>
      </w:r>
      <w:r>
        <w:rPr>
          <w:rFonts w:hint="eastAsia"/>
          <w:color w:val="auto"/>
          <w:highlight w:val="none"/>
          <w:lang w:eastAsia="zh-CN"/>
        </w:rPr>
        <w:t>，</w:t>
      </w:r>
      <w:r>
        <w:rPr>
          <w:rFonts w:hint="eastAsia"/>
          <w:color w:val="auto"/>
          <w:highlight w:val="none"/>
        </w:rPr>
        <w:t>在巩固提升石油化工、有色冶金产业集群基础上</w:t>
      </w:r>
      <w:r>
        <w:rPr>
          <w:rFonts w:hint="eastAsia"/>
          <w:color w:val="auto"/>
          <w:highlight w:val="none"/>
          <w:lang w:eastAsia="zh-CN"/>
        </w:rPr>
        <w:t>，</w:t>
      </w:r>
      <w:r>
        <w:rPr>
          <w:rFonts w:hint="eastAsia"/>
          <w:color w:val="auto"/>
          <w:highlight w:val="none"/>
        </w:rPr>
        <w:t>着力培育特色农产品、数字智能、生物医药、新能源新材料、文旅康养、路衍经济等千亿级产业集群。</w:t>
      </w:r>
      <w:r>
        <w:rPr>
          <w:rFonts w:hint="eastAsia"/>
        </w:rPr>
        <w:t>打造百亿园区。依托各级开发区等重大平台和载体</w:t>
      </w:r>
      <w:r>
        <w:rPr>
          <w:rFonts w:hint="eastAsia"/>
          <w:lang w:eastAsia="zh-CN"/>
        </w:rPr>
        <w:t>，</w:t>
      </w:r>
      <w:r>
        <w:rPr>
          <w:rFonts w:hint="eastAsia"/>
        </w:rPr>
        <w:t>充分发挥要素成本资源和通道等优势</w:t>
      </w:r>
      <w:r>
        <w:rPr>
          <w:rFonts w:hint="eastAsia"/>
          <w:lang w:eastAsia="zh-CN"/>
        </w:rPr>
        <w:t>，</w:t>
      </w:r>
      <w:r>
        <w:rPr>
          <w:rFonts w:hint="eastAsia"/>
        </w:rPr>
        <w:t>集中优质要素向园区配置</w:t>
      </w:r>
      <w:r>
        <w:rPr>
          <w:rFonts w:hint="eastAsia"/>
          <w:lang w:eastAsia="zh-CN"/>
        </w:rPr>
        <w:t>，</w:t>
      </w:r>
      <w:r>
        <w:rPr>
          <w:rFonts w:hint="eastAsia"/>
        </w:rPr>
        <w:t>引导产业项目在园区落地。重点打造12个百亿园区。</w:t>
      </w:r>
      <w:r>
        <w:rPr>
          <w:rFonts w:hint="eastAsia"/>
          <w:lang w:val="en-US" w:eastAsia="zh-CN"/>
        </w:rPr>
        <w:t>其中对张披经济技术开发区的要求为：重点发展农副产品加工、生物医药、智能制造等，力争产值达到160亿元。</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auto"/>
          <w:highlight w:val="none"/>
          <w:lang w:val="en-US" w:eastAsia="zh-CN"/>
        </w:rPr>
        <w:t>本项目</w:t>
      </w:r>
      <w:r>
        <w:rPr>
          <w:rFonts w:hint="eastAsia"/>
        </w:rPr>
        <w:t>属于屠宰及肉类加工行业</w:t>
      </w:r>
      <w:r>
        <w:rPr>
          <w:rFonts w:hint="eastAsia"/>
          <w:lang w:eastAsia="zh-CN"/>
        </w:rPr>
        <w:t>，</w:t>
      </w:r>
      <w:r>
        <w:rPr>
          <w:rFonts w:hint="eastAsia"/>
          <w:lang w:val="en-US" w:eastAsia="zh-CN"/>
        </w:rPr>
        <w:t>根据《国民经济行业分类》（GB/T4754—2017）可知，本项目属于“C13/农副食品加工业”中的“C135/屠宰及肉类加工”，因此，总体上来说，本项目符合</w:t>
      </w:r>
      <w:r>
        <w:rPr>
          <w:rFonts w:hint="eastAsia"/>
          <w:color w:val="auto"/>
          <w:highlight w:val="none"/>
        </w:rPr>
        <w:t>《甘肃省国民经济和社会发展第十四个五年规划和2035年远景目标纲要》</w:t>
      </w:r>
      <w:r>
        <w:rPr>
          <w:rFonts w:hint="eastAsia"/>
          <w:color w:val="auto"/>
          <w:highlight w:val="none"/>
          <w:lang w:val="en-US" w:eastAsia="zh-CN"/>
        </w:rPr>
        <w:t>中的发展规划要求。</w:t>
      </w:r>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highlight w:val="none"/>
        </w:rPr>
      </w:pPr>
      <w:r>
        <w:rPr>
          <w:rFonts w:hint="eastAsia"/>
          <w:b/>
          <w:bCs/>
          <w:color w:val="auto"/>
          <w:highlight w:val="none"/>
          <w:lang w:eastAsia="zh-CN"/>
        </w:rPr>
        <w:t>（</w:t>
      </w:r>
      <w:r>
        <w:rPr>
          <w:rFonts w:hint="eastAsia"/>
          <w:b/>
          <w:bCs/>
          <w:color w:val="auto"/>
          <w:highlight w:val="none"/>
          <w:lang w:val="en-US" w:eastAsia="zh-CN"/>
        </w:rPr>
        <w:t>2</w:t>
      </w:r>
      <w:r>
        <w:rPr>
          <w:rFonts w:hint="eastAsia"/>
          <w:b/>
          <w:bCs/>
          <w:color w:val="auto"/>
          <w:highlight w:val="none"/>
          <w:lang w:eastAsia="zh-CN"/>
        </w:rPr>
        <w:t>）</w:t>
      </w:r>
      <w:r>
        <w:rPr>
          <w:rFonts w:hint="eastAsia"/>
          <w:b/>
          <w:bCs/>
          <w:color w:val="auto"/>
          <w:highlight w:val="none"/>
        </w:rPr>
        <w:t>与《中共张掖市委关于制定张掖市国民经济和社会发展第十四个五年规划和二〇三五年远景目标的建议》符合性分析</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rPr>
      </w:pPr>
      <w:r>
        <w:rPr>
          <w:rFonts w:hint="eastAsia"/>
          <w:color w:val="auto"/>
          <w:highlight w:val="none"/>
        </w:rPr>
        <w:t>《中共张掖市委关于制定张掖市国民经济和社会发展第十四个五年规划和二〇三五年远景目标的建议》中提出：</w:t>
      </w:r>
      <w:r>
        <w:rPr>
          <w:rFonts w:hint="eastAsia"/>
          <w:color w:val="auto"/>
          <w:highlight w:val="none"/>
          <w:lang w:eastAsia="zh-CN"/>
        </w:rPr>
        <w:t>“加快培育特色生态产业化集群。集中力量打造绿色蔬菜、奶牛肉牛、现代种业、智能温室、</w:t>
      </w:r>
      <w:r>
        <w:rPr>
          <w:rFonts w:hint="eastAsia"/>
          <w:b w:val="0"/>
          <w:bCs w:val="0"/>
          <w:color w:val="auto"/>
          <w:highlight w:val="none"/>
          <w:lang w:eastAsia="zh-CN"/>
        </w:rPr>
        <w:t>农畜产品加工</w:t>
      </w:r>
      <w:r>
        <w:rPr>
          <w:rFonts w:hint="eastAsia"/>
          <w:color w:val="auto"/>
          <w:highlight w:val="none"/>
          <w:lang w:eastAsia="zh-CN"/>
        </w:rPr>
        <w:t>、智能制造、清洁能源、通用航空、以凹凸棒石为重点的新材料、文旅康养等百亿元产业体系，构建更具竞争力的现代化产业格局。支持农业产业化龙头企业“种养加销”全产业链发展，打造西部牛羊基地和优质乳源生产基地。”</w:t>
      </w:r>
    </w:p>
    <w:p>
      <w:pPr>
        <w:keepNext w:val="0"/>
        <w:keepLines w:val="0"/>
        <w:pageBreakBefore w:val="0"/>
        <w:widowControl w:val="0"/>
        <w:kinsoku/>
        <w:wordWrap/>
        <w:overflowPunct/>
        <w:topLinePunct w:val="0"/>
        <w:autoSpaceDE/>
        <w:autoSpaceDN/>
        <w:bidi w:val="0"/>
        <w:adjustRightInd/>
        <w:snapToGrid/>
        <w:textAlignment w:val="auto"/>
        <w:rPr>
          <w:color w:val="auto"/>
          <w:highlight w:val="none"/>
        </w:rPr>
      </w:pPr>
      <w:r>
        <w:rPr>
          <w:rFonts w:hint="eastAsia"/>
          <w:color w:val="auto"/>
          <w:highlight w:val="none"/>
          <w:lang w:val="en-US" w:eastAsia="zh-CN"/>
        </w:rPr>
        <w:t>本项目</w:t>
      </w:r>
      <w:r>
        <w:rPr>
          <w:rFonts w:hint="eastAsia"/>
        </w:rPr>
        <w:t>属于</w:t>
      </w:r>
      <w:r>
        <w:rPr>
          <w:rFonts w:hint="eastAsia"/>
          <w:lang w:val="en-US" w:eastAsia="zh-CN"/>
        </w:rPr>
        <w:t>主要是利用公司现有的活畜交易收购的肉羊为原料，然后对肉羊进行精深加工，本项目的建设有利于促进张掖肉羊产业集群化、链条化发展，因此，总体上来说，本项目符合</w:t>
      </w:r>
      <w:r>
        <w:rPr>
          <w:rFonts w:hint="eastAsia"/>
          <w:color w:val="auto"/>
          <w:highlight w:val="none"/>
        </w:rPr>
        <w:t>《甘肃省国民经济和社会发展第十四个五年规划和2035年远景目标纲要》</w:t>
      </w:r>
      <w:r>
        <w:rPr>
          <w:rFonts w:hint="eastAsia"/>
          <w:color w:val="auto"/>
          <w:highlight w:val="none"/>
          <w:lang w:val="en-US" w:eastAsia="zh-CN"/>
        </w:rPr>
        <w:t>中的发展规划要求。</w:t>
      </w:r>
    </w:p>
    <w:p>
      <w:pPr>
        <w:ind w:firstLine="482" w:firstLineChars="200"/>
        <w:jc w:val="both"/>
        <w:rPr>
          <w:b/>
        </w:rPr>
      </w:pPr>
      <w:r>
        <w:rPr>
          <w:rFonts w:hint="eastAsia"/>
          <w:b/>
          <w:lang w:eastAsia="zh-CN"/>
        </w:rPr>
        <w:t>（</w:t>
      </w:r>
      <w:r>
        <w:rPr>
          <w:rFonts w:hint="eastAsia"/>
          <w:b/>
          <w:lang w:val="en-US" w:eastAsia="zh-CN"/>
        </w:rPr>
        <w:t>3</w:t>
      </w:r>
      <w:r>
        <w:rPr>
          <w:rFonts w:hint="eastAsia"/>
          <w:b/>
          <w:lang w:eastAsia="zh-CN"/>
        </w:rPr>
        <w:t>）</w:t>
      </w:r>
      <w:r>
        <w:rPr>
          <w:rFonts w:hint="eastAsia"/>
          <w:b/>
        </w:rPr>
        <w:t>与《张掖市人民政府办公室关于印发张掖市投资项目禁限目录（试行）的通知》（张政办发〔2022〕6号）符合性分析</w:t>
      </w:r>
    </w:p>
    <w:p>
      <w:pPr>
        <w:bidi w:val="0"/>
        <w:rPr>
          <w:rFonts w:hint="eastAsia"/>
          <w:lang w:eastAsia="zh-CN"/>
        </w:rPr>
      </w:pPr>
      <w:r>
        <w:rPr>
          <w:rFonts w:hint="eastAsia"/>
        </w:rPr>
        <w:t>根据《张掖市人民政府办公室关于印发张掖市投资项目禁限目录（试行）的通知》（张政办发〔2022〕6号）</w:t>
      </w:r>
      <w:r>
        <w:rPr>
          <w:rFonts w:hint="eastAsia"/>
          <w:lang w:val="en-US" w:eastAsia="zh-CN"/>
        </w:rPr>
        <w:t>可知</w:t>
      </w:r>
      <w:r>
        <w:rPr>
          <w:rFonts w:hint="eastAsia"/>
        </w:rPr>
        <w:t>，本项目不属于《张掖市投资项目禁限目录（试行）》中禁止类和限制类，符合张掖市</w:t>
      </w:r>
      <w:r>
        <w:t>产业政策要求</w:t>
      </w:r>
      <w:r>
        <w:rPr>
          <w:rFonts w:hint="eastAsia"/>
        </w:rPr>
        <w:t>。</w:t>
      </w:r>
    </w:p>
    <w:p>
      <w:pPr>
        <w:ind w:firstLine="480"/>
        <w:rPr>
          <w:rFonts w:hint="default" w:eastAsia="宋体"/>
          <w:b/>
          <w:bCs/>
          <w:color w:val="auto"/>
          <w:lang w:val="en-US" w:eastAsia="zh-CN"/>
        </w:rPr>
      </w:pPr>
      <w:r>
        <w:rPr>
          <w:rFonts w:hint="eastAsia"/>
          <w:b/>
          <w:bCs/>
          <w:color w:val="auto"/>
          <w:lang w:eastAsia="zh-CN"/>
        </w:rPr>
        <w:t>（</w:t>
      </w:r>
      <w:r>
        <w:rPr>
          <w:rFonts w:hint="eastAsia"/>
          <w:b/>
          <w:bCs/>
          <w:color w:val="auto"/>
          <w:lang w:val="en-US" w:eastAsia="zh-CN"/>
        </w:rPr>
        <w:t>4</w:t>
      </w:r>
      <w:r>
        <w:rPr>
          <w:rFonts w:hint="eastAsia"/>
          <w:b/>
          <w:bCs/>
          <w:color w:val="auto"/>
          <w:lang w:eastAsia="zh-CN"/>
        </w:rPr>
        <w:t>）</w:t>
      </w:r>
      <w:r>
        <w:rPr>
          <w:rFonts w:hint="eastAsia"/>
          <w:b/>
          <w:bCs/>
          <w:color w:val="auto"/>
          <w:lang w:val="en-US" w:eastAsia="zh-CN"/>
        </w:rPr>
        <w:t>与</w:t>
      </w:r>
      <w:r>
        <w:rPr>
          <w:b/>
          <w:bCs/>
          <w:color w:val="auto"/>
        </w:rPr>
        <w:t>张掖市甘州区巴吉滩农产品产业园</w:t>
      </w:r>
      <w:r>
        <w:rPr>
          <w:rFonts w:hint="eastAsia"/>
          <w:b/>
          <w:bCs/>
          <w:color w:val="auto"/>
          <w:lang w:val="en-US" w:eastAsia="zh-CN"/>
        </w:rPr>
        <w:t>规划的符合性</w:t>
      </w:r>
      <w:r>
        <w:rPr>
          <w:rFonts w:hint="eastAsia"/>
          <w:b/>
          <w:bCs/>
          <w:color w:val="auto"/>
          <w:highlight w:val="none"/>
        </w:rPr>
        <w:t>分析</w:t>
      </w:r>
    </w:p>
    <w:p>
      <w:pPr>
        <w:ind w:firstLine="480"/>
        <w:rPr>
          <w:color w:val="auto"/>
        </w:rPr>
      </w:pPr>
      <w:r>
        <w:rPr>
          <w:color w:val="auto"/>
        </w:rPr>
        <w:t>张掖经济技术开发区是于2013年3月由国务院批准建立的国家级工业园区，园区总面积73.27km</w:t>
      </w:r>
      <w:r>
        <w:rPr>
          <w:color w:val="auto"/>
          <w:vertAlign w:val="superscript"/>
        </w:rPr>
        <w:t>2</w:t>
      </w:r>
      <w:r>
        <w:rPr>
          <w:color w:val="auto"/>
        </w:rPr>
        <w:t>，目前已形成生态科技产业园（城区东北郊）、循环经济示范园（城区以北13km）、农产品产业园（甘浚镇）和煤化工产业园（平山湖蒙古族乡）等“一区四园”的发展格局。</w:t>
      </w:r>
    </w:p>
    <w:p>
      <w:pPr>
        <w:bidi w:val="0"/>
        <w:rPr>
          <w:rFonts w:hint="eastAsia"/>
        </w:rPr>
      </w:pPr>
      <w:r>
        <w:rPr>
          <w:color w:val="auto"/>
        </w:rPr>
        <w:t>本项目位于张掖市甘州区巴吉滩农产品产业园</w:t>
      </w:r>
      <w:r>
        <w:rPr>
          <w:rFonts w:hint="eastAsia"/>
          <w:color w:val="auto"/>
          <w:lang w:val="en-US" w:eastAsia="zh-CN"/>
        </w:rPr>
        <w:t>张掖市沅博农牧产业开发有限公司</w:t>
      </w:r>
      <w:r>
        <w:rPr>
          <w:rFonts w:hint="eastAsia"/>
          <w:color w:val="auto"/>
        </w:rPr>
        <w:t>院内</w:t>
      </w:r>
      <w:r>
        <w:rPr>
          <w:color w:val="auto"/>
        </w:rPr>
        <w:t>，目前，</w:t>
      </w:r>
      <w:r>
        <w:rPr>
          <w:rFonts w:hint="eastAsia"/>
          <w:color w:val="auto"/>
          <w:lang w:val="en-US" w:eastAsia="zh-CN"/>
        </w:rPr>
        <w:t>经与当地生态环境保护部门沟通后，</w:t>
      </w:r>
      <w:r>
        <w:rPr>
          <w:color w:val="auto"/>
        </w:rPr>
        <w:t>该园区规划正在编写当中。</w:t>
      </w:r>
      <w:r>
        <w:rPr>
          <w:color w:val="FF0000"/>
        </w:rPr>
        <w:t>根据张掖经济技术开发区规划建设局证明，</w:t>
      </w:r>
      <w:r>
        <w:rPr>
          <w:rFonts w:hint="eastAsia"/>
          <w:color w:val="FF0000"/>
          <w:lang w:eastAsia="zh-CN"/>
        </w:rPr>
        <w:t>张掖市沅博农牧产业开发有限公司</w:t>
      </w:r>
      <w:r>
        <w:rPr>
          <w:rFonts w:hint="eastAsia"/>
          <w:color w:val="FF0000"/>
        </w:rPr>
        <w:t>“</w:t>
      </w:r>
      <w:r>
        <w:rPr>
          <w:color w:val="FF0000"/>
        </w:rPr>
        <w:t>60万只肉羊精深分割及牛羊预制品加工项目</w:t>
      </w:r>
      <w:r>
        <w:rPr>
          <w:rFonts w:hint="eastAsia"/>
          <w:color w:val="FF0000"/>
        </w:rPr>
        <w:t>”</w:t>
      </w:r>
      <w:r>
        <w:rPr>
          <w:color w:val="FF0000"/>
        </w:rPr>
        <w:t>厂址位于张掖经济技术开发区巴吉滩农产品产业园张肃公路19公里处，建设用地面积</w:t>
      </w:r>
      <w:r>
        <w:rPr>
          <w:rFonts w:hint="eastAsia"/>
          <w:color w:val="FF0000"/>
        </w:rPr>
        <w:t>25000</w:t>
      </w:r>
      <w:r>
        <w:rPr>
          <w:color w:val="FF0000"/>
        </w:rPr>
        <w:t>平方米，用地性质属于二类工业用地。该项目选址符合《张掖经济技术开发区巴吉滩产业园总体规划（2014-2030）》。</w:t>
      </w:r>
    </w:p>
    <w:p>
      <w:pPr>
        <w:pStyle w:val="5"/>
        <w:bidi w:val="0"/>
      </w:pPr>
      <w:bookmarkStart w:id="99" w:name="_Toc21775"/>
      <w:r>
        <w:rPr>
          <w:rFonts w:hint="eastAsia"/>
          <w:lang w:val="en-US" w:eastAsia="zh-CN"/>
        </w:rPr>
        <w:t>5</w:t>
      </w:r>
      <w:r>
        <w:rPr>
          <w:rFonts w:hint="eastAsia"/>
        </w:rPr>
        <w:t>、</w:t>
      </w:r>
      <w:r>
        <w:t>关注的主要环境问题</w:t>
      </w:r>
      <w:bookmarkEnd w:id="91"/>
      <w:bookmarkEnd w:id="92"/>
      <w:bookmarkEnd w:id="93"/>
      <w:bookmarkEnd w:id="94"/>
      <w:bookmarkEnd w:id="95"/>
      <w:bookmarkEnd w:id="96"/>
      <w:bookmarkEnd w:id="97"/>
      <w:bookmarkEnd w:id="98"/>
      <w:bookmarkEnd w:id="99"/>
    </w:p>
    <w:p>
      <w:pPr>
        <w:ind w:firstLine="480"/>
      </w:pPr>
      <w:r>
        <w:t>本项目主要的环境污染问题如下：</w:t>
      </w:r>
    </w:p>
    <w:p>
      <w:pPr>
        <w:ind w:firstLine="480"/>
      </w:pPr>
      <w:r>
        <w:rPr>
          <w:rFonts w:hint="eastAsia"/>
        </w:rPr>
        <w:t>大气环境方面</w:t>
      </w:r>
      <w:r>
        <w:t>：</w:t>
      </w:r>
      <w:r>
        <w:rPr>
          <w:rFonts w:hint="eastAsia"/>
        </w:rPr>
        <w:t>主要关注臭气浓度、硫化氢、氨、油烟对周边环境的影响</w:t>
      </w:r>
      <w:r>
        <w:t>及其污染防治措施；</w:t>
      </w:r>
    </w:p>
    <w:p>
      <w:pPr>
        <w:ind w:firstLine="480"/>
      </w:pPr>
      <w:r>
        <w:t>声</w:t>
      </w:r>
      <w:r>
        <w:rPr>
          <w:rFonts w:hint="eastAsia"/>
        </w:rPr>
        <w:t>环境方面</w:t>
      </w:r>
      <w:r>
        <w:t>：</w:t>
      </w:r>
      <w:r>
        <w:rPr>
          <w:rFonts w:hint="eastAsia"/>
        </w:rPr>
        <w:t>主要关注</w:t>
      </w:r>
      <w:r>
        <w:t>各设施设备运行时产生的噪声</w:t>
      </w:r>
      <w:r>
        <w:rPr>
          <w:rFonts w:hint="eastAsia"/>
        </w:rPr>
        <w:t>对周边环境的影响</w:t>
      </w:r>
      <w:r>
        <w:t>及其污染防治措施；</w:t>
      </w:r>
    </w:p>
    <w:p>
      <w:pPr>
        <w:ind w:firstLine="480"/>
      </w:pPr>
      <w:r>
        <w:rPr>
          <w:rFonts w:hint="eastAsia"/>
        </w:rPr>
        <w:t>水环境方面</w:t>
      </w:r>
      <w:r>
        <w:t>：</w:t>
      </w:r>
      <w:r>
        <w:rPr>
          <w:rFonts w:hint="eastAsia"/>
        </w:rPr>
        <w:t>主要关注</w:t>
      </w:r>
      <w:r>
        <w:t>生活废水、</w:t>
      </w:r>
      <w:r>
        <w:rPr>
          <w:rFonts w:hint="eastAsia"/>
          <w:lang w:val="en-US" w:eastAsia="zh-CN"/>
        </w:rPr>
        <w:t>生产废水</w:t>
      </w:r>
      <w:r>
        <w:rPr>
          <w:rFonts w:hint="eastAsia"/>
        </w:rPr>
        <w:t>对周边环境的影响</w:t>
      </w:r>
      <w:r>
        <w:t>及其污染防治措施；</w:t>
      </w:r>
    </w:p>
    <w:p>
      <w:pPr>
        <w:ind w:firstLine="480"/>
      </w:pPr>
      <w:r>
        <w:t>固体废物</w:t>
      </w:r>
      <w:r>
        <w:rPr>
          <w:rFonts w:hint="eastAsia"/>
        </w:rPr>
        <w:t>方面</w:t>
      </w:r>
      <w:r>
        <w:t>：</w:t>
      </w:r>
      <w:r>
        <w:rPr>
          <w:rFonts w:hint="eastAsia"/>
        </w:rPr>
        <w:t>主要关注</w:t>
      </w:r>
      <w:r>
        <w:t>羊粪</w:t>
      </w:r>
      <w:r>
        <w:rPr>
          <w:rFonts w:hint="eastAsia"/>
        </w:rPr>
        <w:t>、</w:t>
      </w:r>
      <w:r>
        <w:t>屠宰固废、酱卤及蒸煮固废、择菜固废、废包装、生活垃圾、病死羊、废活性炭</w:t>
      </w:r>
      <w:r>
        <w:rPr>
          <w:rFonts w:hint="eastAsia"/>
        </w:rPr>
        <w:t>对周边环境的影响</w:t>
      </w:r>
      <w:r>
        <w:t>及其污染防治措施；</w:t>
      </w:r>
    </w:p>
    <w:p>
      <w:pPr>
        <w:ind w:firstLine="480"/>
      </w:pPr>
      <w:bookmarkStart w:id="100" w:name="_Toc29364_WPSOffice_Level1"/>
      <w:bookmarkStart w:id="101" w:name="_Toc15876_WPSOffice_Level1"/>
      <w:bookmarkStart w:id="102" w:name="_Toc15279_WPSOffice_Level1"/>
      <w:bookmarkStart w:id="103" w:name="_Toc30643_WPSOffice_Level1"/>
      <w:bookmarkStart w:id="104" w:name="_Toc7517_WPSOffice_Level1"/>
      <w:bookmarkStart w:id="105" w:name="_Toc30535_WPSOffice_Level1"/>
      <w:bookmarkStart w:id="106" w:name="_Toc26833_WPSOffice_Level1"/>
      <w:bookmarkStart w:id="107" w:name="_Toc32350_WPSOffice_Level1"/>
      <w:r>
        <w:rPr>
          <w:rFonts w:hint="eastAsia"/>
        </w:rPr>
        <w:t>环境风险方面：主要关注</w:t>
      </w:r>
      <w:r>
        <w:t>项目</w:t>
      </w:r>
      <w:r>
        <w:rPr>
          <w:rFonts w:hint="eastAsia"/>
        </w:rPr>
        <w:t>运行过程中可能存在的</w:t>
      </w:r>
      <w:r>
        <w:t>主要环境风险及相应防范措施</w:t>
      </w:r>
    </w:p>
    <w:p>
      <w:pPr>
        <w:pStyle w:val="5"/>
        <w:bidi w:val="0"/>
      </w:pPr>
      <w:bookmarkStart w:id="108" w:name="_Toc2264"/>
      <w:r>
        <w:rPr>
          <w:rFonts w:hint="eastAsia"/>
          <w:lang w:val="en-US" w:eastAsia="zh-CN"/>
        </w:rPr>
        <w:t>6</w:t>
      </w:r>
      <w:r>
        <w:rPr>
          <w:rFonts w:hint="eastAsia"/>
        </w:rPr>
        <w:t>、</w:t>
      </w:r>
      <w:r>
        <w:t>环境影响报告书的主要结论</w:t>
      </w:r>
      <w:bookmarkEnd w:id="100"/>
      <w:bookmarkEnd w:id="101"/>
      <w:bookmarkEnd w:id="102"/>
      <w:bookmarkEnd w:id="103"/>
      <w:bookmarkEnd w:id="104"/>
      <w:bookmarkEnd w:id="105"/>
      <w:bookmarkEnd w:id="106"/>
      <w:bookmarkEnd w:id="107"/>
      <w:bookmarkEnd w:id="108"/>
    </w:p>
    <w:p>
      <w:pPr>
        <w:bidi w:val="0"/>
      </w:pPr>
      <w:r>
        <w:rPr>
          <w:rFonts w:hint="eastAsia"/>
        </w:rPr>
        <w:t>拟建</w:t>
      </w:r>
      <w:r>
        <w:t>项目符合国家产业政策，符合</w:t>
      </w:r>
      <w:r>
        <w:rPr>
          <w:rFonts w:hint="eastAsia"/>
        </w:rPr>
        <w:t>相关政策和</w:t>
      </w:r>
      <w:r>
        <w:t>规划要求；选址合理；项目区域周围环境空气、地表水、地下水、声环境和土壤环境质量现状良好；虽然在项目建设和运营过程中对当地环境会造成一定的不利影响，可通过采取本次环评提出的各项环境保护措施及监控管理措施进行预防保护、减免、控制和恢复，各项污染物均能实施达标排放。因此，本评价认为，建设单位在切实落实本报告提出的各项环境保护措施和管理对策，减免各种不利影响，并严格执行环境保护“三同时”制度，确保污染治理设施正常运转的前提下，可使本项目对环境的不利影响降低至可接受的水平。从环保角度看，本项目的建设是可行的。</w:t>
      </w:r>
    </w:p>
    <w:p>
      <w:pPr>
        <w:pStyle w:val="2"/>
      </w:pPr>
    </w:p>
    <w:p/>
    <w:p>
      <w:pPr>
        <w:pStyle w:val="2"/>
      </w:pPr>
    </w:p>
    <w:p/>
    <w:p>
      <w:pPr>
        <w:pStyle w:val="2"/>
      </w:pPr>
    </w:p>
    <w:p/>
    <w:p>
      <w:pPr>
        <w:pStyle w:val="2"/>
      </w:pPr>
    </w:p>
    <w:p/>
    <w:p>
      <w:pPr>
        <w:pStyle w:val="2"/>
      </w:pPr>
    </w:p>
    <w:p/>
    <w:p>
      <w:pPr>
        <w:pStyle w:val="2"/>
      </w:pPr>
    </w:p>
    <w:p/>
    <w:p>
      <w:pPr>
        <w:pStyle w:val="2"/>
      </w:pPr>
    </w:p>
    <w:p/>
    <w:p>
      <w:pPr>
        <w:widowControl/>
        <w:ind w:firstLine="0" w:firstLineChars="0"/>
        <w:jc w:val="center"/>
        <w:rPr>
          <w:kern w:val="0"/>
        </w:rPr>
      </w:pPr>
      <w:bookmarkStart w:id="109" w:name="_Toc20332"/>
      <w:bookmarkStart w:id="110" w:name="_Toc5540"/>
      <w:bookmarkStart w:id="111" w:name="_Toc18198"/>
      <w:bookmarkStart w:id="112" w:name="_Toc476086522"/>
      <w:bookmarkStart w:id="113" w:name="_Toc24948"/>
      <w:r>
        <w:rPr>
          <w:kern w:val="0"/>
        </w:rPr>
        <w:fldChar w:fldCharType="begin"/>
      </w:r>
      <w:r>
        <w:rPr>
          <w:kern w:val="0"/>
        </w:rPr>
        <w:instrText xml:space="preserve">INCLUDEPICTURE \d "C:\\Documents and Settings\\Administrator\\Application Data\\Tencent\\Users\\1250840339\\QQ\\WinTemp\\RichOle\\(9@V504O3%1LXCNQ9ZAXZXE.png" \* MERGEFORMATINET </w:instrText>
      </w:r>
      <w:r>
        <w:rPr>
          <w:kern w:val="0"/>
        </w:rPr>
        <w:fldChar w:fldCharType="separate"/>
      </w:r>
      <w:r>
        <w:rPr>
          <w:kern w:val="0"/>
        </w:rPr>
        <w:drawing>
          <wp:inline distT="0" distB="0" distL="114300" distR="114300">
            <wp:extent cx="5085715" cy="6722745"/>
            <wp:effectExtent l="0" t="0" r="635" b="1905"/>
            <wp:docPr id="7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 descr="IMG_256"/>
                    <pic:cNvPicPr>
                      <a:picLocks noChangeAspect="1"/>
                    </pic:cNvPicPr>
                  </pic:nvPicPr>
                  <pic:blipFill>
                    <a:blip r:embed="rId16" cstate="print"/>
                    <a:stretch>
                      <a:fillRect/>
                    </a:stretch>
                  </pic:blipFill>
                  <pic:spPr>
                    <a:xfrm>
                      <a:off x="0" y="0"/>
                      <a:ext cx="5085715" cy="6722745"/>
                    </a:xfrm>
                    <a:prstGeom prst="rect">
                      <a:avLst/>
                    </a:prstGeom>
                    <a:noFill/>
                    <a:ln w="9525">
                      <a:noFill/>
                    </a:ln>
                  </pic:spPr>
                </pic:pic>
              </a:graphicData>
            </a:graphic>
          </wp:inline>
        </w:drawing>
      </w:r>
      <w:r>
        <w:rPr>
          <w:kern w:val="0"/>
        </w:rPr>
        <w:fldChar w:fldCharType="end"/>
      </w:r>
    </w:p>
    <w:p>
      <w:pPr>
        <w:widowControl/>
        <w:spacing w:line="240" w:lineRule="auto"/>
        <w:ind w:firstLine="482"/>
        <w:jc w:val="center"/>
        <w:rPr>
          <w:b/>
          <w:bCs/>
          <w:kern w:val="0"/>
          <w:szCs w:val="21"/>
        </w:rPr>
      </w:pPr>
      <w:r>
        <w:rPr>
          <w:b/>
          <w:bCs/>
          <w:kern w:val="0"/>
          <w:szCs w:val="21"/>
        </w:rPr>
        <w:t>图</w:t>
      </w:r>
      <w:r>
        <w:rPr>
          <w:rFonts w:hint="eastAsia"/>
          <w:b/>
          <w:bCs/>
          <w:kern w:val="0"/>
          <w:szCs w:val="21"/>
        </w:rPr>
        <w:t>0</w:t>
      </w:r>
      <w:r>
        <w:rPr>
          <w:b/>
          <w:bCs/>
          <w:kern w:val="0"/>
          <w:szCs w:val="21"/>
        </w:rPr>
        <w:t>-1    建设项目环境影响评价工作程序图</w:t>
      </w:r>
    </w:p>
    <w:p>
      <w:pPr>
        <w:pStyle w:val="4"/>
        <w:spacing w:line="240" w:lineRule="auto"/>
        <w:sectPr>
          <w:headerReference r:id="rId9" w:type="default"/>
          <w:footerReference r:id="rId10" w:type="default"/>
          <w:pgSz w:w="11906" w:h="16838"/>
          <w:pgMar w:top="1440" w:right="1080" w:bottom="1440" w:left="1080" w:header="964" w:footer="992" w:gutter="0"/>
          <w:pgBorders>
            <w:top w:val="none" w:sz="0" w:space="0"/>
            <w:left w:val="none" w:sz="0" w:space="0"/>
            <w:bottom w:val="none" w:sz="0" w:space="0"/>
            <w:right w:val="none" w:sz="0" w:space="0"/>
          </w:pgBorders>
          <w:pgNumType w:start="1"/>
          <w:cols w:space="425" w:num="1"/>
          <w:docGrid w:type="lines" w:linePitch="312" w:charSpace="0"/>
        </w:sectPr>
      </w:pPr>
    </w:p>
    <w:p>
      <w:pPr>
        <w:pStyle w:val="4"/>
      </w:pPr>
      <w:bookmarkStart w:id="114" w:name="_Toc3010"/>
      <w:bookmarkStart w:id="115" w:name="_Toc29697"/>
      <w:bookmarkStart w:id="116" w:name="_Toc2961_WPSOffice_Level1"/>
      <w:r>
        <w:t>1</w:t>
      </w:r>
      <w:r>
        <w:rPr>
          <w:rFonts w:hint="eastAsia"/>
        </w:rPr>
        <w:t>、</w:t>
      </w:r>
      <w:r>
        <w:t>总</w:t>
      </w:r>
      <w:bookmarkStart w:id="117" w:name="_Toc466420312"/>
      <w:bookmarkStart w:id="118" w:name="_Toc164433416"/>
      <w:bookmarkStart w:id="119" w:name="_Toc332573395"/>
      <w:bookmarkStart w:id="120" w:name="_Toc345167319"/>
      <w:bookmarkStart w:id="121" w:name="_Toc332618847"/>
      <w:bookmarkStart w:id="122" w:name="_Toc279998021"/>
      <w:bookmarkStart w:id="123" w:name="_Toc356923107"/>
      <w:bookmarkStart w:id="124" w:name="_Toc343180053"/>
      <w:r>
        <w:t>则</w:t>
      </w:r>
      <w:bookmarkEnd w:id="109"/>
      <w:bookmarkEnd w:id="110"/>
      <w:bookmarkEnd w:id="111"/>
      <w:bookmarkEnd w:id="112"/>
      <w:bookmarkEnd w:id="113"/>
      <w:bookmarkEnd w:id="114"/>
      <w:bookmarkEnd w:id="115"/>
      <w:bookmarkEnd w:id="116"/>
    </w:p>
    <w:bookmarkEnd w:id="117"/>
    <w:bookmarkEnd w:id="118"/>
    <w:bookmarkEnd w:id="119"/>
    <w:bookmarkEnd w:id="120"/>
    <w:bookmarkEnd w:id="121"/>
    <w:bookmarkEnd w:id="122"/>
    <w:bookmarkEnd w:id="123"/>
    <w:bookmarkEnd w:id="124"/>
    <w:p>
      <w:pPr>
        <w:pStyle w:val="5"/>
        <w:spacing w:before="78" w:after="78"/>
        <w:ind w:firstLine="562"/>
      </w:pPr>
      <w:bookmarkStart w:id="125" w:name="_Toc10601"/>
      <w:bookmarkStart w:id="126" w:name="_Toc4391"/>
      <w:bookmarkStart w:id="127" w:name="_Toc332618850"/>
      <w:bookmarkStart w:id="128" w:name="_Toc29491_WPSOffice_Level1"/>
      <w:bookmarkStart w:id="129" w:name="_Toc343180056"/>
      <w:bookmarkStart w:id="130" w:name="_Toc345167322"/>
      <w:bookmarkStart w:id="131" w:name="_Toc466420315"/>
      <w:bookmarkStart w:id="132" w:name="_Toc32346"/>
      <w:bookmarkStart w:id="133" w:name="_Toc477"/>
      <w:bookmarkStart w:id="134" w:name="_Toc19507"/>
      <w:bookmarkStart w:id="135" w:name="_Toc332573398"/>
      <w:bookmarkStart w:id="136" w:name="_Toc164433417"/>
      <w:bookmarkStart w:id="137" w:name="_Toc279998024"/>
      <w:bookmarkStart w:id="138" w:name="_Toc356923110"/>
      <w:bookmarkStart w:id="139" w:name="_Toc476086523"/>
      <w:bookmarkStart w:id="140" w:name="_Toc21793"/>
      <w:r>
        <w:t>1.1</w:t>
      </w:r>
      <w:r>
        <w:rPr>
          <w:rFonts w:hint="eastAsia"/>
        </w:rPr>
        <w:t>、</w:t>
      </w:r>
      <w:r>
        <w:t>编制依据</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Start w:id="141" w:name="_Toc466420316"/>
      <w:bookmarkStart w:id="142" w:name="_Toc356923111"/>
      <w:bookmarkStart w:id="143" w:name="_Toc332573399"/>
      <w:bookmarkStart w:id="144" w:name="_Toc332618851"/>
      <w:bookmarkStart w:id="145" w:name="_Toc279998025"/>
      <w:bookmarkStart w:id="146" w:name="_Toc343180057"/>
      <w:bookmarkStart w:id="147" w:name="_Toc345167323"/>
    </w:p>
    <w:p>
      <w:pPr>
        <w:pStyle w:val="6"/>
        <w:ind w:firstLine="482"/>
      </w:pPr>
      <w:bookmarkStart w:id="148" w:name="_Toc21596"/>
      <w:bookmarkStart w:id="149" w:name="_Toc4398_WPSOffice_Level2"/>
      <w:bookmarkStart w:id="150" w:name="_Toc18998_WPSOffice_Level2"/>
      <w:bookmarkStart w:id="151" w:name="_Toc27195"/>
      <w:r>
        <w:t>1.1.1</w:t>
      </w:r>
      <w:r>
        <w:rPr>
          <w:rFonts w:hint="eastAsia"/>
        </w:rPr>
        <w:t>、法律法规</w:t>
      </w:r>
      <w:bookmarkEnd w:id="148"/>
    </w:p>
    <w:p>
      <w:pPr>
        <w:ind w:firstLine="480"/>
      </w:pPr>
      <w:r>
        <w:rPr>
          <w:rFonts w:hint="eastAsia"/>
        </w:rPr>
        <w:t>1、《中华人民共和国环境保护法》（2015年1月1日起施行）；</w:t>
      </w:r>
    </w:p>
    <w:p>
      <w:pPr>
        <w:ind w:firstLine="480"/>
      </w:pPr>
      <w:r>
        <w:rPr>
          <w:rFonts w:hint="eastAsia"/>
        </w:rPr>
        <w:t>2、《中华人民和国环境影响评价法》（2018年12月29日起施行）；</w:t>
      </w:r>
    </w:p>
    <w:p>
      <w:pPr>
        <w:ind w:firstLine="480"/>
      </w:pPr>
      <w:r>
        <w:rPr>
          <w:rFonts w:hint="eastAsia"/>
        </w:rPr>
        <w:t>3、《中华人民共和国水污染防治法》（2018年1月1日起施行）；</w:t>
      </w:r>
    </w:p>
    <w:p>
      <w:pPr>
        <w:ind w:firstLine="480"/>
      </w:pPr>
      <w:r>
        <w:rPr>
          <w:rFonts w:hint="eastAsia"/>
        </w:rPr>
        <w:t>4、《中华人民共和国大气污染防治法》（2018年10月26日起施行）；</w:t>
      </w:r>
    </w:p>
    <w:p>
      <w:pPr>
        <w:ind w:firstLine="480"/>
      </w:pPr>
      <w:r>
        <w:rPr>
          <w:rFonts w:hint="eastAsia"/>
        </w:rPr>
        <w:t>5、《中华人民共和国环境噪声污染防治法》（2022年6月5日起施行）；</w:t>
      </w:r>
    </w:p>
    <w:p>
      <w:pPr>
        <w:ind w:firstLine="480"/>
      </w:pPr>
      <w:r>
        <w:rPr>
          <w:rFonts w:hint="eastAsia"/>
        </w:rPr>
        <w:t>6、《中华人民共和国固体废物污染环境防治法》（2020年9月1日起施行）；</w:t>
      </w:r>
    </w:p>
    <w:p>
      <w:pPr>
        <w:ind w:firstLine="480"/>
      </w:pPr>
      <w:r>
        <w:rPr>
          <w:rFonts w:hint="eastAsia"/>
        </w:rPr>
        <w:t>7、《中华人民共和国土壤污染防治法》（2019年1月1日起施行）；</w:t>
      </w:r>
    </w:p>
    <w:p>
      <w:pPr>
        <w:ind w:firstLine="480"/>
      </w:pPr>
      <w:r>
        <w:rPr>
          <w:rFonts w:hint="eastAsia"/>
        </w:rPr>
        <w:t>8、《中华人民共和国水土保持法》（2011年3月1日起施行）；</w:t>
      </w:r>
    </w:p>
    <w:p>
      <w:pPr>
        <w:ind w:firstLine="480"/>
      </w:pPr>
      <w:r>
        <w:rPr>
          <w:rFonts w:hint="eastAsia"/>
        </w:rPr>
        <w:t>9、《中华人民共和国城乡规划法》（</w:t>
      </w:r>
      <w:r>
        <w:rPr>
          <w:rFonts w:hint="eastAsia"/>
          <w:lang w:val="en-US" w:eastAsia="zh-CN"/>
        </w:rPr>
        <w:t>2019年4月23日</w:t>
      </w:r>
      <w:r>
        <w:rPr>
          <w:rFonts w:hint="eastAsia"/>
        </w:rPr>
        <w:t>起施行）；</w:t>
      </w:r>
    </w:p>
    <w:p>
      <w:pPr>
        <w:ind w:firstLine="480"/>
      </w:pPr>
      <w:r>
        <w:rPr>
          <w:rFonts w:hint="eastAsia"/>
        </w:rPr>
        <w:t>10、《中华人民共和国土地管理法》（</w:t>
      </w:r>
      <w:r>
        <w:rPr>
          <w:rFonts w:hint="eastAsia"/>
          <w:lang w:val="en-US" w:eastAsia="zh-CN"/>
        </w:rPr>
        <w:t>2020</w:t>
      </w:r>
      <w:r>
        <w:rPr>
          <w:rFonts w:hint="eastAsia"/>
        </w:rPr>
        <w:t>年</w:t>
      </w:r>
      <w:r>
        <w:rPr>
          <w:rFonts w:hint="eastAsia"/>
          <w:lang w:val="en-US" w:eastAsia="zh-CN"/>
        </w:rPr>
        <w:t>1</w:t>
      </w:r>
      <w:r>
        <w:rPr>
          <w:rFonts w:hint="eastAsia"/>
        </w:rPr>
        <w:t>月</w:t>
      </w:r>
      <w:r>
        <w:rPr>
          <w:rFonts w:hint="eastAsia"/>
          <w:lang w:val="en-US" w:eastAsia="zh-CN"/>
        </w:rPr>
        <w:t>1</w:t>
      </w:r>
      <w:r>
        <w:rPr>
          <w:rFonts w:hint="eastAsia"/>
        </w:rPr>
        <w:t>日起施行）；</w:t>
      </w:r>
    </w:p>
    <w:p>
      <w:pPr>
        <w:ind w:firstLine="480"/>
      </w:pPr>
      <w:r>
        <w:rPr>
          <w:rFonts w:hint="eastAsia"/>
        </w:rPr>
        <w:t>11、《中华人民共和国节约能源法》（2018年10月26日起施行）；</w:t>
      </w:r>
    </w:p>
    <w:p>
      <w:pPr>
        <w:bidi w:val="0"/>
        <w:rPr>
          <w:rFonts w:hint="eastAsia"/>
        </w:rPr>
      </w:pPr>
      <w:bookmarkStart w:id="152" w:name="_Toc5360"/>
      <w:r>
        <w:rPr>
          <w:rFonts w:hint="eastAsia"/>
          <w:color w:val="auto"/>
          <w:lang w:val="en-US" w:eastAsia="zh-CN"/>
        </w:rPr>
        <w:t>12、《中华人民共和国循环经济促进法》（2018年11月14日</w:t>
      </w:r>
      <w:r>
        <w:rPr>
          <w:rFonts w:hint="eastAsia"/>
        </w:rPr>
        <w:t>起施行</w:t>
      </w:r>
      <w:r>
        <w:rPr>
          <w:rFonts w:hint="eastAsia"/>
          <w:color w:val="auto"/>
          <w:lang w:val="en-US" w:eastAsia="zh-CN"/>
        </w:rPr>
        <w:t>）；</w:t>
      </w:r>
    </w:p>
    <w:p>
      <w:pPr>
        <w:bidi w:val="0"/>
        <w:rPr>
          <w:rFonts w:hint="eastAsia"/>
          <w:lang w:val="en-US" w:eastAsia="zh-CN"/>
        </w:rPr>
      </w:pPr>
      <w:r>
        <w:rPr>
          <w:rFonts w:hint="eastAsia"/>
          <w:lang w:val="en-US" w:eastAsia="zh-CN"/>
        </w:rPr>
        <w:t>13、《中华人民共和国水法》（2016年7月2日</w:t>
      </w:r>
      <w:r>
        <w:rPr>
          <w:rFonts w:hint="eastAsia"/>
        </w:rPr>
        <w:t>起施行</w:t>
      </w:r>
      <w:r>
        <w:rPr>
          <w:rFonts w:hint="eastAsia"/>
          <w:lang w:val="en-US" w:eastAsia="zh-CN"/>
        </w:rPr>
        <w:t>）；</w:t>
      </w:r>
    </w:p>
    <w:p>
      <w:pPr>
        <w:bidi w:val="0"/>
        <w:rPr>
          <w:rFonts w:hint="eastAsia"/>
        </w:rPr>
      </w:pPr>
      <w:r>
        <w:rPr>
          <w:rFonts w:hint="eastAsia"/>
          <w:color w:val="auto"/>
          <w:lang w:val="en-US" w:eastAsia="zh-CN"/>
        </w:rPr>
        <w:t>14、《中华人民共和国城乡规划法》（2019年4月23日</w:t>
      </w:r>
      <w:r>
        <w:rPr>
          <w:rFonts w:hint="eastAsia"/>
        </w:rPr>
        <w:t>起施行</w:t>
      </w:r>
      <w:r>
        <w:rPr>
          <w:rFonts w:hint="eastAsia"/>
          <w:color w:val="auto"/>
          <w:lang w:val="en-US" w:eastAsia="zh-CN"/>
        </w:rPr>
        <w:t>）；</w:t>
      </w:r>
    </w:p>
    <w:p>
      <w:pPr>
        <w:rPr>
          <w:rFonts w:hint="eastAsia"/>
          <w:color w:val="auto"/>
          <w:lang w:val="en-US" w:eastAsia="zh-CN"/>
        </w:rPr>
      </w:pPr>
      <w:r>
        <w:rPr>
          <w:rFonts w:hint="eastAsia"/>
          <w:color w:val="auto"/>
          <w:lang w:val="en-US" w:eastAsia="zh-CN"/>
        </w:rPr>
        <w:t>15、《中华人民共和国动物防疫法》（2021年5月1日</w:t>
      </w:r>
      <w:r>
        <w:rPr>
          <w:rFonts w:hint="eastAsia"/>
        </w:rPr>
        <w:t>起施行</w:t>
      </w:r>
      <w:r>
        <w:rPr>
          <w:rFonts w:hint="eastAsia"/>
          <w:color w:val="auto"/>
          <w:lang w:val="en-US" w:eastAsia="zh-CN"/>
        </w:rPr>
        <w:t>）。</w:t>
      </w:r>
    </w:p>
    <w:p>
      <w:pPr>
        <w:bidi w:val="0"/>
        <w:rPr>
          <w:rFonts w:hint="eastAsia"/>
        </w:rPr>
      </w:pPr>
      <w:r>
        <w:rPr>
          <w:rFonts w:hint="eastAsia"/>
          <w:color w:val="auto"/>
          <w:lang w:val="en-US" w:eastAsia="zh-CN"/>
        </w:rPr>
        <w:t>16、《建设项目环境保护管理条例》（国务院令第682号，2017年10月1日</w:t>
      </w:r>
      <w:r>
        <w:rPr>
          <w:rFonts w:hint="eastAsia"/>
        </w:rPr>
        <w:t>起施行</w:t>
      </w:r>
      <w:r>
        <w:rPr>
          <w:rFonts w:hint="eastAsia"/>
          <w:color w:val="auto"/>
          <w:lang w:val="en-US" w:eastAsia="zh-CN"/>
        </w:rPr>
        <w:t>）。</w:t>
      </w:r>
    </w:p>
    <w:p>
      <w:pPr>
        <w:bidi w:val="0"/>
        <w:rPr>
          <w:rFonts w:hint="eastAsia"/>
          <w:color w:val="auto"/>
          <w:lang w:val="en-US" w:eastAsia="zh-CN"/>
        </w:rPr>
      </w:pPr>
      <w:r>
        <w:rPr>
          <w:rFonts w:hint="eastAsia"/>
          <w:color w:val="auto"/>
          <w:lang w:val="en-US" w:eastAsia="zh-CN"/>
        </w:rPr>
        <w:t>17、《地下水管理条例》（国务院令第748号，2021年12月1日</w:t>
      </w:r>
      <w:r>
        <w:rPr>
          <w:rFonts w:hint="eastAsia"/>
        </w:rPr>
        <w:t>起施行</w:t>
      </w:r>
      <w:r>
        <w:rPr>
          <w:rFonts w:hint="eastAsia"/>
          <w:color w:val="auto"/>
          <w:lang w:val="en-US" w:eastAsia="zh-CN"/>
        </w:rPr>
        <w:t>）；</w:t>
      </w:r>
    </w:p>
    <w:p>
      <w:pPr>
        <w:bidi w:val="0"/>
        <w:rPr>
          <w:rFonts w:hint="eastAsia"/>
          <w:color w:val="auto"/>
          <w:lang w:val="en-US" w:eastAsia="zh-CN"/>
        </w:rPr>
      </w:pPr>
      <w:r>
        <w:rPr>
          <w:rFonts w:hint="eastAsia"/>
          <w:color w:val="auto"/>
          <w:lang w:val="en-US" w:eastAsia="zh-CN"/>
        </w:rPr>
        <w:t>18、《排污许可管理条例》（国务院令第736号，2021年3月1日</w:t>
      </w:r>
      <w:r>
        <w:rPr>
          <w:rFonts w:hint="eastAsia"/>
        </w:rPr>
        <w:t>起施行</w:t>
      </w:r>
      <w:r>
        <w:rPr>
          <w:rFonts w:hint="eastAsia"/>
          <w:color w:val="auto"/>
          <w:lang w:val="en-US" w:eastAsia="zh-CN"/>
        </w:rPr>
        <w:t>）；</w:t>
      </w:r>
    </w:p>
    <w:p>
      <w:pPr>
        <w:pStyle w:val="6"/>
        <w:ind w:firstLine="482"/>
      </w:pPr>
      <w:r>
        <w:rPr>
          <w:rFonts w:hint="eastAsia"/>
        </w:rPr>
        <w:t>1.1.2、</w:t>
      </w:r>
      <w:bookmarkEnd w:id="141"/>
      <w:bookmarkEnd w:id="142"/>
      <w:bookmarkEnd w:id="143"/>
      <w:bookmarkEnd w:id="144"/>
      <w:bookmarkEnd w:id="145"/>
      <w:bookmarkEnd w:id="146"/>
      <w:bookmarkEnd w:id="147"/>
      <w:bookmarkEnd w:id="149"/>
      <w:bookmarkEnd w:id="150"/>
      <w:bookmarkEnd w:id="151"/>
      <w:bookmarkEnd w:id="152"/>
      <w:r>
        <w:rPr>
          <w:rFonts w:hint="eastAsia"/>
        </w:rPr>
        <w:t>国家环保法规、规章、政策</w:t>
      </w:r>
    </w:p>
    <w:p>
      <w:pPr>
        <w:numPr>
          <w:ilvl w:val="0"/>
          <w:numId w:val="0"/>
        </w:numPr>
        <w:bidi w:val="0"/>
        <w:ind w:firstLine="480" w:firstLineChars="200"/>
        <w:rPr>
          <w:rFonts w:hint="eastAsia"/>
        </w:rPr>
      </w:pPr>
      <w:bookmarkStart w:id="153" w:name="_Hlk39064522"/>
      <w:r>
        <w:rPr>
          <w:rFonts w:hint="eastAsia"/>
          <w:lang w:val="en-US" w:eastAsia="zh-CN"/>
        </w:rPr>
        <w:t>1、</w:t>
      </w:r>
      <w:r>
        <w:rPr>
          <w:rFonts w:hint="eastAsia"/>
        </w:rPr>
        <w:t>《建设项目环境保护管理条例》（中华人民共和国国务院令第682号，2017年10月1日起实施）；</w:t>
      </w:r>
    </w:p>
    <w:p>
      <w:pPr>
        <w:numPr>
          <w:ilvl w:val="0"/>
          <w:numId w:val="0"/>
        </w:numPr>
        <w:bidi w:val="0"/>
        <w:ind w:firstLine="480" w:firstLineChars="200"/>
        <w:rPr>
          <w:rFonts w:hint="eastAsia"/>
        </w:rPr>
      </w:pPr>
      <w:r>
        <w:rPr>
          <w:rFonts w:hint="eastAsia"/>
          <w:lang w:val="en-US" w:eastAsia="zh-CN"/>
        </w:rPr>
        <w:t>2、</w:t>
      </w:r>
      <w:r>
        <w:rPr>
          <w:rFonts w:hint="eastAsia"/>
        </w:rPr>
        <w:t>《建设项目环境影响评价分类管理名录》（环境保护部令第16号，2021年1月1日起施行）；</w:t>
      </w:r>
    </w:p>
    <w:p>
      <w:pPr>
        <w:numPr>
          <w:ilvl w:val="0"/>
          <w:numId w:val="0"/>
        </w:numPr>
        <w:bidi w:val="0"/>
        <w:ind w:firstLine="480" w:firstLineChars="200"/>
        <w:rPr>
          <w:rFonts w:hint="eastAsia"/>
        </w:rPr>
      </w:pPr>
      <w:r>
        <w:rPr>
          <w:rFonts w:hint="eastAsia"/>
          <w:lang w:val="en-US" w:eastAsia="zh-CN"/>
        </w:rPr>
        <w:t>3、</w:t>
      </w:r>
      <w:r>
        <w:rPr>
          <w:rFonts w:hint="eastAsia"/>
        </w:rPr>
        <w:t>《国家危险废物名录》（环境保护部令第15号，2021年1月1日起施行）；</w:t>
      </w:r>
    </w:p>
    <w:p>
      <w:pPr>
        <w:numPr>
          <w:ilvl w:val="0"/>
          <w:numId w:val="0"/>
        </w:numPr>
        <w:bidi w:val="0"/>
        <w:ind w:firstLine="480" w:firstLineChars="200"/>
        <w:rPr>
          <w:rFonts w:hint="eastAsia"/>
        </w:rPr>
      </w:pPr>
      <w:r>
        <w:rPr>
          <w:rFonts w:hint="eastAsia"/>
          <w:lang w:val="en-US" w:eastAsia="zh-CN"/>
        </w:rPr>
        <w:t>4、</w:t>
      </w:r>
      <w:r>
        <w:rPr>
          <w:rFonts w:hint="eastAsia"/>
        </w:rPr>
        <w:t>《环境影响评价公众参与办法》（生态环境部令第4号，2019年1月1日起施行）；</w:t>
      </w:r>
    </w:p>
    <w:p>
      <w:pPr>
        <w:numPr>
          <w:ilvl w:val="0"/>
          <w:numId w:val="0"/>
        </w:numPr>
        <w:bidi w:val="0"/>
        <w:ind w:firstLine="480" w:firstLineChars="200"/>
        <w:rPr>
          <w:rFonts w:hint="eastAsia"/>
        </w:rPr>
      </w:pPr>
      <w:r>
        <w:rPr>
          <w:rFonts w:hint="eastAsia"/>
          <w:lang w:val="en-US" w:eastAsia="zh-CN"/>
        </w:rPr>
        <w:t>5、</w:t>
      </w:r>
      <w:r>
        <w:rPr>
          <w:rFonts w:hint="eastAsia"/>
        </w:rPr>
        <w:t>《关于印发&lt;建设项目环境影响评价政府信息公开指南（试行）&gt;的通知》（环办﹝2013﹞103号，2013年11月14日起施行）；</w:t>
      </w:r>
    </w:p>
    <w:bookmarkEnd w:id="153"/>
    <w:p>
      <w:pPr>
        <w:numPr>
          <w:ilvl w:val="0"/>
          <w:numId w:val="0"/>
        </w:numPr>
        <w:bidi w:val="0"/>
        <w:ind w:firstLine="480" w:firstLineChars="200"/>
        <w:rPr>
          <w:rFonts w:hint="eastAsia"/>
        </w:rPr>
      </w:pPr>
      <w:r>
        <w:rPr>
          <w:rFonts w:hint="eastAsia"/>
          <w:lang w:val="en-US" w:eastAsia="zh-CN"/>
        </w:rPr>
        <w:t>6、</w:t>
      </w:r>
      <w:r>
        <w:rPr>
          <w:rFonts w:hint="eastAsia"/>
        </w:rPr>
        <w:t>《危险废物转移管理办法》（部令第23号，20</w:t>
      </w:r>
      <w:r>
        <w:rPr>
          <w:rFonts w:hint="eastAsia"/>
          <w:lang w:val="en-US" w:eastAsia="zh-CN"/>
        </w:rPr>
        <w:t>22</w:t>
      </w:r>
      <w:r>
        <w:rPr>
          <w:rFonts w:hint="eastAsia"/>
        </w:rPr>
        <w:t>年1月</w:t>
      </w:r>
      <w:r>
        <w:rPr>
          <w:rFonts w:hint="eastAsia"/>
          <w:lang w:val="en-US" w:eastAsia="zh-CN"/>
        </w:rPr>
        <w:t>1</w:t>
      </w:r>
      <w:r>
        <w:rPr>
          <w:rFonts w:hint="eastAsia"/>
        </w:rPr>
        <w:t>日起施行）；</w:t>
      </w:r>
    </w:p>
    <w:p>
      <w:pPr>
        <w:numPr>
          <w:ilvl w:val="0"/>
          <w:numId w:val="0"/>
        </w:numPr>
        <w:bidi w:val="0"/>
        <w:ind w:firstLine="480" w:firstLineChars="200"/>
        <w:rPr>
          <w:rFonts w:hint="eastAsia"/>
        </w:rPr>
      </w:pPr>
      <w:r>
        <w:rPr>
          <w:rFonts w:hint="eastAsia"/>
          <w:lang w:val="en-US" w:eastAsia="zh-CN"/>
        </w:rPr>
        <w:t>7、</w:t>
      </w:r>
      <w:r>
        <w:rPr>
          <w:rFonts w:hint="eastAsia"/>
        </w:rPr>
        <w:t>《危险化学品安全管理条例》（中华人民共和国国务院令第645号，2013年12月7日起施行）；</w:t>
      </w:r>
    </w:p>
    <w:p>
      <w:pPr>
        <w:numPr>
          <w:ilvl w:val="0"/>
          <w:numId w:val="0"/>
        </w:numPr>
        <w:bidi w:val="0"/>
        <w:ind w:firstLine="480" w:firstLineChars="200"/>
        <w:rPr>
          <w:rFonts w:hint="eastAsia"/>
        </w:rPr>
      </w:pPr>
      <w:bookmarkStart w:id="154" w:name="_Hlk39065282"/>
      <w:r>
        <w:rPr>
          <w:rFonts w:hint="eastAsia"/>
          <w:lang w:val="en-US" w:eastAsia="zh-CN"/>
        </w:rPr>
        <w:t>8、</w:t>
      </w:r>
      <w:r>
        <w:rPr>
          <w:rFonts w:hint="eastAsia"/>
        </w:rPr>
        <w:t>《固定污染源排污许可分类管理名录（2019年版）》（环境保护部令第11号，2019年12月20日起施行）；</w:t>
      </w:r>
    </w:p>
    <w:p>
      <w:pPr>
        <w:numPr>
          <w:ilvl w:val="0"/>
          <w:numId w:val="0"/>
        </w:numPr>
        <w:bidi w:val="0"/>
        <w:ind w:firstLine="480" w:firstLineChars="200"/>
        <w:rPr>
          <w:rFonts w:hint="eastAsia"/>
        </w:rPr>
      </w:pPr>
      <w:r>
        <w:rPr>
          <w:rFonts w:hint="eastAsia"/>
          <w:lang w:val="en-US" w:eastAsia="zh-CN"/>
        </w:rPr>
        <w:t>9、</w:t>
      </w:r>
      <w:r>
        <w:rPr>
          <w:rFonts w:hint="default"/>
          <w:lang w:val="en-US" w:eastAsia="zh-CN"/>
        </w:rPr>
        <w:t>《排污许可管理条例》（中华人民共和国国务院令第736号</w:t>
      </w:r>
      <w:r>
        <w:rPr>
          <w:rFonts w:hint="eastAsia"/>
          <w:lang w:val="en-US" w:eastAsia="zh-CN"/>
        </w:rPr>
        <w:t>，自2021年3月1日起施行</w:t>
      </w:r>
      <w:r>
        <w:rPr>
          <w:rFonts w:hint="default"/>
          <w:lang w:val="en-US" w:eastAsia="zh-CN"/>
        </w:rPr>
        <w:t>）</w:t>
      </w:r>
      <w:r>
        <w:rPr>
          <w:rFonts w:hint="eastAsia"/>
        </w:rPr>
        <w:t>；</w:t>
      </w:r>
      <w:bookmarkEnd w:id="154"/>
    </w:p>
    <w:p>
      <w:pPr>
        <w:numPr>
          <w:ilvl w:val="0"/>
          <w:numId w:val="0"/>
        </w:numPr>
        <w:bidi w:val="0"/>
        <w:ind w:firstLine="480" w:firstLineChars="200"/>
        <w:rPr>
          <w:rFonts w:hint="eastAsia"/>
        </w:rPr>
      </w:pPr>
      <w:r>
        <w:rPr>
          <w:rFonts w:hint="eastAsia"/>
          <w:lang w:val="en-US" w:eastAsia="zh-CN"/>
        </w:rPr>
        <w:t>10、</w:t>
      </w:r>
      <w:r>
        <w:rPr>
          <w:rFonts w:hint="eastAsia"/>
        </w:rPr>
        <w:t>《关于发布&lt;建设项目危险废物环境影响评价指南&gt;的公告》（环境保护部公告2017年第43号，2017年10月1日起施行）；</w:t>
      </w:r>
    </w:p>
    <w:p>
      <w:pPr>
        <w:numPr>
          <w:ilvl w:val="0"/>
          <w:numId w:val="0"/>
        </w:numPr>
        <w:bidi w:val="0"/>
        <w:ind w:firstLine="480" w:firstLineChars="200"/>
        <w:rPr>
          <w:rFonts w:hint="eastAsia"/>
        </w:rPr>
      </w:pPr>
      <w:bookmarkStart w:id="155" w:name="_Hlk39065330"/>
      <w:r>
        <w:rPr>
          <w:rFonts w:hint="eastAsia"/>
          <w:lang w:val="en-US" w:eastAsia="zh-CN"/>
        </w:rPr>
        <w:t>11、</w:t>
      </w:r>
      <w:r>
        <w:rPr>
          <w:rFonts w:hint="eastAsia"/>
        </w:rPr>
        <w:t>《产业结构调整指导目录</w:t>
      </w:r>
      <w:r>
        <w:rPr>
          <w:rFonts w:hint="default"/>
        </w:rPr>
        <w:t>（</w:t>
      </w:r>
      <w:r>
        <w:rPr>
          <w:rFonts w:hint="eastAsia"/>
          <w:lang w:val="en-US" w:eastAsia="zh-CN"/>
        </w:rPr>
        <w:t>2021修订版）</w:t>
      </w:r>
      <w:r>
        <w:rPr>
          <w:rFonts w:hint="eastAsia"/>
        </w:rPr>
        <w:t>》（国家发展和改革委员会令第</w:t>
      </w:r>
      <w:r>
        <w:rPr>
          <w:rFonts w:hint="eastAsia"/>
          <w:lang w:val="en-US" w:eastAsia="zh-CN"/>
        </w:rPr>
        <w:t>49</w:t>
      </w:r>
      <w:r>
        <w:rPr>
          <w:rFonts w:hint="eastAsia"/>
        </w:rPr>
        <w:t>号，20</w:t>
      </w:r>
      <w:r>
        <w:rPr>
          <w:rFonts w:hint="eastAsia"/>
          <w:lang w:val="en-US" w:eastAsia="zh-CN"/>
        </w:rPr>
        <w:t>21</w:t>
      </w:r>
      <w:r>
        <w:rPr>
          <w:rFonts w:hint="eastAsia"/>
        </w:rPr>
        <w:t>年</w:t>
      </w:r>
      <w:r>
        <w:rPr>
          <w:rFonts w:hint="eastAsia"/>
          <w:lang w:val="en-US" w:eastAsia="zh-CN"/>
        </w:rPr>
        <w:t>12</w:t>
      </w:r>
      <w:r>
        <w:rPr>
          <w:rFonts w:hint="eastAsia"/>
        </w:rPr>
        <w:t>月30日起施行）；</w:t>
      </w:r>
      <w:bookmarkEnd w:id="155"/>
    </w:p>
    <w:p>
      <w:pPr>
        <w:numPr>
          <w:ilvl w:val="0"/>
          <w:numId w:val="0"/>
        </w:numPr>
        <w:bidi w:val="0"/>
        <w:ind w:firstLine="480" w:firstLineChars="200"/>
        <w:rPr>
          <w:rFonts w:hint="eastAsia"/>
        </w:rPr>
      </w:pPr>
      <w:r>
        <w:rPr>
          <w:rFonts w:hint="eastAsia"/>
          <w:lang w:val="en-US" w:eastAsia="zh-CN"/>
        </w:rPr>
        <w:t>12、</w:t>
      </w:r>
      <w:r>
        <w:rPr>
          <w:rFonts w:hint="eastAsia"/>
        </w:rPr>
        <w:t>《关于印发&lt;企业突发环境事件风险</w:t>
      </w:r>
      <w:r>
        <w:rPr>
          <w:rFonts w:hint="eastAsia"/>
          <w:lang w:val="en-US" w:eastAsia="zh-CN"/>
        </w:rPr>
        <w:t>评估</w:t>
      </w:r>
      <w:r>
        <w:rPr>
          <w:rFonts w:hint="eastAsia"/>
        </w:rPr>
        <w:t>指南（试行）&gt;的通知》（环办〔201</w:t>
      </w:r>
      <w:r>
        <w:rPr>
          <w:rFonts w:hint="eastAsia"/>
          <w:lang w:val="en-US" w:eastAsia="zh-CN"/>
        </w:rPr>
        <w:t>4</w:t>
      </w:r>
      <w:r>
        <w:rPr>
          <w:rFonts w:hint="eastAsia"/>
        </w:rPr>
        <w:t>〕34号，2014年4月3日起施行）；</w:t>
      </w:r>
    </w:p>
    <w:p>
      <w:pPr>
        <w:numPr>
          <w:ilvl w:val="0"/>
          <w:numId w:val="0"/>
        </w:numPr>
        <w:bidi w:val="0"/>
        <w:ind w:firstLine="480" w:firstLineChars="200"/>
        <w:rPr>
          <w:rFonts w:hint="eastAsia"/>
        </w:rPr>
      </w:pPr>
      <w:r>
        <w:rPr>
          <w:rFonts w:hint="eastAsia"/>
          <w:lang w:val="en-US" w:eastAsia="zh-CN"/>
        </w:rPr>
        <w:t>13、</w:t>
      </w:r>
      <w:r>
        <w:rPr>
          <w:rFonts w:hint="eastAsia"/>
        </w:rPr>
        <w:t>《关于印发&lt;建设项目主要污染物排放总量指标审核及管理暂行办法&gt;的通知》（环发﹝2014﹞197号，2014年12月30日）；</w:t>
      </w:r>
    </w:p>
    <w:p>
      <w:pPr>
        <w:numPr>
          <w:ilvl w:val="0"/>
          <w:numId w:val="0"/>
        </w:numPr>
        <w:bidi w:val="0"/>
        <w:ind w:firstLine="480" w:firstLineChars="200"/>
        <w:rPr>
          <w:rFonts w:hint="eastAsia"/>
        </w:rPr>
      </w:pPr>
      <w:r>
        <w:rPr>
          <w:rFonts w:hint="eastAsia"/>
          <w:lang w:val="en-US" w:eastAsia="zh-CN"/>
        </w:rPr>
        <w:t>14、</w:t>
      </w:r>
      <w:r>
        <w:rPr>
          <w:rFonts w:hint="eastAsia"/>
        </w:rPr>
        <w:t>《危险化学品名录（2015版）》（国家安全生产监督管理总局、工业和信息化部、公安部、环境保护部、交通运输部、国农业部、国家卫生和计划生育委员会、国家质量监督检验检疫总局、国家铁路局、中国民用航空局公告2015年第5号，2015年2月27日）；</w:t>
      </w:r>
    </w:p>
    <w:p>
      <w:pPr>
        <w:numPr>
          <w:ilvl w:val="0"/>
          <w:numId w:val="0"/>
        </w:numPr>
        <w:bidi w:val="0"/>
        <w:ind w:firstLine="480" w:firstLineChars="200"/>
        <w:rPr>
          <w:rFonts w:hint="eastAsia"/>
        </w:rPr>
      </w:pPr>
      <w:r>
        <w:rPr>
          <w:rFonts w:hint="eastAsia"/>
          <w:lang w:val="en-US" w:eastAsia="zh-CN"/>
        </w:rPr>
        <w:t>15、</w:t>
      </w:r>
      <w:r>
        <w:rPr>
          <w:rFonts w:hint="eastAsia"/>
        </w:rPr>
        <w:t>《关于印发&lt;危险废物规范化管理指标体系&gt;的通知》（环办﹝2015﹞99号，2015年10月23日）；</w:t>
      </w:r>
    </w:p>
    <w:p>
      <w:pPr>
        <w:numPr>
          <w:ilvl w:val="0"/>
          <w:numId w:val="0"/>
        </w:numPr>
        <w:bidi w:val="0"/>
        <w:ind w:firstLine="480" w:firstLineChars="200"/>
        <w:rPr>
          <w:rFonts w:hint="eastAsia"/>
        </w:rPr>
      </w:pPr>
      <w:r>
        <w:rPr>
          <w:rFonts w:hint="eastAsia"/>
          <w:lang w:val="en-US" w:eastAsia="zh-CN"/>
        </w:rPr>
        <w:t>16、</w:t>
      </w:r>
      <w:r>
        <w:rPr>
          <w:rFonts w:hint="eastAsia"/>
        </w:rPr>
        <w:t>《</w:t>
      </w:r>
      <w:bookmarkStart w:id="156" w:name="_Hlk39065395"/>
      <w:r>
        <w:rPr>
          <w:rFonts w:hint="eastAsia"/>
        </w:rPr>
        <w:t>关于印发&lt;建设项目环境影响评价信息公开机制方案&gt;的通知》（环发〔201</w:t>
      </w:r>
      <w:r>
        <w:rPr>
          <w:rFonts w:hint="eastAsia"/>
          <w:lang w:val="en-US" w:eastAsia="zh-CN"/>
        </w:rPr>
        <w:t>5</w:t>
      </w:r>
      <w:r>
        <w:rPr>
          <w:rFonts w:hint="eastAsia"/>
        </w:rPr>
        <w:t>〕162号，2015年12月10日）；</w:t>
      </w:r>
    </w:p>
    <w:p>
      <w:pPr>
        <w:numPr>
          <w:ilvl w:val="0"/>
          <w:numId w:val="0"/>
        </w:numPr>
        <w:bidi w:val="0"/>
        <w:ind w:firstLine="480" w:firstLineChars="200"/>
        <w:rPr>
          <w:rFonts w:hint="eastAsia"/>
        </w:rPr>
      </w:pPr>
      <w:r>
        <w:rPr>
          <w:rFonts w:hint="eastAsia"/>
          <w:lang w:val="en-US" w:eastAsia="zh-CN"/>
        </w:rPr>
        <w:t>17、</w:t>
      </w:r>
      <w:r>
        <w:rPr>
          <w:rFonts w:hint="eastAsia"/>
        </w:rPr>
        <w:t>《关于加强规划环境影响评价与建设项目环境影响评价联动工作的意见》（环发〔201</w:t>
      </w:r>
      <w:r>
        <w:rPr>
          <w:rFonts w:hint="eastAsia"/>
          <w:lang w:val="en-US" w:eastAsia="zh-CN"/>
        </w:rPr>
        <w:t>5</w:t>
      </w:r>
      <w:r>
        <w:rPr>
          <w:rFonts w:hint="eastAsia"/>
        </w:rPr>
        <w:t>〕178号，2016年1月4日）；</w:t>
      </w:r>
    </w:p>
    <w:p>
      <w:pPr>
        <w:numPr>
          <w:ilvl w:val="0"/>
          <w:numId w:val="0"/>
        </w:numPr>
        <w:bidi w:val="0"/>
        <w:ind w:firstLine="480" w:firstLineChars="200"/>
        <w:rPr>
          <w:rFonts w:hint="eastAsia"/>
        </w:rPr>
      </w:pPr>
      <w:r>
        <w:rPr>
          <w:rFonts w:hint="eastAsia"/>
          <w:lang w:val="en-US" w:eastAsia="zh-CN"/>
        </w:rPr>
        <w:t>18、</w:t>
      </w:r>
      <w:r>
        <w:rPr>
          <w:rFonts w:hint="eastAsia"/>
        </w:rPr>
        <w:t>《关于发布&lt;建设项目竣工环境保护验收暂行办法&gt;的公告》（国环规环评〔201</w:t>
      </w:r>
      <w:r>
        <w:rPr>
          <w:rFonts w:hint="eastAsia"/>
          <w:lang w:val="en-US" w:eastAsia="zh-CN"/>
        </w:rPr>
        <w:t>7</w:t>
      </w:r>
      <w:r>
        <w:rPr>
          <w:rFonts w:hint="eastAsia"/>
        </w:rPr>
        <w:t>〕4号，2017年11月20日）；</w:t>
      </w:r>
    </w:p>
    <w:p>
      <w:pPr>
        <w:numPr>
          <w:ilvl w:val="0"/>
          <w:numId w:val="0"/>
        </w:numPr>
        <w:bidi w:val="0"/>
        <w:ind w:firstLine="480" w:firstLineChars="200"/>
        <w:rPr>
          <w:rFonts w:hint="eastAsia"/>
        </w:rPr>
      </w:pPr>
      <w:r>
        <w:rPr>
          <w:rFonts w:hint="eastAsia"/>
          <w:lang w:val="en-US" w:eastAsia="zh-CN"/>
        </w:rPr>
        <w:t>19、</w:t>
      </w:r>
      <w:r>
        <w:rPr>
          <w:rFonts w:hint="eastAsia"/>
        </w:rPr>
        <w:t>《关于强化建设项目环境影响评价事中事后监管的实施意见》（环环评〔2018〕11号，2018年1月26日）；</w:t>
      </w:r>
    </w:p>
    <w:p>
      <w:pPr>
        <w:numPr>
          <w:ilvl w:val="0"/>
          <w:numId w:val="0"/>
        </w:numPr>
        <w:bidi w:val="0"/>
        <w:ind w:firstLine="480" w:firstLineChars="200"/>
        <w:rPr>
          <w:rFonts w:hint="eastAsia"/>
        </w:rPr>
      </w:pPr>
      <w:r>
        <w:rPr>
          <w:rFonts w:hint="eastAsia"/>
          <w:lang w:val="en-US" w:eastAsia="zh-CN"/>
        </w:rPr>
        <w:t>20、</w:t>
      </w:r>
      <w:r>
        <w:rPr>
          <w:rFonts w:hint="eastAsia"/>
        </w:rPr>
        <w:t>《中共中央国务院关于全面加强生态环境保护坚决打好污染防治攻坚战的意见》（2018年6月16日）；</w:t>
      </w:r>
    </w:p>
    <w:p>
      <w:pPr>
        <w:numPr>
          <w:ilvl w:val="0"/>
          <w:numId w:val="0"/>
        </w:numPr>
        <w:bidi w:val="0"/>
        <w:ind w:firstLine="480" w:firstLineChars="200"/>
        <w:rPr>
          <w:rFonts w:hint="eastAsia"/>
        </w:rPr>
      </w:pPr>
      <w:r>
        <w:rPr>
          <w:rFonts w:hint="eastAsia"/>
          <w:lang w:val="en-US" w:eastAsia="zh-CN"/>
        </w:rPr>
        <w:t>21、</w:t>
      </w:r>
      <w:r>
        <w:rPr>
          <w:rFonts w:hint="eastAsia"/>
        </w:rPr>
        <w:t>《中共中央国务院关于深入打好污染防治攻坚战的意见》（2021年11月2日）；</w:t>
      </w:r>
    </w:p>
    <w:p>
      <w:pPr>
        <w:numPr>
          <w:ilvl w:val="0"/>
          <w:numId w:val="0"/>
        </w:numPr>
        <w:bidi w:val="0"/>
        <w:ind w:firstLine="480" w:firstLineChars="200"/>
      </w:pPr>
      <w:r>
        <w:rPr>
          <w:rFonts w:hint="eastAsia"/>
          <w:lang w:val="en-US" w:eastAsia="zh-CN"/>
        </w:rPr>
        <w:t>22、</w:t>
      </w:r>
      <w:r>
        <w:rPr>
          <w:rFonts w:hint="eastAsia"/>
        </w:rPr>
        <w:t>《关于提升危险废物环境监管能力、利用处置能力和环境风险防范能力的指导意见》（环固体〔2019〕92号，2019年10月16日）；</w:t>
      </w:r>
      <w:bookmarkEnd w:id="156"/>
    </w:p>
    <w:p>
      <w:pPr>
        <w:ind w:firstLine="480"/>
      </w:pPr>
      <w:r>
        <w:rPr>
          <w:rFonts w:hint="eastAsia"/>
          <w:lang w:val="en-US" w:eastAsia="zh-CN"/>
        </w:rPr>
        <w:t>23、</w:t>
      </w:r>
      <w:r>
        <w:rPr>
          <w:rFonts w:hint="eastAsia"/>
        </w:rPr>
        <w:t>《产业结构调整指导目录（</w:t>
      </w:r>
      <w:r>
        <w:t>2019</w:t>
      </w:r>
      <w:r>
        <w:rPr>
          <w:rFonts w:hint="eastAsia"/>
        </w:rPr>
        <w:t>年本）》，</w:t>
      </w:r>
      <w:r>
        <w:t>2020</w:t>
      </w:r>
      <w:r>
        <w:rPr>
          <w:rFonts w:hint="eastAsia"/>
        </w:rPr>
        <w:t>年</w:t>
      </w:r>
      <w:r>
        <w:t>1</w:t>
      </w:r>
      <w:r>
        <w:rPr>
          <w:rFonts w:hint="eastAsia"/>
        </w:rPr>
        <w:t>月</w:t>
      </w:r>
      <w:r>
        <w:t>1</w:t>
      </w:r>
      <w:r>
        <w:rPr>
          <w:rFonts w:hint="eastAsia"/>
        </w:rPr>
        <w:t>日</w:t>
      </w:r>
      <w:r>
        <w:t>；</w:t>
      </w:r>
    </w:p>
    <w:p>
      <w:pPr>
        <w:ind w:firstLine="480"/>
      </w:pPr>
      <w:r>
        <w:rPr>
          <w:rFonts w:hint="eastAsia"/>
          <w:lang w:val="en-US" w:eastAsia="zh-CN"/>
        </w:rPr>
        <w:t>24</w:t>
      </w:r>
      <w:r>
        <w:rPr>
          <w:rFonts w:hint="eastAsia"/>
        </w:rPr>
        <w:t>、</w:t>
      </w:r>
      <w:r>
        <w:t>《国务院关于加强环境保护重点工作的意见》（国发</w:t>
      </w:r>
      <w:r>
        <w:rPr>
          <w:rFonts w:hint="eastAsia"/>
        </w:rPr>
        <w:t>〔</w:t>
      </w:r>
      <w:r>
        <w:t>2016</w:t>
      </w:r>
      <w:r>
        <w:rPr>
          <w:rFonts w:hint="eastAsia"/>
        </w:rPr>
        <w:t>〕</w:t>
      </w:r>
      <w:r>
        <w:t>74号）；</w:t>
      </w:r>
    </w:p>
    <w:p>
      <w:pPr>
        <w:ind w:firstLine="480"/>
      </w:pPr>
      <w:r>
        <w:rPr>
          <w:rFonts w:hint="eastAsia"/>
          <w:lang w:val="en-US" w:eastAsia="zh-CN"/>
        </w:rPr>
        <w:t>25</w:t>
      </w:r>
      <w:r>
        <w:rPr>
          <w:rFonts w:hint="eastAsia"/>
        </w:rPr>
        <w:t>、《中华人民共和国国民经济和社会发展第十四个五年规划和2035年远景目标纲要》；</w:t>
      </w:r>
    </w:p>
    <w:p>
      <w:pPr>
        <w:ind w:firstLine="480"/>
      </w:pPr>
      <w:r>
        <w:rPr>
          <w:rFonts w:hint="eastAsia"/>
          <w:lang w:val="en-US" w:eastAsia="zh-CN"/>
        </w:rPr>
        <w:t>26、</w:t>
      </w:r>
      <w:r>
        <w:t>《畜禽规模养殖污染防治条例》（国务院第643号令，2014年1月1日施行）；</w:t>
      </w:r>
    </w:p>
    <w:p>
      <w:pPr>
        <w:pStyle w:val="6"/>
        <w:bidi w:val="0"/>
        <w:rPr>
          <w:rFonts w:hint="default"/>
          <w:lang w:val="en-US" w:eastAsia="zh-CN"/>
        </w:rPr>
      </w:pPr>
      <w:r>
        <w:rPr>
          <w:rFonts w:hint="eastAsia"/>
          <w:lang w:val="en-US" w:eastAsia="zh-CN"/>
        </w:rPr>
        <w:t>1.1.3、地方性法规、政策</w:t>
      </w:r>
    </w:p>
    <w:p>
      <w:pPr>
        <w:ind w:firstLine="480"/>
        <w:rPr>
          <w:rFonts w:hint="eastAsia"/>
        </w:rPr>
      </w:pPr>
      <w:bookmarkStart w:id="157" w:name="_Hlk39065435"/>
      <w:r>
        <w:rPr>
          <w:rFonts w:hint="eastAsia"/>
          <w:lang w:val="en-US" w:eastAsia="zh-CN"/>
        </w:rPr>
        <w:t>1、</w:t>
      </w:r>
      <w:r>
        <w:rPr>
          <w:rFonts w:hint="eastAsia"/>
        </w:rPr>
        <w:t>《甘肃省环境保护条例》（甘肃省第十三届人民代表大会常务委员会第十二次会议，2019年9月26日）；</w:t>
      </w:r>
    </w:p>
    <w:p>
      <w:pPr>
        <w:rPr>
          <w:rFonts w:hint="eastAsia"/>
        </w:rPr>
      </w:pPr>
      <w:r>
        <w:rPr>
          <w:rFonts w:hint="eastAsia"/>
          <w:lang w:val="en-US" w:eastAsia="zh-CN"/>
        </w:rPr>
        <w:t>2、</w:t>
      </w:r>
      <w:r>
        <w:rPr>
          <w:rFonts w:hint="eastAsia"/>
        </w:rPr>
        <w:t>《甘肃省大气污染防治条例》（甘肃省第十三届人民代表大会常务委员会第七次会议，2019年1月1日起施行）</w:t>
      </w:r>
      <w:r>
        <w:rPr>
          <w:rFonts w:hint="eastAsia"/>
          <w:lang w:eastAsia="zh-CN"/>
        </w:rPr>
        <w:t>；</w:t>
      </w:r>
    </w:p>
    <w:p>
      <w:pPr>
        <w:ind w:firstLine="480"/>
        <w:rPr>
          <w:rFonts w:hint="eastAsia"/>
        </w:rPr>
      </w:pPr>
      <w:r>
        <w:rPr>
          <w:rFonts w:hint="eastAsia"/>
          <w:lang w:val="en-US" w:eastAsia="zh-CN"/>
        </w:rPr>
        <w:t>3、</w:t>
      </w:r>
      <w:r>
        <w:rPr>
          <w:rFonts w:hint="eastAsia"/>
        </w:rPr>
        <w:t>《甘肃省水污染防治条例》（甘肃省第十三届人民代表大会常务委员会第二十次会议，2021年1月1日起施行）</w:t>
      </w:r>
      <w:r>
        <w:rPr>
          <w:rFonts w:hint="eastAsia"/>
          <w:lang w:eastAsia="zh-CN"/>
        </w:rPr>
        <w:t>；</w:t>
      </w:r>
    </w:p>
    <w:p>
      <w:pPr>
        <w:ind w:firstLine="480"/>
        <w:rPr>
          <w:rFonts w:hint="eastAsia"/>
        </w:rPr>
      </w:pPr>
      <w:r>
        <w:rPr>
          <w:rFonts w:hint="eastAsia"/>
          <w:lang w:val="en-US" w:eastAsia="zh-CN"/>
        </w:rPr>
        <w:t>4、</w:t>
      </w:r>
      <w:r>
        <w:rPr>
          <w:rFonts w:hint="eastAsia"/>
        </w:rPr>
        <w:t>《甘肃省土壤污染防治条例》（甘肃省第十三届人民代表大会常务委员会第二十二次会议，2021年5月1日起施行）</w:t>
      </w:r>
      <w:r>
        <w:rPr>
          <w:rFonts w:hint="eastAsia"/>
          <w:lang w:eastAsia="zh-CN"/>
        </w:rPr>
        <w:t>；</w:t>
      </w:r>
    </w:p>
    <w:p>
      <w:pPr>
        <w:ind w:firstLine="480"/>
        <w:rPr>
          <w:rFonts w:hint="eastAsia"/>
        </w:rPr>
      </w:pPr>
      <w:r>
        <w:rPr>
          <w:rFonts w:hint="eastAsia"/>
          <w:lang w:val="en-US" w:eastAsia="zh-CN"/>
        </w:rPr>
        <w:t>5、</w:t>
      </w:r>
      <w:r>
        <w:rPr>
          <w:rFonts w:hint="eastAsia"/>
        </w:rPr>
        <w:t>《甘肃省固体废物污染环境防治条例》（甘肃省第十三届人民代表大会常务委员会第二十七次会议，2022年1月1日起施行）</w:t>
      </w:r>
      <w:r>
        <w:rPr>
          <w:rFonts w:hint="eastAsia"/>
          <w:lang w:eastAsia="zh-CN"/>
        </w:rPr>
        <w:t>；</w:t>
      </w:r>
    </w:p>
    <w:p>
      <w:pPr>
        <w:ind w:firstLine="480"/>
        <w:rPr>
          <w:rFonts w:hint="eastAsia"/>
        </w:rPr>
      </w:pPr>
      <w:r>
        <w:rPr>
          <w:rFonts w:hint="eastAsia"/>
          <w:lang w:val="en-US" w:eastAsia="zh-CN"/>
        </w:rPr>
        <w:t>6、</w:t>
      </w:r>
      <w:r>
        <w:rPr>
          <w:rFonts w:hint="eastAsia"/>
        </w:rPr>
        <w:t>《甘肃省人民政府关于印发&lt;甘肃省水污染防治工作方案&gt;的通知》（甘政发〔2015〕103号，2015年12月30日）；</w:t>
      </w:r>
    </w:p>
    <w:p>
      <w:pPr>
        <w:ind w:firstLine="480"/>
        <w:rPr>
          <w:rFonts w:hint="eastAsia"/>
        </w:rPr>
      </w:pPr>
      <w:r>
        <w:rPr>
          <w:rFonts w:hint="eastAsia"/>
          <w:lang w:val="en-US" w:eastAsia="zh-CN"/>
        </w:rPr>
        <w:t>7、</w:t>
      </w:r>
      <w:r>
        <w:rPr>
          <w:rFonts w:hint="eastAsia"/>
        </w:rPr>
        <w:t>《甘肃省人民政府关于印发&lt;甘肃省推进绿色生态产业发展规划&gt;的通知》（甘政发〔2018〕17号，2018年1月14日）；</w:t>
      </w:r>
    </w:p>
    <w:p>
      <w:pPr>
        <w:ind w:firstLine="480"/>
        <w:rPr>
          <w:rFonts w:hint="eastAsia"/>
        </w:rPr>
      </w:pPr>
      <w:r>
        <w:rPr>
          <w:rFonts w:hint="eastAsia"/>
          <w:lang w:val="en-US" w:eastAsia="zh-CN"/>
        </w:rPr>
        <w:t>8、</w:t>
      </w:r>
      <w:r>
        <w:rPr>
          <w:rFonts w:hint="eastAsia"/>
        </w:rPr>
        <w:t>《甘肃省环境保护厅关于规范全省突发环境事件应急预案管理工作的通知》（甘环监察发〔2012〕40号，2012年10月8日）；</w:t>
      </w:r>
    </w:p>
    <w:p>
      <w:pPr>
        <w:ind w:firstLine="480"/>
        <w:rPr>
          <w:rFonts w:hint="eastAsia"/>
        </w:rPr>
      </w:pPr>
      <w:r>
        <w:rPr>
          <w:rFonts w:hint="eastAsia"/>
          <w:lang w:val="en-US" w:eastAsia="zh-CN"/>
        </w:rPr>
        <w:t>9、</w:t>
      </w:r>
      <w:r>
        <w:rPr>
          <w:rFonts w:hint="eastAsia"/>
        </w:rPr>
        <w:t>《关于进一步加强危险废物监督管理工作的意见》（甘政发〔201</w:t>
      </w:r>
      <w:r>
        <w:rPr>
          <w:rFonts w:hint="eastAsia"/>
          <w:lang w:val="en-US" w:eastAsia="zh-CN"/>
        </w:rPr>
        <w:t>4</w:t>
      </w:r>
      <w:r>
        <w:rPr>
          <w:rFonts w:hint="eastAsia"/>
        </w:rPr>
        <w:t>〕102号，2014年11月6日）；</w:t>
      </w:r>
    </w:p>
    <w:bookmarkEnd w:id="157"/>
    <w:p>
      <w:pPr>
        <w:ind w:firstLine="480"/>
        <w:rPr>
          <w:rFonts w:hint="eastAsia"/>
        </w:rPr>
      </w:pPr>
      <w:r>
        <w:rPr>
          <w:rFonts w:hint="eastAsia"/>
          <w:lang w:val="en-US" w:eastAsia="zh-CN"/>
        </w:rPr>
        <w:t>10、</w:t>
      </w:r>
      <w:r>
        <w:rPr>
          <w:rFonts w:hint="eastAsia"/>
        </w:rPr>
        <w:t>《中共甘肃省委 甘肃省人民政府关于&lt;全面加强生态环境保护坚决打好污染防治攻坚战&gt;的实施意见》（甘发〔2018〕29号，2018年7月9日）</w:t>
      </w:r>
    </w:p>
    <w:p>
      <w:pPr>
        <w:ind w:firstLine="480"/>
        <w:rPr>
          <w:rFonts w:hint="eastAsia"/>
        </w:rPr>
      </w:pPr>
      <w:r>
        <w:rPr>
          <w:rFonts w:hint="eastAsia"/>
          <w:lang w:val="en-US" w:eastAsia="zh-CN"/>
        </w:rPr>
        <w:t>11、</w:t>
      </w:r>
      <w:r>
        <w:rPr>
          <w:rFonts w:hint="eastAsia"/>
        </w:rPr>
        <w:t>《甘肃省环境保护厅关于进一步加强和规范重点企业清洁生产审核工作的通知》（甘环科发〔2018〕10号，2018年4月26日）；</w:t>
      </w:r>
    </w:p>
    <w:p>
      <w:pPr>
        <w:ind w:firstLine="480"/>
        <w:rPr>
          <w:rFonts w:hint="eastAsia"/>
        </w:rPr>
      </w:pPr>
      <w:r>
        <w:rPr>
          <w:rFonts w:hint="eastAsia"/>
          <w:lang w:val="en-US" w:eastAsia="zh-CN"/>
        </w:rPr>
        <w:t>12、</w:t>
      </w:r>
      <w:r>
        <w:rPr>
          <w:rFonts w:hint="eastAsia"/>
        </w:rPr>
        <w:t>《甘肃省生态功能区划》（2004年10月）；</w:t>
      </w:r>
    </w:p>
    <w:p>
      <w:pPr>
        <w:ind w:firstLine="480"/>
        <w:rPr>
          <w:rFonts w:hint="eastAsia"/>
        </w:rPr>
      </w:pPr>
      <w:r>
        <w:rPr>
          <w:rFonts w:hint="eastAsia"/>
          <w:lang w:val="en-US" w:eastAsia="zh-CN"/>
        </w:rPr>
        <w:t>13、</w:t>
      </w:r>
      <w:r>
        <w:rPr>
          <w:rFonts w:hint="eastAsia"/>
        </w:rPr>
        <w:t>《甘肃省主体功能区规划》（2012年7月）；</w:t>
      </w:r>
    </w:p>
    <w:p>
      <w:pPr>
        <w:ind w:firstLine="480"/>
        <w:rPr>
          <w:rFonts w:hint="eastAsia"/>
        </w:rPr>
      </w:pPr>
      <w:r>
        <w:rPr>
          <w:rFonts w:hint="eastAsia"/>
          <w:lang w:val="en-US" w:eastAsia="zh-CN"/>
        </w:rPr>
        <w:t>14、</w:t>
      </w:r>
      <w:r>
        <w:rPr>
          <w:rFonts w:hint="eastAsia"/>
        </w:rPr>
        <w:t>《甘肃省地表水功能区划（2012-2030年）》（2012年8月）；</w:t>
      </w:r>
    </w:p>
    <w:p>
      <w:pPr>
        <w:ind w:firstLine="480"/>
        <w:rPr>
          <w:rFonts w:hint="eastAsia"/>
        </w:rPr>
      </w:pPr>
      <w:r>
        <w:rPr>
          <w:rFonts w:hint="eastAsia"/>
          <w:lang w:val="en-US" w:eastAsia="zh-CN"/>
        </w:rPr>
        <w:t>15、</w:t>
      </w:r>
      <w:r>
        <w:rPr>
          <w:rFonts w:hint="eastAsia"/>
        </w:rPr>
        <w:t>《甘肃省生态环境厅关于进一步督促企业开展危险废物重点环保设施安全评估工作的通知》（2021年10月31日）；</w:t>
      </w:r>
    </w:p>
    <w:p>
      <w:pPr>
        <w:ind w:firstLine="480"/>
        <w:rPr>
          <w:rFonts w:hint="eastAsia"/>
        </w:rPr>
      </w:pPr>
      <w:r>
        <w:rPr>
          <w:rFonts w:hint="eastAsia"/>
          <w:lang w:val="en-US" w:eastAsia="zh-CN"/>
        </w:rPr>
        <w:t>16、</w:t>
      </w:r>
      <w:r>
        <w:rPr>
          <w:rFonts w:hint="eastAsia"/>
        </w:rPr>
        <w:t>《甘肃省生态环境厅关于印发&lt;全省危险废物专项整治三年行动实施方案&gt;的通知》（甘环固体发〔2020〕44号，2020年6月1日）；</w:t>
      </w:r>
    </w:p>
    <w:p>
      <w:pPr>
        <w:ind w:firstLine="480"/>
        <w:rPr>
          <w:rFonts w:hint="eastAsia"/>
        </w:rPr>
      </w:pPr>
      <w:r>
        <w:rPr>
          <w:rFonts w:hint="eastAsia"/>
          <w:lang w:val="en-US" w:eastAsia="zh-CN"/>
        </w:rPr>
        <w:t>17、</w:t>
      </w:r>
      <w:r>
        <w:rPr>
          <w:rFonts w:hint="eastAsia"/>
        </w:rPr>
        <w:t>《甘肃省关于实施”三线一单”生态环境分区管控的意见》，</w:t>
      </w:r>
      <w:r>
        <w:rPr>
          <w:rFonts w:hint="eastAsia"/>
          <w:lang w:val="zh-CN"/>
        </w:rPr>
        <w:t>（甘政发〔2020〕68号）</w:t>
      </w:r>
      <w:r>
        <w:rPr>
          <w:rFonts w:hint="eastAsia"/>
        </w:rPr>
        <w:t>；</w:t>
      </w:r>
    </w:p>
    <w:p>
      <w:pPr>
        <w:ind w:firstLine="480"/>
        <w:rPr>
          <w:rFonts w:hint="eastAsia"/>
          <w:lang w:val="en-US" w:eastAsia="zh-CN"/>
        </w:rPr>
      </w:pPr>
      <w:r>
        <w:rPr>
          <w:rFonts w:hint="eastAsia"/>
          <w:lang w:val="en-US" w:eastAsia="zh-CN"/>
        </w:rPr>
        <w:t>18、</w:t>
      </w:r>
      <w:r>
        <w:rPr>
          <w:rFonts w:hint="eastAsia"/>
        </w:rPr>
        <w:t>《甘肃省“十四五”生态环境保护规划》（甘政办发〔2021〕105号）；</w:t>
      </w:r>
    </w:p>
    <w:p>
      <w:pPr>
        <w:ind w:firstLine="480"/>
        <w:rPr>
          <w:rFonts w:hint="eastAsia" w:eastAsia="宋体"/>
          <w:lang w:val="en-US" w:eastAsia="zh-CN"/>
        </w:rPr>
      </w:pPr>
      <w:r>
        <w:rPr>
          <w:rFonts w:hint="eastAsia"/>
          <w:lang w:val="en-US" w:eastAsia="zh-CN"/>
        </w:rPr>
        <w:t>19、</w:t>
      </w:r>
      <w:r>
        <w:rPr>
          <w:rFonts w:hint="eastAsia"/>
        </w:rPr>
        <w:t>《甘肃省人民政府关于印发甘肃省行业用水定额（</w:t>
      </w:r>
      <w:r>
        <w:t>2017</w:t>
      </w:r>
      <w:r>
        <w:rPr>
          <w:rFonts w:hint="eastAsia"/>
        </w:rPr>
        <w:t>版）的通知》（甘政发〔</w:t>
      </w:r>
      <w:r>
        <w:t>201</w:t>
      </w:r>
      <w:r>
        <w:rPr>
          <w:rFonts w:hint="eastAsia"/>
        </w:rPr>
        <w:t>7〕</w:t>
      </w:r>
      <w:r>
        <w:t>45</w:t>
      </w:r>
      <w:r>
        <w:rPr>
          <w:rFonts w:hint="eastAsia"/>
        </w:rPr>
        <w:t>号，</w:t>
      </w:r>
      <w:r>
        <w:t>2017</w:t>
      </w:r>
      <w:r>
        <w:rPr>
          <w:rFonts w:hint="eastAsia"/>
        </w:rPr>
        <w:t>年</w:t>
      </w:r>
      <w:r>
        <w:t>6</w:t>
      </w:r>
      <w:r>
        <w:rPr>
          <w:rFonts w:hint="eastAsia"/>
        </w:rPr>
        <w:t>月</w:t>
      </w:r>
      <w:r>
        <w:t>21</w:t>
      </w:r>
      <w:r>
        <w:rPr>
          <w:rFonts w:hint="eastAsia"/>
        </w:rPr>
        <w:t>日）</w:t>
      </w:r>
      <w:r>
        <w:rPr>
          <w:rFonts w:hint="eastAsia"/>
          <w:lang w:eastAsia="zh-CN"/>
        </w:rPr>
        <w:t>；</w:t>
      </w:r>
    </w:p>
    <w:p>
      <w:pPr>
        <w:ind w:firstLine="480"/>
        <w:rPr>
          <w:rFonts w:hint="eastAsia"/>
        </w:rPr>
      </w:pPr>
      <w:r>
        <w:rPr>
          <w:rFonts w:hint="eastAsia"/>
          <w:lang w:val="en-US" w:eastAsia="zh-CN"/>
        </w:rPr>
        <w:t>20、</w:t>
      </w:r>
      <w:r>
        <w:rPr>
          <w:rFonts w:hint="eastAsia"/>
        </w:rPr>
        <w:t>《</w:t>
      </w:r>
      <w:r>
        <w:rPr>
          <w:rFonts w:hint="eastAsia"/>
          <w:lang w:val="en-US" w:eastAsia="zh-CN"/>
        </w:rPr>
        <w:t>张掖市</w:t>
      </w:r>
      <w:r>
        <w:rPr>
          <w:rFonts w:hint="eastAsia"/>
        </w:rPr>
        <w:t>大气污染防治条例》</w:t>
      </w:r>
      <w:r>
        <w:rPr>
          <w:rFonts w:hint="eastAsia"/>
          <w:lang w:eastAsia="zh-CN"/>
        </w:rPr>
        <w:t>（</w:t>
      </w:r>
      <w:r>
        <w:rPr>
          <w:rFonts w:hint="eastAsia"/>
        </w:rPr>
        <w:t>2020年3月3日张掖市第四届人民代表大会常务委员会第二十二次会议通过</w:t>
      </w:r>
      <w:r>
        <w:rPr>
          <w:rFonts w:hint="eastAsia"/>
          <w:lang w:eastAsia="zh-CN"/>
        </w:rPr>
        <w:t>，</w:t>
      </w:r>
      <w:r>
        <w:rPr>
          <w:rFonts w:hint="eastAsia"/>
        </w:rPr>
        <w:t>2020年4月1日甘肃省第十三届人民代表大会常务委员会第十五次会议批准</w:t>
      </w:r>
      <w:r>
        <w:rPr>
          <w:rFonts w:hint="eastAsia"/>
          <w:lang w:eastAsia="zh-CN"/>
        </w:rPr>
        <w:t>）</w:t>
      </w:r>
      <w:r>
        <w:rPr>
          <w:rFonts w:hint="eastAsia"/>
        </w:rPr>
        <w:t>；</w:t>
      </w:r>
    </w:p>
    <w:p>
      <w:pPr>
        <w:ind w:firstLine="480"/>
        <w:rPr>
          <w:rFonts w:hint="eastAsia" w:eastAsia="宋体"/>
          <w:lang w:eastAsia="zh-CN"/>
        </w:rPr>
      </w:pPr>
      <w:r>
        <w:rPr>
          <w:rFonts w:hint="eastAsia"/>
          <w:lang w:val="en-US" w:eastAsia="zh-CN"/>
        </w:rPr>
        <w:t>21、</w:t>
      </w:r>
      <w:r>
        <w:rPr>
          <w:rFonts w:hint="eastAsia"/>
        </w:rPr>
        <w:t>张掖市人民政府关于印发《张掖市“三线一单”生态 环境分区管控方案》的通知</w:t>
      </w:r>
      <w:r>
        <w:rPr>
          <w:rFonts w:hint="eastAsia"/>
          <w:lang w:eastAsia="zh-CN"/>
        </w:rPr>
        <w:t>（张政发〔2021〕35号）；</w:t>
      </w:r>
    </w:p>
    <w:p>
      <w:pPr>
        <w:ind w:firstLine="480"/>
      </w:pPr>
      <w:r>
        <w:rPr>
          <w:rFonts w:hint="eastAsia"/>
          <w:lang w:val="en-US" w:eastAsia="zh-CN"/>
        </w:rPr>
        <w:t>22</w:t>
      </w:r>
      <w:r>
        <w:rPr>
          <w:rFonts w:hint="eastAsia"/>
        </w:rPr>
        <w:t>、</w:t>
      </w:r>
      <w:r>
        <w:t>《张掖市大气污染防治工作实施方案》（张政办发〔2018〕21号）；</w:t>
      </w:r>
    </w:p>
    <w:p>
      <w:pPr>
        <w:ind w:firstLine="480"/>
      </w:pPr>
      <w:r>
        <w:rPr>
          <w:rFonts w:hint="eastAsia"/>
          <w:lang w:val="en-US" w:eastAsia="zh-CN"/>
        </w:rPr>
        <w:t>23</w:t>
      </w:r>
      <w:r>
        <w:rPr>
          <w:rFonts w:hint="eastAsia"/>
        </w:rPr>
        <w:t>、</w:t>
      </w:r>
      <w:r>
        <w:t>《张掖市大气污染防治综合管理办法》（市政府令第30号）；</w:t>
      </w:r>
    </w:p>
    <w:p>
      <w:pPr>
        <w:ind w:firstLine="480"/>
      </w:pPr>
      <w:r>
        <w:rPr>
          <w:rFonts w:hint="eastAsia"/>
          <w:lang w:val="en-US" w:eastAsia="zh-CN"/>
        </w:rPr>
        <w:t>24</w:t>
      </w:r>
      <w:r>
        <w:rPr>
          <w:rFonts w:hint="eastAsia"/>
        </w:rPr>
        <w:t>、</w:t>
      </w:r>
      <w:r>
        <w:t>《张掖市建设工程扬尘污染防治管理办法》（市政府令第33号）；</w:t>
      </w:r>
    </w:p>
    <w:p>
      <w:pPr>
        <w:pStyle w:val="6"/>
        <w:ind w:firstLine="482"/>
      </w:pPr>
      <w:bookmarkStart w:id="158" w:name="_Toc28677_WPSOffice_Level2"/>
      <w:bookmarkStart w:id="159" w:name="_Toc332618852"/>
      <w:bookmarkStart w:id="160" w:name="_Toc466420317"/>
      <w:bookmarkStart w:id="161" w:name="_Toc23508"/>
      <w:bookmarkStart w:id="162" w:name="_Toc345167324"/>
      <w:bookmarkStart w:id="163" w:name="_Toc279998026"/>
      <w:bookmarkStart w:id="164" w:name="_Toc332573400"/>
      <w:bookmarkStart w:id="165" w:name="_Toc343180058"/>
      <w:bookmarkStart w:id="166" w:name="_Toc13551_WPSOffice_Level2"/>
      <w:bookmarkStart w:id="167" w:name="_Toc356923112"/>
      <w:bookmarkStart w:id="168" w:name="_Toc26142"/>
      <w:r>
        <w:t>1.1.</w:t>
      </w:r>
      <w:r>
        <w:rPr>
          <w:rFonts w:hint="eastAsia"/>
          <w:lang w:val="en-US" w:eastAsia="zh-CN"/>
        </w:rPr>
        <w:t>4</w:t>
      </w:r>
      <w:r>
        <w:rPr>
          <w:rFonts w:hint="eastAsia"/>
        </w:rPr>
        <w:t>、</w:t>
      </w:r>
      <w:r>
        <w:t>技术</w:t>
      </w:r>
      <w:bookmarkEnd w:id="158"/>
      <w:bookmarkEnd w:id="159"/>
      <w:bookmarkEnd w:id="160"/>
      <w:bookmarkEnd w:id="161"/>
      <w:bookmarkEnd w:id="162"/>
      <w:bookmarkEnd w:id="163"/>
      <w:bookmarkEnd w:id="164"/>
      <w:bookmarkEnd w:id="165"/>
      <w:bookmarkEnd w:id="166"/>
      <w:bookmarkEnd w:id="167"/>
      <w:r>
        <w:rPr>
          <w:rFonts w:hint="eastAsia"/>
        </w:rPr>
        <w:t>规范</w:t>
      </w:r>
      <w:bookmarkEnd w:id="168"/>
    </w:p>
    <w:p>
      <w:pPr>
        <w:ind w:firstLine="480"/>
      </w:pPr>
      <w:r>
        <w:rPr>
          <w:rFonts w:hint="eastAsia"/>
        </w:rPr>
        <w:t>1、</w:t>
      </w:r>
      <w:r>
        <w:t>《建设项目环境影响评价技术导则-总纲》（HJ2.1-2016）；</w:t>
      </w:r>
    </w:p>
    <w:p>
      <w:pPr>
        <w:ind w:firstLine="480"/>
      </w:pPr>
      <w:r>
        <w:rPr>
          <w:rFonts w:hint="eastAsia"/>
        </w:rPr>
        <w:t>2、</w:t>
      </w:r>
      <w:r>
        <w:t>《环境影响评价技术导则—地下水环境》（HJ610-2016）；</w:t>
      </w:r>
    </w:p>
    <w:p>
      <w:pPr>
        <w:ind w:firstLine="480"/>
      </w:pPr>
      <w:r>
        <w:rPr>
          <w:rFonts w:hint="eastAsia"/>
        </w:rPr>
        <w:t>3、</w:t>
      </w:r>
      <w:r>
        <w:t>《环境影响评价技术导则—大气环境》（HJ2.2-2018）；</w:t>
      </w:r>
    </w:p>
    <w:p>
      <w:pPr>
        <w:ind w:firstLine="480"/>
      </w:pPr>
      <w:r>
        <w:rPr>
          <w:rFonts w:hint="eastAsia"/>
        </w:rPr>
        <w:t>4、</w:t>
      </w:r>
      <w:r>
        <w:t>《环境影响评价技术导则—地表水环境》（HJ2.3-2018）；</w:t>
      </w:r>
    </w:p>
    <w:p>
      <w:pPr>
        <w:ind w:firstLine="480"/>
      </w:pPr>
      <w:r>
        <w:rPr>
          <w:rFonts w:hint="eastAsia"/>
        </w:rPr>
        <w:t>5、</w:t>
      </w:r>
      <w:r>
        <w:t>《环境影响评价技术导则—声环境》（HJ2.4-2</w:t>
      </w:r>
      <w:r>
        <w:rPr>
          <w:rFonts w:hint="eastAsia"/>
        </w:rPr>
        <w:t>021</w:t>
      </w:r>
      <w:r>
        <w:t>）；</w:t>
      </w:r>
    </w:p>
    <w:p>
      <w:pPr>
        <w:ind w:firstLine="480"/>
      </w:pPr>
      <w:r>
        <w:rPr>
          <w:rFonts w:hint="eastAsia"/>
        </w:rPr>
        <w:t>6、</w:t>
      </w:r>
      <w:r>
        <w:t>《环境影响评价技术导则—土壤环境（试行）》（HJ964-2018）；</w:t>
      </w:r>
    </w:p>
    <w:p>
      <w:pPr>
        <w:ind w:firstLine="480"/>
      </w:pPr>
      <w:r>
        <w:rPr>
          <w:rFonts w:hint="eastAsia"/>
        </w:rPr>
        <w:t>7、</w:t>
      </w:r>
      <w:r>
        <w:t>《</w:t>
      </w:r>
      <w:r>
        <w:rPr>
          <w:rFonts w:hint="eastAsia"/>
        </w:rPr>
        <w:t>环境影响评价技术导则</w:t>
      </w:r>
      <w:r>
        <w:t>—</w:t>
      </w:r>
      <w:r>
        <w:rPr>
          <w:rFonts w:hint="eastAsia"/>
        </w:rPr>
        <w:t>生态影响</w:t>
      </w:r>
      <w:r>
        <w:t>》</w:t>
      </w:r>
      <w:r>
        <w:rPr>
          <w:rFonts w:hint="eastAsia"/>
        </w:rPr>
        <w:t>（HJ19—2022）</w:t>
      </w:r>
    </w:p>
    <w:p>
      <w:pPr>
        <w:ind w:firstLine="480"/>
      </w:pPr>
      <w:r>
        <w:rPr>
          <w:rFonts w:hint="eastAsia"/>
        </w:rPr>
        <w:t>8、</w:t>
      </w:r>
      <w:r>
        <w:t>《建设项目环境风险评价技术导则》（HJ169-2018）；</w:t>
      </w:r>
    </w:p>
    <w:p>
      <w:pPr>
        <w:ind w:firstLine="480"/>
      </w:pPr>
      <w:r>
        <w:rPr>
          <w:rFonts w:hint="eastAsia"/>
        </w:rPr>
        <w:t>9、</w:t>
      </w:r>
      <w:r>
        <w:t>《地表水和污水监测技术规范》（HJ/T91-2002）；</w:t>
      </w:r>
    </w:p>
    <w:p>
      <w:pPr>
        <w:ind w:firstLine="480"/>
      </w:pPr>
      <w:r>
        <w:rPr>
          <w:rFonts w:hint="eastAsia"/>
        </w:rPr>
        <w:t>10、</w:t>
      </w:r>
      <w:r>
        <w:t>《排污单位自行监测技术指南—总则》（HJ819-2017）；</w:t>
      </w:r>
    </w:p>
    <w:p>
      <w:pPr>
        <w:ind w:firstLine="480"/>
      </w:pPr>
      <w:r>
        <w:rPr>
          <w:rFonts w:hint="eastAsia"/>
        </w:rPr>
        <w:t>11、</w:t>
      </w:r>
      <w:r>
        <w:t>《排污许可证申请与核发技术规范—总则》（HJ942-2018）；</w:t>
      </w:r>
    </w:p>
    <w:p>
      <w:pPr>
        <w:ind w:firstLine="480"/>
      </w:pPr>
      <w:r>
        <w:rPr>
          <w:rFonts w:hint="eastAsia"/>
        </w:rPr>
        <w:t>12、</w:t>
      </w:r>
      <w:r>
        <w:t>《排污许可证申请与核发技术规范—农副食品加工工业—屠宰及肉类加工工业》（HJ860.3—2018）；</w:t>
      </w:r>
    </w:p>
    <w:p>
      <w:pPr>
        <w:ind w:firstLine="480"/>
      </w:pPr>
      <w:r>
        <w:rPr>
          <w:rFonts w:hint="eastAsia"/>
        </w:rPr>
        <w:t>13、</w:t>
      </w:r>
      <w:r>
        <w:t>《排污单位环境管理台帐及排污许可执行证执行报告技术规范—总则》（试行）（HJ944-2018）；</w:t>
      </w:r>
    </w:p>
    <w:p>
      <w:pPr>
        <w:ind w:firstLine="480"/>
      </w:pPr>
      <w:r>
        <w:rPr>
          <w:rFonts w:hint="eastAsia"/>
        </w:rPr>
        <w:t>14、</w:t>
      </w:r>
      <w:r>
        <w:t>《危险废物收集贮存运输技术规范》（HJ2025-2012）；</w:t>
      </w:r>
    </w:p>
    <w:p>
      <w:pPr>
        <w:ind w:firstLine="480"/>
        <w:rPr>
          <w:rFonts w:hint="eastAsia" w:ascii="Times New Roman" w:hAnsi="Times New Roman" w:eastAsia="宋体" w:cs="Times New Roman"/>
        </w:rPr>
      </w:pPr>
      <w:r>
        <w:rPr>
          <w:rFonts w:hint="eastAsia" w:ascii="Times New Roman" w:hAnsi="Times New Roman" w:eastAsia="宋体" w:cs="Times New Roman"/>
        </w:rPr>
        <w:t>15、《危险废物贮存污染控制标准》（GB18597—2023）；</w:t>
      </w:r>
    </w:p>
    <w:p>
      <w:pPr>
        <w:ind w:firstLine="480"/>
        <w:rPr>
          <w:rFonts w:hint="eastAsia"/>
        </w:rPr>
      </w:pPr>
      <w:r>
        <w:rPr>
          <w:rFonts w:hint="eastAsia"/>
          <w:lang w:val="en-US" w:eastAsia="zh-CN"/>
        </w:rPr>
        <w:t>16</w:t>
      </w:r>
      <w:r>
        <w:rPr>
          <w:rFonts w:hint="eastAsia" w:ascii="Times New Roman" w:hAnsi="Times New Roman" w:eastAsia="宋体" w:cs="Times New Roman"/>
        </w:rPr>
        <w:t>、</w:t>
      </w:r>
      <w:r>
        <w:rPr>
          <w:rFonts w:hint="eastAsia"/>
        </w:rPr>
        <w:t>《大气污染治理工程技术导则》（HJ2000-2010）；</w:t>
      </w:r>
    </w:p>
    <w:p>
      <w:pPr>
        <w:ind w:firstLine="480"/>
        <w:rPr>
          <w:rFonts w:hint="eastAsia"/>
        </w:rPr>
      </w:pPr>
      <w:r>
        <w:rPr>
          <w:rFonts w:hint="eastAsia"/>
          <w:lang w:val="en-US" w:eastAsia="zh-CN"/>
        </w:rPr>
        <w:t>17</w:t>
      </w:r>
      <w:r>
        <w:rPr>
          <w:rFonts w:hint="eastAsia" w:ascii="Times New Roman" w:hAnsi="Times New Roman" w:eastAsia="宋体" w:cs="Times New Roman"/>
        </w:rPr>
        <w:t>、</w:t>
      </w:r>
      <w:r>
        <w:rPr>
          <w:rFonts w:hint="eastAsia"/>
        </w:rPr>
        <w:t>《水污染治理工程技术导则》（HJ2015-2012）；</w:t>
      </w:r>
    </w:p>
    <w:p>
      <w:pPr>
        <w:ind w:firstLine="480"/>
        <w:rPr>
          <w:rFonts w:hint="eastAsia"/>
        </w:rPr>
      </w:pPr>
      <w:r>
        <w:rPr>
          <w:rFonts w:hint="eastAsia"/>
          <w:lang w:val="en-US" w:eastAsia="zh-CN"/>
        </w:rPr>
        <w:t>18</w:t>
      </w:r>
      <w:r>
        <w:rPr>
          <w:rFonts w:hint="eastAsia" w:ascii="Times New Roman" w:hAnsi="Times New Roman" w:eastAsia="宋体" w:cs="Times New Roman"/>
        </w:rPr>
        <w:t>、</w:t>
      </w:r>
      <w:r>
        <w:rPr>
          <w:rFonts w:hint="eastAsia"/>
        </w:rPr>
        <w:t>《固体废物处置工程技术导则》（HJ2035-2013）；</w:t>
      </w:r>
    </w:p>
    <w:p>
      <w:pPr>
        <w:ind w:firstLine="480"/>
        <w:rPr>
          <w:rFonts w:hint="eastAsia"/>
        </w:rPr>
      </w:pPr>
      <w:r>
        <w:rPr>
          <w:rFonts w:hint="eastAsia"/>
          <w:lang w:val="en-US" w:eastAsia="zh-CN"/>
        </w:rPr>
        <w:t>19</w:t>
      </w:r>
      <w:r>
        <w:rPr>
          <w:rFonts w:hint="eastAsia" w:ascii="Times New Roman" w:hAnsi="Times New Roman" w:eastAsia="宋体" w:cs="Times New Roman"/>
        </w:rPr>
        <w:t>、</w:t>
      </w:r>
      <w:r>
        <w:rPr>
          <w:rFonts w:hint="eastAsia"/>
        </w:rPr>
        <w:t>《危险废物处置工程技术导则》（HJ2042-2014）；</w:t>
      </w:r>
    </w:p>
    <w:p>
      <w:pPr>
        <w:ind w:firstLine="480"/>
        <w:rPr>
          <w:rFonts w:hint="eastAsia"/>
        </w:rPr>
      </w:pPr>
      <w:r>
        <w:rPr>
          <w:rFonts w:hint="eastAsia"/>
          <w:lang w:val="en-US" w:eastAsia="zh-CN"/>
        </w:rPr>
        <w:t>20</w:t>
      </w:r>
      <w:r>
        <w:rPr>
          <w:rFonts w:hint="eastAsia" w:ascii="Times New Roman" w:hAnsi="Times New Roman" w:eastAsia="宋体" w:cs="Times New Roman"/>
        </w:rPr>
        <w:t>、</w:t>
      </w:r>
      <w:r>
        <w:rPr>
          <w:rFonts w:hint="eastAsia"/>
        </w:rPr>
        <w:t>《一般工业固体废物贮存和填埋污染控制标准》（GB 18599-2020）；</w:t>
      </w:r>
    </w:p>
    <w:p>
      <w:pPr>
        <w:ind w:firstLine="480"/>
        <w:rPr>
          <w:rFonts w:hint="eastAsia"/>
        </w:rPr>
      </w:pPr>
      <w:r>
        <w:rPr>
          <w:rFonts w:hint="eastAsia"/>
          <w:lang w:val="en-US" w:eastAsia="zh-CN"/>
        </w:rPr>
        <w:t>21</w:t>
      </w:r>
      <w:r>
        <w:rPr>
          <w:rFonts w:hint="eastAsia" w:ascii="Times New Roman" w:hAnsi="Times New Roman" w:eastAsia="宋体" w:cs="Times New Roman"/>
        </w:rPr>
        <w:t>、</w:t>
      </w:r>
      <w:r>
        <w:rPr>
          <w:rFonts w:hint="eastAsia"/>
        </w:rPr>
        <w:t>《污染源源强核算技术指南  准则》（HJ884-2018）；</w:t>
      </w:r>
    </w:p>
    <w:p>
      <w:pPr>
        <w:ind w:firstLine="480"/>
        <w:rPr>
          <w:rFonts w:hint="eastAsia"/>
        </w:rPr>
      </w:pPr>
      <w:r>
        <w:rPr>
          <w:rFonts w:hint="eastAsia"/>
          <w:lang w:val="en-US" w:eastAsia="zh-CN"/>
        </w:rPr>
        <w:t>22</w:t>
      </w:r>
      <w:r>
        <w:rPr>
          <w:rFonts w:hint="eastAsia" w:ascii="Times New Roman" w:hAnsi="Times New Roman" w:eastAsia="宋体" w:cs="Times New Roman"/>
        </w:rPr>
        <w:t>、</w:t>
      </w:r>
      <w:r>
        <w:rPr>
          <w:rFonts w:hint="eastAsia"/>
        </w:rPr>
        <w:t>《排污单位自行监测技术指南  总则》（HJ819-2017）；</w:t>
      </w:r>
    </w:p>
    <w:p>
      <w:pPr>
        <w:ind w:firstLine="480"/>
        <w:rPr>
          <w:rFonts w:hint="eastAsia"/>
        </w:rPr>
      </w:pPr>
      <w:r>
        <w:rPr>
          <w:rFonts w:hint="eastAsia"/>
          <w:lang w:val="en-US" w:eastAsia="zh-CN"/>
        </w:rPr>
        <w:t>23</w:t>
      </w:r>
      <w:r>
        <w:rPr>
          <w:rFonts w:hint="eastAsia" w:ascii="Times New Roman" w:hAnsi="Times New Roman" w:eastAsia="宋体" w:cs="Times New Roman"/>
        </w:rPr>
        <w:t>、</w:t>
      </w:r>
      <w:r>
        <w:rPr>
          <w:rFonts w:hint="eastAsia"/>
        </w:rPr>
        <w:t xml:space="preserve">《排污许可证申请与核发技术规范  </w:t>
      </w:r>
      <w:r>
        <w:rPr>
          <w:rFonts w:hint="eastAsia"/>
          <w:lang w:val="en-US" w:eastAsia="zh-CN"/>
        </w:rPr>
        <w:t>农副食品加工工业—屠宰及肉类加工工业</w:t>
      </w:r>
      <w:r>
        <w:rPr>
          <w:rFonts w:hint="eastAsia"/>
        </w:rPr>
        <w:t>》（</w:t>
      </w:r>
      <w:r>
        <w:rPr>
          <w:rFonts w:hint="eastAsia"/>
          <w:lang w:val="en-US" w:eastAsia="zh-CN"/>
        </w:rPr>
        <w:t>HJ860.3—2018</w:t>
      </w:r>
      <w:r>
        <w:rPr>
          <w:rFonts w:hint="eastAsia"/>
        </w:rPr>
        <w:t>）；</w:t>
      </w:r>
    </w:p>
    <w:p>
      <w:pPr>
        <w:ind w:firstLine="480"/>
        <w:rPr>
          <w:rFonts w:hint="eastAsia"/>
        </w:rPr>
      </w:pPr>
      <w:r>
        <w:rPr>
          <w:rFonts w:hint="eastAsia"/>
          <w:lang w:val="en-US" w:eastAsia="zh-CN"/>
        </w:rPr>
        <w:t>24</w:t>
      </w:r>
      <w:r>
        <w:rPr>
          <w:rFonts w:hint="eastAsia" w:ascii="Times New Roman" w:hAnsi="Times New Roman" w:eastAsia="宋体" w:cs="Times New Roman"/>
        </w:rPr>
        <w:t>、</w:t>
      </w:r>
      <w:r>
        <w:rPr>
          <w:rFonts w:hint="eastAsia"/>
        </w:rPr>
        <w:t xml:space="preserve">《排污单位自行监测技术指南  </w:t>
      </w:r>
      <w:r>
        <w:rPr>
          <w:rFonts w:hint="eastAsia"/>
          <w:lang w:val="en-US" w:eastAsia="zh-CN"/>
        </w:rPr>
        <w:t>农副食品加工业</w:t>
      </w:r>
      <w:r>
        <w:rPr>
          <w:rFonts w:hint="eastAsia"/>
        </w:rPr>
        <w:t>》（</w:t>
      </w:r>
      <w:r>
        <w:rPr>
          <w:rFonts w:hint="eastAsia"/>
          <w:lang w:val="en-US" w:eastAsia="zh-CN"/>
        </w:rPr>
        <w:t>HJ986-2018</w:t>
      </w:r>
      <w:r>
        <w:rPr>
          <w:rFonts w:hint="eastAsia"/>
        </w:rPr>
        <w:t>）；</w:t>
      </w:r>
    </w:p>
    <w:p>
      <w:pPr>
        <w:pStyle w:val="6"/>
        <w:ind w:firstLine="482"/>
      </w:pPr>
      <w:bookmarkStart w:id="169" w:name="_Toc343180059"/>
      <w:bookmarkStart w:id="170" w:name="_Toc26747"/>
      <w:bookmarkStart w:id="171" w:name="_Toc345167325"/>
      <w:bookmarkStart w:id="172" w:name="_Toc9184_WPSOffice_Level2"/>
      <w:bookmarkStart w:id="173" w:name="_Toc29761"/>
      <w:bookmarkStart w:id="174" w:name="_Toc356923113"/>
      <w:bookmarkStart w:id="175" w:name="_Toc466420318"/>
      <w:bookmarkStart w:id="176" w:name="_Toc332618853"/>
      <w:bookmarkStart w:id="177" w:name="_Toc19364_WPSOffice_Level2"/>
      <w:bookmarkStart w:id="178" w:name="_Toc332573401"/>
      <w:bookmarkStart w:id="179" w:name="_Toc279998027"/>
      <w:r>
        <w:t>1.1.</w:t>
      </w:r>
      <w:r>
        <w:rPr>
          <w:rFonts w:hint="eastAsia"/>
          <w:lang w:val="en-US" w:eastAsia="zh-CN"/>
        </w:rPr>
        <w:t>5</w:t>
      </w:r>
      <w:r>
        <w:rPr>
          <w:rFonts w:hint="eastAsia"/>
        </w:rPr>
        <w:t>、</w:t>
      </w:r>
      <w:r>
        <w:t>其他相关资料</w:t>
      </w:r>
      <w:bookmarkEnd w:id="169"/>
      <w:bookmarkEnd w:id="170"/>
      <w:bookmarkEnd w:id="171"/>
      <w:bookmarkEnd w:id="172"/>
      <w:bookmarkEnd w:id="173"/>
      <w:bookmarkEnd w:id="174"/>
      <w:bookmarkEnd w:id="175"/>
      <w:bookmarkEnd w:id="176"/>
      <w:bookmarkEnd w:id="177"/>
      <w:bookmarkEnd w:id="178"/>
      <w:bookmarkEnd w:id="179"/>
    </w:p>
    <w:p>
      <w:pPr>
        <w:ind w:firstLine="480"/>
      </w:pPr>
      <w:bookmarkStart w:id="180" w:name="_Toc15193"/>
      <w:bookmarkStart w:id="181" w:name="_Toc22115"/>
      <w:bookmarkStart w:id="182" w:name="_Toc476086524"/>
      <w:bookmarkStart w:id="183" w:name="_Toc4277"/>
      <w:bookmarkStart w:id="184" w:name="_Toc25540"/>
      <w:r>
        <w:rPr>
          <w:rFonts w:hint="eastAsia"/>
        </w:rPr>
        <w:t>1、</w:t>
      </w:r>
      <w:r>
        <w:t>《</w:t>
      </w:r>
      <w:r>
        <w:rPr>
          <w:rFonts w:hint="eastAsia"/>
          <w:lang w:val="en-US" w:eastAsia="zh-CN"/>
        </w:rPr>
        <w:t>沅博60万只肉羊精深分割及牛羊预制品加工项目</w:t>
      </w:r>
      <w:r>
        <w:t>环境影响评价委托书》，</w:t>
      </w:r>
      <w:r>
        <w:rPr>
          <w:rFonts w:hint="eastAsia"/>
          <w:lang w:val="en-US" w:eastAsia="zh-CN"/>
        </w:rPr>
        <w:t>张掖市沅博农牧产业开发有限公司</w:t>
      </w:r>
      <w:r>
        <w:t>，</w:t>
      </w:r>
      <w:r>
        <w:rPr>
          <w:color w:val="FF0000"/>
        </w:rPr>
        <w:t>20</w:t>
      </w:r>
      <w:r>
        <w:rPr>
          <w:rFonts w:hint="eastAsia"/>
          <w:color w:val="FF0000"/>
        </w:rPr>
        <w:t>22</w:t>
      </w:r>
      <w:r>
        <w:rPr>
          <w:color w:val="FF0000"/>
        </w:rPr>
        <w:t>年</w:t>
      </w:r>
      <w:r>
        <w:rPr>
          <w:rFonts w:hint="eastAsia"/>
          <w:color w:val="FF0000"/>
        </w:rPr>
        <w:t>5</w:t>
      </w:r>
      <w:r>
        <w:rPr>
          <w:color w:val="FF0000"/>
        </w:rPr>
        <w:t>月；</w:t>
      </w:r>
    </w:p>
    <w:p>
      <w:pPr>
        <w:ind w:firstLine="480"/>
      </w:pPr>
      <w:r>
        <w:rPr>
          <w:rFonts w:hint="eastAsia"/>
        </w:rPr>
        <w:t>2、</w:t>
      </w:r>
      <w:r>
        <w:t>《</w:t>
      </w:r>
      <w:r>
        <w:rPr>
          <w:rFonts w:hint="eastAsia"/>
          <w:lang w:val="en-US" w:eastAsia="zh-CN"/>
        </w:rPr>
        <w:t>沅博60万只肉羊精深分割及牛羊预制品加工项目</w:t>
      </w:r>
      <w:r>
        <w:t>可行性研究报告》，甘肃昌汇咨询服务有限公司，</w:t>
      </w:r>
      <w:r>
        <w:rPr>
          <w:rFonts w:hint="eastAsia"/>
        </w:rPr>
        <w:t>202</w:t>
      </w:r>
      <w:r>
        <w:rPr>
          <w:rFonts w:hint="eastAsia"/>
          <w:lang w:val="en-US" w:eastAsia="zh-CN"/>
        </w:rPr>
        <w:t>3</w:t>
      </w:r>
      <w:r>
        <w:t>年</w:t>
      </w:r>
      <w:r>
        <w:rPr>
          <w:rFonts w:hint="eastAsia"/>
        </w:rPr>
        <w:t>4</w:t>
      </w:r>
      <w:r>
        <w:t>月；</w:t>
      </w:r>
    </w:p>
    <w:p>
      <w:pPr>
        <w:ind w:firstLine="480"/>
        <w:rPr>
          <w:rFonts w:hint="default"/>
          <w:lang w:val="en-US" w:eastAsia="zh-CN"/>
        </w:rPr>
      </w:pPr>
      <w:bookmarkStart w:id="185" w:name="_Toc466420319"/>
      <w:bookmarkStart w:id="186" w:name="_Toc406122453"/>
      <w:bookmarkStart w:id="187" w:name="_Toc393977305"/>
      <w:bookmarkStart w:id="188" w:name="_Toc406129714"/>
      <w:r>
        <w:rPr>
          <w:rFonts w:hint="eastAsia"/>
          <w:lang w:val="en-US" w:eastAsia="zh-CN"/>
        </w:rPr>
        <w:t>3、</w:t>
      </w:r>
      <w:r>
        <w:t>《</w:t>
      </w:r>
      <w:r>
        <w:rPr>
          <w:rFonts w:hint="eastAsia"/>
          <w:lang w:val="en-US" w:eastAsia="zh-CN"/>
        </w:rPr>
        <w:t>沅博60万只肉羊精深分割及牛羊预制品加工项目初步设计</w:t>
      </w:r>
      <w:r>
        <w:t>》，</w:t>
      </w:r>
      <w:r>
        <w:rPr>
          <w:rFonts w:hint="eastAsia"/>
        </w:rPr>
        <w:t>滨州市建筑设计研究院有限公司</w:t>
      </w:r>
      <w:r>
        <w:rPr>
          <w:rFonts w:hint="eastAsia"/>
          <w:lang w:eastAsia="zh-CN"/>
        </w:rPr>
        <w:t>，</w:t>
      </w:r>
      <w:r>
        <w:rPr>
          <w:rFonts w:hint="eastAsia"/>
        </w:rPr>
        <w:t>2023年05月</w:t>
      </w:r>
      <w:r>
        <w:t>；</w:t>
      </w:r>
    </w:p>
    <w:p>
      <w:pPr>
        <w:ind w:firstLine="480"/>
      </w:pPr>
      <w:r>
        <w:rPr>
          <w:rFonts w:hint="eastAsia"/>
          <w:lang w:val="en-US" w:eastAsia="zh-CN"/>
        </w:rPr>
        <w:t>4</w:t>
      </w:r>
      <w:r>
        <w:rPr>
          <w:rFonts w:hint="eastAsia"/>
        </w:rPr>
        <w:t>、《牛羊屠宰副产物综合利用项目竣工环境保护阶段性验收监测报告表》（甘肃沁园环保科技有限公司，2022年1月）；</w:t>
      </w:r>
    </w:p>
    <w:p>
      <w:pPr>
        <w:ind w:firstLine="480"/>
      </w:pPr>
      <w:r>
        <w:rPr>
          <w:rFonts w:hint="eastAsia"/>
          <w:lang w:val="en-US" w:eastAsia="zh-CN"/>
        </w:rPr>
        <w:t>5</w:t>
      </w:r>
      <w:r>
        <w:rPr>
          <w:rFonts w:hint="eastAsia"/>
        </w:rPr>
        <w:t>、《节水型工农业复合循环体系改造升级项目竣工环境保护验收监测报告》（甘肃沁园环保科技有限公司，2022年2月）；</w:t>
      </w:r>
    </w:p>
    <w:p>
      <w:pPr>
        <w:ind w:firstLine="480"/>
      </w:pPr>
      <w:r>
        <w:rPr>
          <w:rFonts w:hint="eastAsia"/>
          <w:lang w:val="en-US" w:eastAsia="zh-CN"/>
        </w:rPr>
        <w:t>6</w:t>
      </w:r>
      <w:r>
        <w:rPr>
          <w:rFonts w:hint="eastAsia"/>
        </w:rPr>
        <w:t>、</w:t>
      </w:r>
      <w:r>
        <w:rPr>
          <w:rFonts w:hint="eastAsia"/>
          <w:lang w:val="en-US" w:eastAsia="zh-CN"/>
        </w:rPr>
        <w:t>建设单位</w:t>
      </w:r>
      <w:r>
        <w:t>提供的其他相关资料。</w:t>
      </w:r>
    </w:p>
    <w:bookmarkEnd w:id="185"/>
    <w:bookmarkEnd w:id="186"/>
    <w:bookmarkEnd w:id="187"/>
    <w:bookmarkEnd w:id="188"/>
    <w:p>
      <w:pPr>
        <w:pStyle w:val="5"/>
        <w:spacing w:before="78" w:after="78"/>
        <w:ind w:firstLine="562"/>
      </w:pPr>
      <w:bookmarkStart w:id="189" w:name="_Toc15327"/>
      <w:bookmarkStart w:id="190" w:name="_Toc21891"/>
      <w:bookmarkStart w:id="191" w:name="_Toc329_WPSOffice_Level1"/>
      <w:r>
        <w:t>1.2</w:t>
      </w:r>
      <w:r>
        <w:rPr>
          <w:rFonts w:hint="eastAsia"/>
        </w:rPr>
        <w:t>、</w:t>
      </w:r>
      <w:r>
        <w:t>评价目的与指导思想</w:t>
      </w:r>
      <w:bookmarkEnd w:id="180"/>
      <w:bookmarkEnd w:id="181"/>
      <w:bookmarkEnd w:id="182"/>
      <w:bookmarkEnd w:id="183"/>
      <w:bookmarkEnd w:id="184"/>
      <w:bookmarkEnd w:id="189"/>
      <w:bookmarkEnd w:id="190"/>
      <w:bookmarkEnd w:id="191"/>
      <w:bookmarkStart w:id="192" w:name="_Toc279998022"/>
      <w:bookmarkStart w:id="193" w:name="_Toc356923108"/>
      <w:bookmarkStart w:id="194" w:name="_Toc332618848"/>
      <w:bookmarkStart w:id="195" w:name="_Toc332573396"/>
      <w:bookmarkStart w:id="196" w:name="_Toc343180054"/>
      <w:bookmarkStart w:id="197" w:name="_Toc345167320"/>
      <w:bookmarkStart w:id="198" w:name="_Toc466420313"/>
    </w:p>
    <w:p>
      <w:pPr>
        <w:pStyle w:val="6"/>
        <w:ind w:firstLine="482"/>
      </w:pPr>
      <w:bookmarkStart w:id="199" w:name="_Toc7342"/>
      <w:bookmarkStart w:id="200" w:name="_Toc32350_WPSOffice_Level2"/>
      <w:bookmarkStart w:id="201" w:name="_Toc26751"/>
      <w:bookmarkStart w:id="202" w:name="_Toc6477_WPSOffice_Level2"/>
      <w:r>
        <w:t>1.2.1</w:t>
      </w:r>
      <w:r>
        <w:rPr>
          <w:rFonts w:hint="eastAsia"/>
        </w:rPr>
        <w:t>、</w:t>
      </w:r>
      <w:r>
        <w:t>评价目的</w:t>
      </w:r>
      <w:bookmarkEnd w:id="192"/>
      <w:bookmarkEnd w:id="193"/>
      <w:bookmarkEnd w:id="194"/>
      <w:bookmarkEnd w:id="195"/>
      <w:bookmarkEnd w:id="196"/>
      <w:bookmarkEnd w:id="197"/>
      <w:bookmarkEnd w:id="198"/>
      <w:bookmarkEnd w:id="199"/>
      <w:bookmarkEnd w:id="200"/>
      <w:bookmarkEnd w:id="201"/>
      <w:bookmarkEnd w:id="202"/>
    </w:p>
    <w:p>
      <w:pPr>
        <w:ind w:firstLine="480"/>
      </w:pPr>
      <w:r>
        <w:rPr>
          <w:rFonts w:hint="eastAsia"/>
        </w:rPr>
        <w:t>1、</w:t>
      </w:r>
      <w:r>
        <w:t>在充分收集、综合分析已有资料的基础上，查明工程影响区域内环境质量现状及存在的主要环境问题；</w:t>
      </w:r>
    </w:p>
    <w:p>
      <w:pPr>
        <w:ind w:firstLine="480"/>
      </w:pPr>
      <w:r>
        <w:rPr>
          <w:rFonts w:hint="eastAsia"/>
        </w:rPr>
        <w:t>2、</w:t>
      </w:r>
      <w:r>
        <w:t>分析项目设计采用的污染治理措施的合理性、可行性和可靠性，经治理后的污染源是否能满足稳定达标排放的要求，明确提出本项目所采取的环保治理措施是否可行，并对分析中发现的问题提出相应的改进措施和建议；</w:t>
      </w:r>
    </w:p>
    <w:p>
      <w:pPr>
        <w:ind w:firstLine="480"/>
      </w:pPr>
      <w:r>
        <w:rPr>
          <w:rFonts w:hint="eastAsia"/>
        </w:rPr>
        <w:t>3、</w:t>
      </w:r>
      <w:r>
        <w:t>分析项目污染物排放是否满足达标排放和总量控制的要求，并提出相关改进和完善措施；</w:t>
      </w:r>
    </w:p>
    <w:p>
      <w:pPr>
        <w:ind w:firstLine="480"/>
      </w:pPr>
      <w:r>
        <w:rPr>
          <w:rFonts w:hint="eastAsia"/>
        </w:rPr>
        <w:t>4、</w:t>
      </w:r>
      <w:r>
        <w:t>分析、预测和评估项目对评价区环境影响的范围和程度，明确其环境影响的可接受程度，并提出本项目环境保护监测计划；</w:t>
      </w:r>
    </w:p>
    <w:p>
      <w:pPr>
        <w:ind w:firstLine="480"/>
      </w:pPr>
      <w:r>
        <w:rPr>
          <w:rFonts w:hint="eastAsia"/>
        </w:rPr>
        <w:t>5、</w:t>
      </w:r>
      <w:r>
        <w:t>明确提出本项目的环境可行性结论。</w:t>
      </w:r>
      <w:bookmarkStart w:id="203" w:name="_Toc356923109"/>
      <w:bookmarkStart w:id="204" w:name="_Toc332618849"/>
      <w:bookmarkStart w:id="205" w:name="_Toc332573397"/>
      <w:bookmarkStart w:id="206" w:name="_Toc345167321"/>
      <w:bookmarkStart w:id="207" w:name="_Toc466420314"/>
      <w:bookmarkStart w:id="208" w:name="_Toc279998023"/>
      <w:bookmarkStart w:id="209" w:name="_Toc343180055"/>
    </w:p>
    <w:p>
      <w:pPr>
        <w:pStyle w:val="6"/>
        <w:ind w:firstLine="482"/>
      </w:pPr>
      <w:bookmarkStart w:id="210" w:name="_Toc5918_WPSOffice_Level2"/>
      <w:bookmarkStart w:id="211" w:name="_Toc30643_WPSOffice_Level2"/>
      <w:bookmarkStart w:id="212" w:name="_Toc6243"/>
      <w:bookmarkStart w:id="213" w:name="_Toc7309"/>
      <w:r>
        <w:t>1.2.2</w:t>
      </w:r>
      <w:r>
        <w:rPr>
          <w:rFonts w:hint="eastAsia"/>
        </w:rPr>
        <w:t>、</w:t>
      </w:r>
      <w:r>
        <w:t>指导思想</w:t>
      </w:r>
      <w:bookmarkEnd w:id="203"/>
      <w:bookmarkEnd w:id="204"/>
      <w:bookmarkEnd w:id="205"/>
      <w:bookmarkEnd w:id="206"/>
      <w:bookmarkEnd w:id="207"/>
      <w:bookmarkEnd w:id="208"/>
      <w:bookmarkEnd w:id="209"/>
      <w:bookmarkEnd w:id="210"/>
      <w:bookmarkEnd w:id="211"/>
      <w:bookmarkEnd w:id="212"/>
      <w:bookmarkEnd w:id="213"/>
    </w:p>
    <w:p>
      <w:pPr>
        <w:ind w:firstLine="480"/>
      </w:pPr>
      <w:r>
        <w:t>按照以人为本，</w:t>
      </w:r>
      <w:r>
        <w:rPr>
          <w:rFonts w:hint="eastAsia"/>
        </w:rPr>
        <w:t>严格依法评价，突出源头预防作用，坚持保护和改善环境质量，</w:t>
      </w:r>
      <w:r>
        <w:t>本项目环境影响报告编制遵循以下原则：</w:t>
      </w:r>
    </w:p>
    <w:p>
      <w:pPr>
        <w:ind w:firstLine="482"/>
        <w:rPr>
          <w:b/>
          <w:bCs/>
        </w:rPr>
      </w:pPr>
      <w:r>
        <w:rPr>
          <w:rFonts w:hint="eastAsia"/>
          <w:b/>
          <w:bCs/>
        </w:rPr>
        <w:t>1、</w:t>
      </w:r>
      <w:r>
        <w:rPr>
          <w:b/>
          <w:bCs/>
        </w:rPr>
        <w:t>依法评价</w:t>
      </w:r>
    </w:p>
    <w:p>
      <w:pPr>
        <w:ind w:firstLine="480"/>
      </w:pPr>
      <w:r>
        <w:t>按照国家和地方环境保护相关的法律法规、标准、政策，分析本项目与环境保护政策、资源能源利用政策和技术政策等有关政策及相关规划的符合性。</w:t>
      </w:r>
    </w:p>
    <w:p>
      <w:pPr>
        <w:ind w:firstLine="482"/>
        <w:rPr>
          <w:b/>
          <w:bCs/>
        </w:rPr>
      </w:pPr>
      <w:r>
        <w:rPr>
          <w:rFonts w:hint="eastAsia"/>
          <w:b/>
          <w:bCs/>
        </w:rPr>
        <w:t>2、</w:t>
      </w:r>
      <w:r>
        <w:rPr>
          <w:b/>
          <w:bCs/>
        </w:rPr>
        <w:t>科学评价</w:t>
      </w:r>
    </w:p>
    <w:p>
      <w:pPr>
        <w:ind w:firstLine="480"/>
      </w:pPr>
      <w:r>
        <w:t>结合</w:t>
      </w:r>
      <w:r>
        <w:rPr>
          <w:rFonts w:hint="eastAsia"/>
        </w:rPr>
        <w:t>最新技术规范中</w:t>
      </w:r>
      <w:r>
        <w:t>评价方法，科学评价工程建设对环境质量的影响。</w:t>
      </w:r>
    </w:p>
    <w:p>
      <w:pPr>
        <w:ind w:firstLine="482"/>
        <w:rPr>
          <w:b/>
          <w:bCs/>
        </w:rPr>
      </w:pPr>
      <w:r>
        <w:rPr>
          <w:b/>
          <w:bCs/>
        </w:rPr>
        <w:t>3</w:t>
      </w:r>
      <w:r>
        <w:rPr>
          <w:rFonts w:hint="eastAsia"/>
          <w:b/>
          <w:bCs/>
        </w:rPr>
        <w:t>、</w:t>
      </w:r>
      <w:r>
        <w:rPr>
          <w:b/>
          <w:bCs/>
        </w:rPr>
        <w:t>突出重点</w:t>
      </w:r>
    </w:p>
    <w:p>
      <w:pPr>
        <w:ind w:firstLine="480"/>
      </w:pPr>
      <w:r>
        <w:rPr>
          <w:rFonts w:hint="eastAsia"/>
        </w:rPr>
        <w:t>根据建设项目的工程内容及其特点，明确工程与各环境要素间的作用效应关系，充分利用时效内数据资料及成果，重点关注项目运行对周围环境空气质量、周边农田及其它土壤及水环境的影响，并提出切实有效的措施。</w:t>
      </w:r>
    </w:p>
    <w:p>
      <w:pPr>
        <w:pStyle w:val="5"/>
        <w:spacing w:before="78" w:after="78"/>
        <w:ind w:firstLine="562"/>
      </w:pPr>
      <w:bookmarkStart w:id="214" w:name="_Toc6719"/>
      <w:bookmarkStart w:id="215" w:name="_Toc10494"/>
      <w:bookmarkStart w:id="216" w:name="_Toc475346646"/>
      <w:bookmarkStart w:id="217" w:name="_Toc476086525"/>
      <w:bookmarkStart w:id="218" w:name="_Toc15364_WPSOffice_Level1"/>
      <w:bookmarkStart w:id="219" w:name="_Toc11165"/>
      <w:bookmarkStart w:id="220" w:name="_Toc22396"/>
      <w:bookmarkStart w:id="221" w:name="_Toc13868"/>
      <w:bookmarkStart w:id="222" w:name="_Toc16222"/>
      <w:r>
        <w:t>1.3</w:t>
      </w:r>
      <w:r>
        <w:rPr>
          <w:rFonts w:hint="eastAsia"/>
        </w:rPr>
        <w:t>、</w:t>
      </w:r>
      <w:r>
        <w:t>评价内容</w:t>
      </w:r>
      <w:bookmarkEnd w:id="214"/>
      <w:bookmarkEnd w:id="215"/>
      <w:bookmarkEnd w:id="216"/>
      <w:bookmarkEnd w:id="217"/>
      <w:bookmarkEnd w:id="218"/>
      <w:bookmarkEnd w:id="219"/>
      <w:bookmarkEnd w:id="220"/>
      <w:bookmarkEnd w:id="221"/>
      <w:bookmarkEnd w:id="222"/>
    </w:p>
    <w:p>
      <w:pPr>
        <w:ind w:firstLine="480"/>
      </w:pPr>
      <w:r>
        <w:t>根据本项目建设特点及其所在区域环境特征，确定本次环境影响评价的主要内容为：</w:t>
      </w:r>
    </w:p>
    <w:p>
      <w:pPr>
        <w:ind w:firstLine="480"/>
      </w:pPr>
      <w:r>
        <w:rPr>
          <w:rFonts w:hint="eastAsia"/>
        </w:rPr>
        <w:t>1、</w:t>
      </w:r>
      <w:r>
        <w:t>分析项目工程内容，核实是否存在环境问题，并提出合理的治理措施；</w:t>
      </w:r>
    </w:p>
    <w:p>
      <w:pPr>
        <w:ind w:firstLine="480"/>
      </w:pPr>
      <w:r>
        <w:rPr>
          <w:rFonts w:hint="eastAsia"/>
        </w:rPr>
        <w:t>2、</w:t>
      </w:r>
      <w:r>
        <w:t>结合本工程建设内容，进行工程污染分析；</w:t>
      </w:r>
    </w:p>
    <w:p>
      <w:pPr>
        <w:ind w:firstLine="480"/>
      </w:pPr>
      <w:r>
        <w:rPr>
          <w:rFonts w:hint="eastAsia"/>
        </w:rPr>
        <w:t>3、</w:t>
      </w:r>
      <w:r>
        <w:t>对项目厂址所在区域的环境质量现状进行评价，结合各环境要素的监测结果和区域内实施的主要污染物减排措施，分析区域内污染浓度分布及变化特点，并对项目建设前后的环境质量状况变化进行分析；</w:t>
      </w:r>
    </w:p>
    <w:p>
      <w:pPr>
        <w:ind w:firstLine="480"/>
      </w:pPr>
      <w:r>
        <w:rPr>
          <w:rFonts w:hint="eastAsia"/>
        </w:rPr>
        <w:t>4、</w:t>
      </w:r>
      <w:r>
        <w:t>针对本项目的建设特点及排污特征，贯</w:t>
      </w:r>
      <w:r>
        <w:rPr>
          <w:rFonts w:hint="eastAsia"/>
        </w:rPr>
        <w:t>彻“清洁生产”、“总量控制”及污染源治理“达标排放”的原</w:t>
      </w:r>
      <w:r>
        <w:t>则，提出经济合理、技术可行的污染防治措施；</w:t>
      </w:r>
    </w:p>
    <w:p>
      <w:pPr>
        <w:ind w:firstLine="480"/>
      </w:pPr>
      <w:r>
        <w:rPr>
          <w:rFonts w:hint="eastAsia"/>
        </w:rPr>
        <w:t>5、</w:t>
      </w:r>
      <w:r>
        <w:t>预测本项目投产后所排污染物对评价区环境质量产生影响的范围和程度，从环保角度论证拟建项目选址的合理性和可行性；</w:t>
      </w:r>
    </w:p>
    <w:p>
      <w:pPr>
        <w:ind w:firstLine="480"/>
      </w:pPr>
      <w:r>
        <w:rPr>
          <w:rFonts w:hint="eastAsia"/>
        </w:rPr>
        <w:t>6、</w:t>
      </w:r>
      <w:r>
        <w:t>对本项目的事故风险环境影响进行分析，提出事故应急预案；</w:t>
      </w:r>
    </w:p>
    <w:p>
      <w:pPr>
        <w:ind w:firstLine="480"/>
      </w:pPr>
      <w:r>
        <w:rPr>
          <w:rFonts w:hint="eastAsia"/>
        </w:rPr>
        <w:t>7、</w:t>
      </w:r>
      <w:r>
        <w:t>对本项目营运后的环境经济损益进行分析，提出相应的环境管理计划与环境监测计划；</w:t>
      </w:r>
    </w:p>
    <w:p>
      <w:pPr>
        <w:ind w:firstLine="480"/>
      </w:pPr>
      <w:r>
        <w:rPr>
          <w:rFonts w:hint="eastAsia"/>
        </w:rPr>
        <w:t>8、</w:t>
      </w:r>
      <w:r>
        <w:t>对本项目建设可行性给出明确的评价结论和建议。</w:t>
      </w:r>
    </w:p>
    <w:p>
      <w:pPr>
        <w:pStyle w:val="5"/>
        <w:spacing w:before="78" w:after="78"/>
        <w:ind w:firstLine="562"/>
      </w:pPr>
      <w:bookmarkStart w:id="223" w:name="_Toc24451"/>
      <w:bookmarkStart w:id="224" w:name="_Toc23942"/>
      <w:bookmarkStart w:id="225" w:name="_Toc20625"/>
      <w:bookmarkStart w:id="226" w:name="_Toc11081"/>
      <w:bookmarkStart w:id="227" w:name="_Toc32289"/>
      <w:bookmarkStart w:id="228" w:name="_Toc28910"/>
      <w:bookmarkStart w:id="229" w:name="_Toc274_WPSOffice_Level1"/>
      <w:r>
        <w:t>1.4</w:t>
      </w:r>
      <w:r>
        <w:rPr>
          <w:rFonts w:hint="eastAsia"/>
        </w:rPr>
        <w:t>、</w:t>
      </w:r>
      <w:r>
        <w:t>环境功能区划</w:t>
      </w:r>
      <w:bookmarkEnd w:id="223"/>
      <w:bookmarkEnd w:id="224"/>
      <w:bookmarkEnd w:id="225"/>
      <w:bookmarkEnd w:id="226"/>
      <w:bookmarkEnd w:id="227"/>
      <w:bookmarkEnd w:id="228"/>
      <w:bookmarkEnd w:id="229"/>
    </w:p>
    <w:p>
      <w:pPr>
        <w:pStyle w:val="6"/>
        <w:ind w:firstLine="482"/>
      </w:pPr>
      <w:bookmarkStart w:id="230" w:name="_Toc14751_WPSOffice_Level2"/>
      <w:bookmarkStart w:id="231" w:name="_Toc26238"/>
      <w:bookmarkStart w:id="232" w:name="_Toc30550"/>
      <w:bookmarkStart w:id="233" w:name="_Toc2961_WPSOffice_Level2"/>
      <w:r>
        <w:t>1.4.1</w:t>
      </w:r>
      <w:r>
        <w:rPr>
          <w:rFonts w:hint="eastAsia"/>
        </w:rPr>
        <w:t>、</w:t>
      </w:r>
      <w:r>
        <w:t>环境空气</w:t>
      </w:r>
      <w:bookmarkEnd w:id="230"/>
      <w:bookmarkEnd w:id="231"/>
      <w:bookmarkEnd w:id="232"/>
      <w:bookmarkEnd w:id="233"/>
    </w:p>
    <w:p>
      <w:pPr>
        <w:ind w:firstLine="480"/>
      </w:pPr>
      <w:r>
        <w:t>根据《环境空气质量标准》（GB3095-2012）、《环境空气质量功能区划分原则与技术方法》（HJ14-1996）中环境空气功能区分类界定，确定项目所在地为二类环境空气质量功能区。</w:t>
      </w:r>
    </w:p>
    <w:p>
      <w:pPr>
        <w:pStyle w:val="6"/>
        <w:ind w:firstLine="482"/>
      </w:pPr>
      <w:bookmarkStart w:id="234" w:name="_Toc7712"/>
      <w:bookmarkStart w:id="235" w:name="_Toc7053_WPSOffice_Level2"/>
      <w:bookmarkStart w:id="236" w:name="_Toc1116"/>
      <w:bookmarkStart w:id="237" w:name="_Toc29491_WPSOffice_Level2"/>
      <w:r>
        <w:t>1.4.2</w:t>
      </w:r>
      <w:r>
        <w:rPr>
          <w:rFonts w:hint="eastAsia"/>
        </w:rPr>
        <w:t>、</w:t>
      </w:r>
      <w:r>
        <w:t>声环境</w:t>
      </w:r>
      <w:bookmarkEnd w:id="234"/>
      <w:bookmarkEnd w:id="235"/>
      <w:bookmarkEnd w:id="236"/>
      <w:bookmarkEnd w:id="237"/>
    </w:p>
    <w:p>
      <w:pPr>
        <w:ind w:firstLine="480"/>
      </w:pPr>
      <w:bookmarkStart w:id="238" w:name="_Toc236061592"/>
      <w:bookmarkStart w:id="239" w:name="_Toc253143570"/>
      <w:bookmarkStart w:id="240" w:name="_Toc236061797"/>
      <w:bookmarkStart w:id="241" w:name="_Toc256719406"/>
      <w:bookmarkStart w:id="242" w:name="_Toc325719857"/>
      <w:bookmarkStart w:id="243" w:name="_Toc236059466"/>
      <w:bookmarkStart w:id="244" w:name="_Toc347242863"/>
      <w:bookmarkStart w:id="245" w:name="_Toc286139236"/>
      <w:bookmarkStart w:id="246" w:name="_Toc253143765"/>
      <w:bookmarkStart w:id="247" w:name="_Toc253143444"/>
      <w:bookmarkStart w:id="248" w:name="_Toc236059364"/>
      <w:bookmarkStart w:id="249" w:name="_Toc236060363"/>
      <w:bookmarkStart w:id="250" w:name="_Toc236540695"/>
      <w:r>
        <w:rPr>
          <w:rFonts w:hint="eastAsia"/>
          <w:lang w:val="en-US" w:eastAsia="zh-CN"/>
        </w:rPr>
        <w:t>按照《声环境质量标准》（</w:t>
      </w:r>
      <w:r>
        <w:rPr>
          <w:rFonts w:hint="default"/>
          <w:lang w:val="en-US" w:eastAsia="zh-CN"/>
        </w:rPr>
        <w:t>GB3096-2008</w:t>
      </w:r>
      <w:r>
        <w:rPr>
          <w:rFonts w:hint="eastAsia"/>
          <w:lang w:val="en-US" w:eastAsia="zh-CN"/>
        </w:rPr>
        <w:t>）和《声环境功能区划分技术规范》</w:t>
      </w:r>
      <w:bookmarkStart w:id="1036" w:name="_GoBack"/>
      <w:bookmarkEnd w:id="1036"/>
      <w:r>
        <w:rPr>
          <w:rFonts w:hint="eastAsia"/>
          <w:lang w:val="en-US" w:eastAsia="zh-CN"/>
        </w:rPr>
        <w:t>（</w:t>
      </w:r>
      <w:r>
        <w:rPr>
          <w:rFonts w:hint="default"/>
          <w:lang w:val="en-US" w:eastAsia="zh-CN"/>
        </w:rPr>
        <w:t>GB/T15190-2014</w:t>
      </w:r>
      <w:r>
        <w:rPr>
          <w:rFonts w:hint="eastAsia"/>
          <w:lang w:val="en-US" w:eastAsia="zh-CN"/>
        </w:rPr>
        <w:t>）</w:t>
      </w:r>
      <w:r>
        <w:t>中</w:t>
      </w:r>
      <w:r>
        <w:rPr>
          <w:rFonts w:hint="eastAsia"/>
          <w:lang w:val="en-US" w:eastAsia="zh-CN"/>
        </w:rPr>
        <w:t>声</w:t>
      </w:r>
      <w:r>
        <w:t>功能</w:t>
      </w:r>
      <w:r>
        <w:rPr>
          <w:rFonts w:hint="eastAsia"/>
          <w:lang w:val="en-US" w:eastAsia="zh-CN"/>
        </w:rPr>
        <w:t>区</w:t>
      </w:r>
      <w:r>
        <w:t>判别规定，项目所在地位于张掖市经济技术开发区农产品加工产业园，声环境功能区为3类区。</w:t>
      </w:r>
    </w:p>
    <w:bookmarkEnd w:id="238"/>
    <w:bookmarkEnd w:id="239"/>
    <w:bookmarkEnd w:id="240"/>
    <w:bookmarkEnd w:id="241"/>
    <w:bookmarkEnd w:id="242"/>
    <w:bookmarkEnd w:id="243"/>
    <w:bookmarkEnd w:id="244"/>
    <w:bookmarkEnd w:id="245"/>
    <w:bookmarkEnd w:id="246"/>
    <w:bookmarkEnd w:id="247"/>
    <w:bookmarkEnd w:id="248"/>
    <w:bookmarkEnd w:id="249"/>
    <w:bookmarkEnd w:id="250"/>
    <w:p>
      <w:pPr>
        <w:pStyle w:val="6"/>
        <w:ind w:firstLine="482"/>
      </w:pPr>
      <w:bookmarkStart w:id="251" w:name="_Toc329_WPSOffice_Level2"/>
      <w:bookmarkStart w:id="252" w:name="_Toc10851_WPSOffice_Level2"/>
      <w:bookmarkStart w:id="253" w:name="_Toc24246"/>
      <w:bookmarkStart w:id="254" w:name="_Toc3031"/>
      <w:r>
        <w:t>1.4.3</w:t>
      </w:r>
      <w:r>
        <w:rPr>
          <w:rFonts w:hint="eastAsia"/>
        </w:rPr>
        <w:t>、</w:t>
      </w:r>
      <w:r>
        <w:t>地表水环境</w:t>
      </w:r>
      <w:bookmarkEnd w:id="251"/>
      <w:bookmarkEnd w:id="252"/>
      <w:bookmarkEnd w:id="253"/>
      <w:bookmarkEnd w:id="254"/>
    </w:p>
    <w:p>
      <w:pPr>
        <w:ind w:firstLine="480"/>
      </w:pPr>
      <w:r>
        <w:t>根据</w:t>
      </w:r>
      <w:r>
        <w:rPr>
          <w:rFonts w:hint="eastAsia"/>
        </w:rPr>
        <w:t>“</w:t>
      </w:r>
      <w:r>
        <w:t>甘肃省</w:t>
      </w:r>
      <w:r>
        <w:rPr>
          <w:rFonts w:hint="eastAsia"/>
        </w:rPr>
        <w:t>内陆河流域黑河水系二级水功能区划图”可知</w:t>
      </w:r>
      <w:r>
        <w:t>，项目所在区域地表水体为黑河甘州农业用水区，起始断面为莺落峡，终止断面黑河大桥，为Ⅲ类水体，甘肃省</w:t>
      </w:r>
      <w:r>
        <w:rPr>
          <w:rFonts w:hint="eastAsia"/>
        </w:rPr>
        <w:t>内陆河流域黑河水系二级水功能区划图</w:t>
      </w:r>
      <w:r>
        <w:t>见</w:t>
      </w:r>
      <w:r>
        <w:rPr>
          <w:rFonts w:hint="eastAsia"/>
        </w:rPr>
        <w:t>附图1</w:t>
      </w:r>
      <w:r>
        <w:t>。</w:t>
      </w:r>
    </w:p>
    <w:p>
      <w:pPr>
        <w:pStyle w:val="6"/>
        <w:ind w:firstLine="482"/>
      </w:pPr>
      <w:bookmarkStart w:id="255" w:name="_Toc28659"/>
      <w:bookmarkStart w:id="256" w:name="_Toc27950_WPSOffice_Level2"/>
      <w:bookmarkStart w:id="257" w:name="_Toc15364_WPSOffice_Level2"/>
      <w:bookmarkStart w:id="258" w:name="_Toc5424"/>
      <w:r>
        <w:t>1.4.4</w:t>
      </w:r>
      <w:r>
        <w:rPr>
          <w:rFonts w:hint="eastAsia"/>
        </w:rPr>
        <w:t>、</w:t>
      </w:r>
      <w:r>
        <w:t>地下水环境</w:t>
      </w:r>
      <w:bookmarkEnd w:id="255"/>
      <w:bookmarkEnd w:id="256"/>
      <w:bookmarkEnd w:id="257"/>
      <w:bookmarkEnd w:id="258"/>
    </w:p>
    <w:p>
      <w:pPr>
        <w:ind w:firstLine="480"/>
      </w:pPr>
      <w:r>
        <w:t>根据《地下水环境质量标准》（GB/T14848-2017）中地下水质量分类方法，本项目所在地地下水属Ⅲ类水域功能区。</w:t>
      </w:r>
    </w:p>
    <w:p>
      <w:pPr>
        <w:pStyle w:val="6"/>
        <w:ind w:firstLine="482"/>
      </w:pPr>
      <w:bookmarkStart w:id="259" w:name="_Toc15613"/>
      <w:bookmarkStart w:id="260" w:name="_Toc28505_WPSOffice_Level2"/>
      <w:bookmarkStart w:id="261" w:name="_Toc274_WPSOffice_Level2"/>
      <w:bookmarkStart w:id="262" w:name="_Toc359"/>
      <w:r>
        <w:t>1.4.5</w:t>
      </w:r>
      <w:r>
        <w:rPr>
          <w:rFonts w:hint="eastAsia"/>
        </w:rPr>
        <w:t>、</w:t>
      </w:r>
      <w:r>
        <w:t>生态环境</w:t>
      </w:r>
      <w:bookmarkEnd w:id="259"/>
      <w:bookmarkEnd w:id="260"/>
      <w:bookmarkEnd w:id="261"/>
      <w:bookmarkEnd w:id="262"/>
    </w:p>
    <w:p>
      <w:pPr>
        <w:bidi w:val="0"/>
      </w:pPr>
      <w:r>
        <w:t>根据《张掖市生态功能区划图》中划分，本项目评价区属</w:t>
      </w:r>
      <w:r>
        <w:rPr>
          <w:rFonts w:hint="eastAsia"/>
        </w:rPr>
        <w:t>“</w:t>
      </w:r>
      <w:r>
        <w:rPr>
          <w:rFonts w:hint="default" w:ascii="Times New Roman" w:hAnsi="Times New Roman" w:cs="Times New Roman"/>
        </w:rPr>
        <w:t>Ⅱ-2</w:t>
      </w:r>
      <w:r>
        <w:rPr>
          <w:rFonts w:hint="eastAsia"/>
        </w:rPr>
        <w:t>中部绿洲灌溉农业发展亚区”</w:t>
      </w:r>
      <w:r>
        <w:t>。张掖市生态功能区划图见</w:t>
      </w:r>
      <w:r>
        <w:rPr>
          <w:rFonts w:hint="eastAsia"/>
        </w:rPr>
        <w:t>附图2</w:t>
      </w:r>
      <w:r>
        <w:t>。</w:t>
      </w:r>
    </w:p>
    <w:p>
      <w:pPr>
        <w:pStyle w:val="6"/>
        <w:ind w:firstLine="482"/>
      </w:pPr>
      <w:bookmarkStart w:id="263" w:name="_Toc2069"/>
      <w:bookmarkStart w:id="264" w:name="_Toc29195"/>
      <w:bookmarkStart w:id="265" w:name="_Toc9264"/>
      <w:bookmarkStart w:id="266" w:name="_Toc22696"/>
      <w:bookmarkStart w:id="267" w:name="_Toc19293"/>
      <w:bookmarkStart w:id="268" w:name="_Toc9629_WPSOffice_Level1"/>
      <w:r>
        <w:rPr>
          <w:rFonts w:hint="eastAsia"/>
        </w:rPr>
        <w:t>1.4.6、土壤环境</w:t>
      </w:r>
      <w:bookmarkEnd w:id="263"/>
    </w:p>
    <w:p>
      <w:pPr>
        <w:ind w:firstLine="480"/>
      </w:pPr>
      <w:r>
        <w:rPr>
          <w:rFonts w:hint="eastAsia"/>
        </w:rPr>
        <w:t>根据《土壤环境质量  建设用地土壤污染风险管控标准》（GB36600-2018），本项目土壤环境属于第二类用地。</w:t>
      </w:r>
      <w:r>
        <w:t>项目区环境功能区划见表</w:t>
      </w:r>
      <w:r>
        <w:rPr>
          <w:rFonts w:hint="eastAsia"/>
        </w:rPr>
        <w:t>1.1</w:t>
      </w:r>
      <w:r>
        <w:t>。</w:t>
      </w:r>
    </w:p>
    <w:p>
      <w:pPr>
        <w:spacing w:line="240" w:lineRule="auto"/>
        <w:ind w:firstLine="482"/>
        <w:jc w:val="center"/>
        <w:rPr>
          <w:b/>
          <w:bCs/>
        </w:rPr>
      </w:pPr>
      <w:r>
        <w:rPr>
          <w:rFonts w:hint="eastAsia"/>
          <w:b/>
          <w:bCs/>
        </w:rPr>
        <w:t>表1.1    环境功能区划统计表</w:t>
      </w:r>
    </w:p>
    <w:tbl>
      <w:tblPr>
        <w:tblStyle w:val="32"/>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8"/>
        <w:gridCol w:w="998"/>
        <w:gridCol w:w="3329"/>
        <w:gridCol w:w="4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b/>
                <w:bCs/>
                <w:sz w:val="21"/>
                <w:szCs w:val="21"/>
              </w:rPr>
            </w:pPr>
            <w:r>
              <w:rPr>
                <w:b/>
                <w:bCs/>
                <w:sz w:val="21"/>
                <w:szCs w:val="21"/>
              </w:rPr>
              <w:t>序号</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b/>
                <w:bCs/>
                <w:sz w:val="21"/>
                <w:szCs w:val="21"/>
              </w:rPr>
            </w:pPr>
            <w:r>
              <w:rPr>
                <w:b/>
                <w:bCs/>
                <w:sz w:val="21"/>
                <w:szCs w:val="21"/>
              </w:rPr>
              <w:t>项目</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b/>
                <w:bCs/>
                <w:sz w:val="21"/>
                <w:szCs w:val="21"/>
              </w:rPr>
            </w:pPr>
            <w:r>
              <w:rPr>
                <w:b/>
                <w:bCs/>
                <w:sz w:val="21"/>
                <w:szCs w:val="21"/>
              </w:rPr>
              <w:t>区划结果</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b/>
                <w:bCs/>
                <w:sz w:val="21"/>
                <w:szCs w:val="21"/>
              </w:rPr>
            </w:pPr>
            <w:r>
              <w:rPr>
                <w:b/>
                <w:bCs/>
                <w:sz w:val="21"/>
                <w:szCs w:val="21"/>
              </w:rPr>
              <w:t>划分依据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1</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环境空气</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二类区</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《环境空气质量标准》（GB3095-2012）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2</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rFonts w:hint="eastAsia"/>
                <w:sz w:val="21"/>
                <w:szCs w:val="21"/>
              </w:rPr>
              <w:t>声环境</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rFonts w:hint="eastAsia"/>
                <w:sz w:val="21"/>
                <w:szCs w:val="21"/>
              </w:rPr>
              <w:t>3</w:t>
            </w:r>
            <w:r>
              <w:rPr>
                <w:sz w:val="21"/>
                <w:szCs w:val="21"/>
              </w:rPr>
              <w:t>类区</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rFonts w:hint="eastAsia"/>
                <w:sz w:val="21"/>
                <w:szCs w:val="21"/>
                <w:lang w:val="en-US" w:eastAsia="zh-CN"/>
              </w:rPr>
              <w:t>《声环境功能区划分技术规范》（</w:t>
            </w:r>
            <w:r>
              <w:rPr>
                <w:rFonts w:hint="default"/>
                <w:sz w:val="21"/>
                <w:szCs w:val="21"/>
                <w:lang w:val="en-US" w:eastAsia="zh-CN"/>
              </w:rPr>
              <w:t>GB/T15190-2014</w:t>
            </w:r>
            <w:r>
              <w:rPr>
                <w:rFonts w:hint="eastAsia"/>
                <w:sz w:val="21"/>
                <w:szCs w:val="21"/>
                <w:lang w:val="en-US" w:eastAsia="zh-CN"/>
              </w:rPr>
              <w:t>）、</w:t>
            </w:r>
            <w:r>
              <w:rPr>
                <w:sz w:val="21"/>
                <w:szCs w:val="21"/>
              </w:rPr>
              <w:t>《声环境质量标准》（GB3096-2008）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3</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地表水</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黑河甘州农业用水区</w:t>
            </w:r>
          </w:p>
          <w:p>
            <w:pPr>
              <w:spacing w:line="240" w:lineRule="auto"/>
              <w:ind w:firstLine="0" w:firstLineChars="0"/>
              <w:jc w:val="center"/>
              <w:rPr>
                <w:sz w:val="21"/>
                <w:szCs w:val="21"/>
              </w:rPr>
            </w:pPr>
            <w:r>
              <w:rPr>
                <w:sz w:val="21"/>
                <w:szCs w:val="21"/>
              </w:rPr>
              <w:t>（莺落峡~黑河大桥），Ⅲ类水体</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w:t>
            </w:r>
            <w:r>
              <w:rPr>
                <w:rFonts w:hint="eastAsia"/>
                <w:sz w:val="21"/>
                <w:szCs w:val="21"/>
              </w:rPr>
              <w:t>甘肃省内陆河流域黑河水系二级水功能区划图</w:t>
            </w:r>
            <w:r>
              <w:rPr>
                <w:sz w:val="21"/>
                <w:szCs w:val="21"/>
              </w:rPr>
              <w:t>（2012-2030年）》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4</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地下水</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Ⅲ类</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《地下水质量标准》（GB/T14848-2017）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5</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生态</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Ⅱ-2中部绿洲灌溉农业发展亚区</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《张掖市生态功能区划图》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0"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6</w:t>
            </w:r>
          </w:p>
        </w:tc>
        <w:tc>
          <w:tcPr>
            <w:tcW w:w="507"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土壤环境</w:t>
            </w:r>
          </w:p>
        </w:tc>
        <w:tc>
          <w:tcPr>
            <w:tcW w:w="169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rFonts w:hint="eastAsia"/>
                <w:sz w:val="21"/>
                <w:szCs w:val="21"/>
              </w:rPr>
              <w:t>建设用地中的</w:t>
            </w:r>
            <w:r>
              <w:rPr>
                <w:sz w:val="21"/>
                <w:szCs w:val="21"/>
              </w:rPr>
              <w:t>第二类用地</w:t>
            </w:r>
          </w:p>
        </w:tc>
        <w:tc>
          <w:tcPr>
            <w:tcW w:w="2421" w:type="pct"/>
            <w:tcBorders>
              <w:tl2br w:val="nil"/>
              <w:tr2bl w:val="nil"/>
            </w:tcBorders>
            <w:tcMar>
              <w:top w:w="0" w:type="dxa"/>
              <w:left w:w="57" w:type="dxa"/>
              <w:bottom w:w="0" w:type="dxa"/>
              <w:right w:w="57" w:type="dxa"/>
            </w:tcMar>
            <w:vAlign w:val="center"/>
          </w:tcPr>
          <w:p>
            <w:pPr>
              <w:spacing w:line="240" w:lineRule="auto"/>
              <w:ind w:firstLine="0" w:firstLineChars="0"/>
              <w:jc w:val="center"/>
              <w:rPr>
                <w:sz w:val="21"/>
                <w:szCs w:val="21"/>
              </w:rPr>
            </w:pPr>
            <w:r>
              <w:rPr>
                <w:sz w:val="21"/>
                <w:szCs w:val="21"/>
              </w:rPr>
              <w:t>《土壤环境质量 建设用地土壤污染风险管控标准》（GB36600-2018）</w:t>
            </w:r>
          </w:p>
        </w:tc>
      </w:tr>
    </w:tbl>
    <w:p>
      <w:pPr>
        <w:pStyle w:val="5"/>
        <w:spacing w:before="78" w:after="78"/>
        <w:ind w:firstLine="562"/>
      </w:pPr>
      <w:bookmarkStart w:id="269" w:name="_Toc12996"/>
      <w:bookmarkStart w:id="270" w:name="_Toc3691"/>
      <w:r>
        <w:t>1.5</w:t>
      </w:r>
      <w:r>
        <w:rPr>
          <w:rFonts w:hint="eastAsia"/>
        </w:rPr>
        <w:t>、</w:t>
      </w:r>
      <w:r>
        <w:t>评价因子及评价标准</w:t>
      </w:r>
      <w:bookmarkEnd w:id="264"/>
      <w:bookmarkEnd w:id="265"/>
      <w:bookmarkEnd w:id="266"/>
      <w:bookmarkEnd w:id="267"/>
      <w:bookmarkEnd w:id="268"/>
      <w:bookmarkEnd w:id="269"/>
      <w:bookmarkEnd w:id="270"/>
    </w:p>
    <w:p>
      <w:pPr>
        <w:pStyle w:val="6"/>
        <w:ind w:firstLine="482"/>
      </w:pPr>
      <w:bookmarkStart w:id="271" w:name="_Toc21636"/>
      <w:bookmarkStart w:id="272" w:name="_Toc2936"/>
      <w:bookmarkStart w:id="273" w:name="_Toc9629_WPSOffice_Level2"/>
      <w:bookmarkStart w:id="274" w:name="_Toc32734_WPSOffice_Level2"/>
      <w:r>
        <w:t>1.5.1</w:t>
      </w:r>
      <w:r>
        <w:rPr>
          <w:rFonts w:hint="eastAsia"/>
        </w:rPr>
        <w:t>、</w:t>
      </w:r>
      <w:r>
        <w:t>环境影响识别</w:t>
      </w:r>
      <w:bookmarkEnd w:id="271"/>
      <w:bookmarkEnd w:id="272"/>
      <w:bookmarkEnd w:id="273"/>
      <w:bookmarkEnd w:id="274"/>
    </w:p>
    <w:p>
      <w:pPr>
        <w:ind w:firstLine="480"/>
      </w:pPr>
      <w:r>
        <w:t>根据项目工程特点、环境特征以及工程对环境的影响性质与程度，在工程分析的基础上，进行了本项目环境影响识别，建立了环境影响识别矩阵</w:t>
      </w:r>
      <w:r>
        <w:rPr>
          <w:rFonts w:hint="eastAsia"/>
          <w:lang w:eastAsia="zh-CN"/>
        </w:rPr>
        <w:t>，</w:t>
      </w:r>
      <w:r>
        <w:t>具体见表</w:t>
      </w:r>
      <w:r>
        <w:rPr>
          <w:rFonts w:hint="eastAsia"/>
        </w:rPr>
        <w:t>1.2</w:t>
      </w:r>
      <w:r>
        <w:t>。</w:t>
      </w:r>
    </w:p>
    <w:p>
      <w:pPr>
        <w:spacing w:line="240" w:lineRule="auto"/>
        <w:ind w:firstLine="482"/>
        <w:jc w:val="center"/>
      </w:pPr>
      <w:r>
        <w:rPr>
          <w:b/>
          <w:bCs/>
        </w:rPr>
        <w:t>表</w:t>
      </w:r>
      <w:r>
        <w:rPr>
          <w:rFonts w:hint="eastAsia"/>
          <w:b/>
          <w:bCs/>
        </w:rPr>
        <w:t>1.2</w:t>
      </w:r>
      <w:r>
        <w:rPr>
          <w:b/>
          <w:bCs/>
        </w:rPr>
        <w:t xml:space="preserve"> </w:t>
      </w:r>
      <w:r>
        <w:rPr>
          <w:rFonts w:hint="eastAsia"/>
          <w:b/>
          <w:bCs/>
        </w:rPr>
        <w:t xml:space="preserve">  </w:t>
      </w:r>
      <w:r>
        <w:rPr>
          <w:b/>
          <w:bCs/>
        </w:rPr>
        <w:t xml:space="preserve"> 本项目环境影响因素识别表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1076"/>
        <w:gridCol w:w="1325"/>
        <w:gridCol w:w="1108"/>
        <w:gridCol w:w="1008"/>
        <w:gridCol w:w="1004"/>
        <w:gridCol w:w="1122"/>
        <w:gridCol w:w="1273"/>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时段</w:t>
            </w:r>
          </w:p>
        </w:tc>
        <w:tc>
          <w:tcPr>
            <w:tcW w:w="540"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活动</w:t>
            </w:r>
          </w:p>
        </w:tc>
        <w:tc>
          <w:tcPr>
            <w:tcW w:w="665"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污染因素</w:t>
            </w:r>
          </w:p>
        </w:tc>
        <w:tc>
          <w:tcPr>
            <w:tcW w:w="3499" w:type="pct"/>
            <w:gridSpan w:val="6"/>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影响因素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b/>
                <w:bCs/>
                <w:color w:val="auto"/>
                <w:sz w:val="21"/>
                <w:szCs w:val="21"/>
              </w:rPr>
            </w:pPr>
          </w:p>
        </w:tc>
        <w:tc>
          <w:tcPr>
            <w:tcW w:w="540"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b/>
                <w:bCs/>
                <w:color w:val="auto"/>
                <w:sz w:val="21"/>
                <w:szCs w:val="21"/>
              </w:rPr>
            </w:pPr>
          </w:p>
        </w:tc>
        <w:tc>
          <w:tcPr>
            <w:tcW w:w="66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b/>
                <w:bCs/>
                <w:color w:val="auto"/>
                <w:sz w:val="21"/>
                <w:szCs w:val="21"/>
              </w:rPr>
            </w:pP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环境空气</w:t>
            </w: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地表水</w:t>
            </w: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地下水</w:t>
            </w: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声环境</w:t>
            </w: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生态环境</w:t>
            </w: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lang w:bidi="ar"/>
              </w:rPr>
              <w:t>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施工期</w:t>
            </w:r>
          </w:p>
        </w:tc>
        <w:tc>
          <w:tcPr>
            <w:tcW w:w="540" w:type="pct"/>
            <w:vMerge w:val="restart"/>
            <w:tcBorders>
              <w:tl2br w:val="nil"/>
              <w:tr2bl w:val="nil"/>
            </w:tcBorders>
            <w:noWrap w:val="0"/>
            <w:vAlign w:val="center"/>
          </w:tcPr>
          <w:p>
            <w:pPr>
              <w:widowControl/>
              <w:snapToGrid/>
              <w:spacing w:line="240" w:lineRule="auto"/>
              <w:ind w:firstLine="0" w:firstLineChars="0"/>
              <w:jc w:val="center"/>
              <w:rPr>
                <w:rFonts w:hint="eastAsia"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bidi="ar"/>
              </w:rPr>
              <w:t>场地</w:t>
            </w:r>
            <w:r>
              <w:rPr>
                <w:rFonts w:hint="default" w:ascii="Times New Roman" w:hAnsi="Times New Roman" w:eastAsia="宋体" w:cs="Times New Roman"/>
                <w:color w:val="auto"/>
                <w:kern w:val="0"/>
                <w:sz w:val="21"/>
                <w:szCs w:val="21"/>
                <w:lang w:bidi="ar"/>
              </w:rPr>
              <w:t>施工</w:t>
            </w:r>
            <w:r>
              <w:rPr>
                <w:rFonts w:hint="eastAsia" w:cs="Times New Roman"/>
                <w:color w:val="auto"/>
                <w:kern w:val="0"/>
                <w:sz w:val="21"/>
                <w:szCs w:val="21"/>
                <w:lang w:val="en-US" w:eastAsia="zh-CN" w:bidi="ar"/>
              </w:rPr>
              <w:t>过程</w:t>
            </w: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施工扬尘</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jc w:val="center"/>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机械噪声</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bidi="ar"/>
              </w:rPr>
              <w:t>■</w:t>
            </w:r>
            <w:r>
              <w:rPr>
                <w:rFonts w:hint="eastAsia" w:cs="Times New Roman"/>
                <w:color w:val="auto"/>
                <w:kern w:val="0"/>
                <w:sz w:val="21"/>
                <w:szCs w:val="21"/>
                <w:lang w:val="en-US" w:eastAsia="zh-CN" w:bidi="ar"/>
              </w:rPr>
              <w:t>2</w:t>
            </w: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jc w:val="center"/>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水土流失</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jc w:val="center"/>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植被破坏</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混凝土养护过程</w:t>
            </w: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eastAsia" w:cs="Times New Roman"/>
                <w:color w:val="auto"/>
                <w:kern w:val="0"/>
                <w:sz w:val="21"/>
                <w:szCs w:val="21"/>
                <w:lang w:val="en-US" w:eastAsia="zh-CN" w:bidi="ar"/>
              </w:rPr>
              <w:t>养护</w:t>
            </w:r>
            <w:r>
              <w:rPr>
                <w:rFonts w:hint="default" w:ascii="Times New Roman" w:hAnsi="Times New Roman" w:eastAsia="宋体" w:cs="Times New Roman"/>
                <w:color w:val="auto"/>
                <w:kern w:val="0"/>
                <w:sz w:val="21"/>
                <w:szCs w:val="21"/>
                <w:lang w:bidi="ar"/>
              </w:rPr>
              <w:t>废水</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工人生活</w:t>
            </w: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生活污水</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生活垃圾</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运营期</w:t>
            </w:r>
          </w:p>
        </w:tc>
        <w:tc>
          <w:tcPr>
            <w:tcW w:w="540" w:type="pct"/>
            <w:vMerge w:val="restart"/>
            <w:tcBorders>
              <w:tl2br w:val="nil"/>
              <w:tr2bl w:val="nil"/>
            </w:tcBorders>
            <w:noWrap w:val="0"/>
            <w:vAlign w:val="center"/>
          </w:tcPr>
          <w:p>
            <w:pPr>
              <w:widowControl/>
              <w:snapToGrid/>
              <w:spacing w:line="240" w:lineRule="auto"/>
              <w:ind w:firstLine="0" w:firstLineChars="0"/>
              <w:jc w:val="center"/>
              <w:rPr>
                <w:rFonts w:hint="eastAsia" w:cs="Times New Roman"/>
                <w:color w:val="auto"/>
                <w:kern w:val="0"/>
                <w:sz w:val="21"/>
                <w:szCs w:val="21"/>
                <w:lang w:val="en-US" w:eastAsia="zh-CN"/>
              </w:rPr>
            </w:pPr>
            <w:r>
              <w:rPr>
                <w:rFonts w:hint="eastAsia" w:cs="Times New Roman"/>
                <w:color w:val="auto"/>
                <w:kern w:val="0"/>
                <w:sz w:val="21"/>
                <w:szCs w:val="21"/>
                <w:lang w:val="en-US" w:eastAsia="zh-CN"/>
              </w:rPr>
              <w:t>生产</w:t>
            </w:r>
          </w:p>
          <w:p>
            <w:pPr>
              <w:widowControl/>
              <w:snapToGrid/>
              <w:spacing w:line="240" w:lineRule="auto"/>
              <w:ind w:firstLine="0" w:firstLineChars="0"/>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过程</w:t>
            </w: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废气排放</w:t>
            </w:r>
          </w:p>
        </w:tc>
        <w:tc>
          <w:tcPr>
            <w:tcW w:w="556" w:type="pct"/>
            <w:tcBorders>
              <w:tl2br w:val="nil"/>
              <w:tr2bl w:val="nil"/>
            </w:tcBorders>
            <w:noWrap w:val="0"/>
            <w:vAlign w:val="center"/>
          </w:tcPr>
          <w:p>
            <w:pPr>
              <w:widowControl/>
              <w:snapToGrid/>
              <w:spacing w:line="240" w:lineRule="auto"/>
              <w:ind w:firstLine="0" w:firstLineChars="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bidi="ar"/>
              </w:rPr>
              <w:t>▲</w:t>
            </w:r>
            <w:r>
              <w:rPr>
                <w:rFonts w:hint="eastAsia" w:cs="Times New Roman"/>
                <w:color w:val="auto"/>
                <w:kern w:val="0"/>
                <w:sz w:val="21"/>
                <w:szCs w:val="21"/>
                <w:lang w:val="en-US" w:eastAsia="zh-CN" w:bidi="ar"/>
              </w:rPr>
              <w:t>2</w:t>
            </w: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生产废水</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固体废物</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机械噪声</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eastAsia"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bidi="ar"/>
              </w:rPr>
              <w:t>▲</w:t>
            </w:r>
            <w:r>
              <w:rPr>
                <w:rFonts w:hint="eastAsia" w:cs="Times New Roman"/>
                <w:color w:val="auto"/>
                <w:kern w:val="0"/>
                <w:sz w:val="21"/>
                <w:szCs w:val="21"/>
                <w:lang w:val="en-US" w:eastAsia="zh-CN" w:bidi="ar"/>
              </w:rPr>
              <w:t>2</w:t>
            </w: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restar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生活</w:t>
            </w:r>
          </w:p>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办公</w:t>
            </w: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生活污水</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5"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540" w:type="pct"/>
            <w:vMerge w:val="continue"/>
            <w:tcBorders>
              <w:tl2br w:val="nil"/>
              <w:tr2bl w:val="nil"/>
            </w:tcBorders>
            <w:noWrap w:val="0"/>
            <w:vAlign w:val="center"/>
          </w:tcPr>
          <w:p>
            <w:pPr>
              <w:spacing w:line="240" w:lineRule="auto"/>
              <w:ind w:firstLine="400"/>
              <w:rPr>
                <w:rFonts w:hint="default" w:ascii="Times New Roman" w:hAnsi="Times New Roman" w:eastAsia="宋体" w:cs="Times New Roman"/>
                <w:color w:val="auto"/>
                <w:sz w:val="21"/>
                <w:szCs w:val="21"/>
              </w:rPr>
            </w:pPr>
          </w:p>
        </w:tc>
        <w:tc>
          <w:tcPr>
            <w:tcW w:w="665"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生活垃圾</w:t>
            </w:r>
          </w:p>
        </w:tc>
        <w:tc>
          <w:tcPr>
            <w:tcW w:w="55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6"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04"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563"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c>
          <w:tcPr>
            <w:tcW w:w="639"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w:t>
            </w:r>
          </w:p>
        </w:tc>
        <w:tc>
          <w:tcPr>
            <w:tcW w:w="728" w:type="pct"/>
            <w:tcBorders>
              <w:tl2br w:val="nil"/>
              <w:tr2bl w:val="nil"/>
            </w:tcBorders>
            <w:noWrap w:val="0"/>
            <w:vAlign w:val="center"/>
          </w:tcPr>
          <w:p>
            <w:pPr>
              <w:widowControl/>
              <w:snapToGrid/>
              <w:spacing w:line="240" w:lineRule="auto"/>
              <w:ind w:firstLine="0" w:firstLineChars="0"/>
              <w:jc w:val="center"/>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9"/>
            <w:tcBorders>
              <w:tl2br w:val="nil"/>
              <w:tr2bl w:val="nil"/>
            </w:tcBorders>
            <w:noWrap w:val="0"/>
            <w:vAlign w:val="center"/>
          </w:tcPr>
          <w:p>
            <w:pPr>
              <w:widowControl/>
              <w:snapToGrid/>
              <w:spacing w:line="240" w:lineRule="auto"/>
              <w:ind w:firstLine="0" w:firstLineChars="0"/>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注：▲/■：长期不利影响/短期不利影响；△/□：长期有利影响/短期有利影响；</w:t>
            </w:r>
          </w:p>
          <w:p>
            <w:pPr>
              <w:widowControl/>
              <w:snapToGrid/>
              <w:spacing w:line="240" w:lineRule="auto"/>
              <w:ind w:firstLine="445" w:firstLineChars="212"/>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lang w:bidi="ar"/>
              </w:rPr>
              <w:t>1：轻度影响，2中度影响，3重度影响；</w:t>
            </w:r>
          </w:p>
        </w:tc>
      </w:tr>
    </w:tbl>
    <w:p>
      <w:pPr>
        <w:pStyle w:val="6"/>
        <w:ind w:firstLine="482"/>
      </w:pPr>
      <w:bookmarkStart w:id="275" w:name="_Toc25902_WPSOffice_Level2"/>
      <w:bookmarkStart w:id="276" w:name="_Toc8843_WPSOffice_Level2"/>
      <w:bookmarkStart w:id="277" w:name="_Toc30920"/>
      <w:bookmarkStart w:id="278" w:name="_Toc26211"/>
      <w:r>
        <w:t>1.5.2</w:t>
      </w:r>
      <w:r>
        <w:rPr>
          <w:rFonts w:hint="eastAsia"/>
        </w:rPr>
        <w:t>、</w:t>
      </w:r>
      <w:r>
        <w:t>评价因子筛选</w:t>
      </w:r>
      <w:bookmarkEnd w:id="275"/>
      <w:bookmarkEnd w:id="276"/>
      <w:bookmarkEnd w:id="277"/>
      <w:bookmarkEnd w:id="278"/>
    </w:p>
    <w:p>
      <w:pPr>
        <w:ind w:firstLine="480"/>
      </w:pPr>
      <w:r>
        <w:t>根据项目特点结合项目所在区域的环境特征，经筛选，确定本项目现状评价因子及预测评价因子，具体见表</w:t>
      </w:r>
      <w:r>
        <w:rPr>
          <w:rFonts w:hint="eastAsia"/>
        </w:rPr>
        <w:t>1.3</w:t>
      </w:r>
      <w:r>
        <w:t>。</w:t>
      </w:r>
    </w:p>
    <w:p>
      <w:pPr>
        <w:spacing w:line="240" w:lineRule="auto"/>
        <w:ind w:firstLine="482"/>
        <w:jc w:val="center"/>
      </w:pPr>
      <w:r>
        <w:rPr>
          <w:b/>
          <w:bCs/>
        </w:rPr>
        <w:t>表</w:t>
      </w:r>
      <w:r>
        <w:rPr>
          <w:rFonts w:hint="eastAsia"/>
          <w:b/>
          <w:bCs/>
        </w:rPr>
        <w:t>1.3</w:t>
      </w:r>
      <w:r>
        <w:rPr>
          <w:b/>
          <w:bCs/>
        </w:rPr>
        <w:t xml:space="preserve"> </w:t>
      </w:r>
      <w:r>
        <w:rPr>
          <w:rFonts w:hint="eastAsia"/>
          <w:b/>
          <w:bCs/>
        </w:rPr>
        <w:t xml:space="preserve">  </w:t>
      </w:r>
      <w:r>
        <w:rPr>
          <w:b/>
          <w:bCs/>
        </w:rPr>
        <w:t xml:space="preserve"> 环境影响评价因子</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406"/>
        <w:gridCol w:w="494"/>
        <w:gridCol w:w="4054"/>
        <w:gridCol w:w="2123"/>
        <w:gridCol w:w="2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43" w:type="pc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452"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要素</w:t>
            </w:r>
          </w:p>
        </w:tc>
        <w:tc>
          <w:tcPr>
            <w:tcW w:w="2036" w:type="pct"/>
            <w:tcBorders>
              <w:tl2br w:val="nil"/>
              <w:tr2bl w:val="nil"/>
            </w:tcBorders>
            <w:vAlign w:val="center"/>
          </w:tcPr>
          <w:p>
            <w:pPr>
              <w:spacing w:line="240" w:lineRule="auto"/>
              <w:ind w:firstLine="0" w:firstLineChars="0"/>
              <w:jc w:val="center"/>
              <w:rPr>
                <w:b/>
                <w:bCs/>
                <w:sz w:val="21"/>
                <w:szCs w:val="21"/>
              </w:rPr>
            </w:pPr>
            <w:r>
              <w:rPr>
                <w:b/>
                <w:bCs/>
                <w:sz w:val="21"/>
                <w:szCs w:val="21"/>
              </w:rPr>
              <w:t>现状评价因子</w:t>
            </w:r>
          </w:p>
        </w:tc>
        <w:tc>
          <w:tcPr>
            <w:tcW w:w="1066" w:type="pct"/>
            <w:tcBorders>
              <w:tl2br w:val="nil"/>
              <w:tr2bl w:val="nil"/>
            </w:tcBorders>
            <w:vAlign w:val="center"/>
          </w:tcPr>
          <w:p>
            <w:pPr>
              <w:spacing w:line="240" w:lineRule="auto"/>
              <w:ind w:firstLine="0" w:firstLineChars="0"/>
              <w:jc w:val="center"/>
              <w:rPr>
                <w:b/>
                <w:bCs/>
                <w:sz w:val="21"/>
                <w:szCs w:val="21"/>
              </w:rPr>
            </w:pPr>
            <w:r>
              <w:rPr>
                <w:b/>
                <w:bCs/>
                <w:sz w:val="21"/>
                <w:szCs w:val="21"/>
              </w:rPr>
              <w:t>污染源评价</w:t>
            </w:r>
            <w:r>
              <w:rPr>
                <w:rFonts w:hint="eastAsia"/>
                <w:b/>
                <w:bCs/>
                <w:sz w:val="21"/>
                <w:szCs w:val="21"/>
              </w:rPr>
              <w:t>因子</w:t>
            </w:r>
          </w:p>
        </w:tc>
        <w:tc>
          <w:tcPr>
            <w:tcW w:w="1102" w:type="pct"/>
            <w:tcBorders>
              <w:tl2br w:val="nil"/>
              <w:tr2bl w:val="nil"/>
            </w:tcBorders>
            <w:vAlign w:val="center"/>
          </w:tcPr>
          <w:p>
            <w:pPr>
              <w:spacing w:line="240" w:lineRule="auto"/>
              <w:ind w:firstLine="0" w:firstLineChars="0"/>
              <w:jc w:val="center"/>
              <w:rPr>
                <w:rFonts w:ascii="Times New Roman" w:hAnsi="Times New Roman" w:eastAsia="宋体" w:cs="Times New Roman"/>
                <w:b/>
                <w:bCs/>
                <w:kern w:val="2"/>
                <w:sz w:val="21"/>
                <w:szCs w:val="21"/>
                <w:lang w:val="en-US" w:eastAsia="zh-CN" w:bidi="ar-SA"/>
              </w:rPr>
            </w:pPr>
            <w:r>
              <w:rPr>
                <w:b/>
                <w:bCs/>
                <w:sz w:val="21"/>
                <w:szCs w:val="21"/>
              </w:rPr>
              <w:t>预测评价因子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restart"/>
            <w:tcBorders>
              <w:tl2br w:val="nil"/>
              <w:tr2bl w:val="nil"/>
            </w:tcBorders>
            <w:vAlign w:val="center"/>
          </w:tcPr>
          <w:p>
            <w:pPr>
              <w:spacing w:line="240" w:lineRule="auto"/>
              <w:ind w:firstLine="0" w:firstLineChars="0"/>
              <w:jc w:val="center"/>
              <w:rPr>
                <w:sz w:val="21"/>
                <w:szCs w:val="21"/>
              </w:rPr>
            </w:pPr>
            <w:r>
              <w:rPr>
                <w:sz w:val="21"/>
                <w:szCs w:val="21"/>
              </w:rPr>
              <w:t>项目污染物</w:t>
            </w:r>
          </w:p>
        </w:tc>
        <w:tc>
          <w:tcPr>
            <w:tcW w:w="452" w:type="pct"/>
            <w:gridSpan w:val="2"/>
            <w:tcBorders>
              <w:tl2br w:val="nil"/>
              <w:tr2bl w:val="nil"/>
            </w:tcBorders>
            <w:vAlign w:val="center"/>
          </w:tcPr>
          <w:p>
            <w:pPr>
              <w:spacing w:line="240" w:lineRule="auto"/>
              <w:ind w:firstLine="0" w:firstLineChars="0"/>
              <w:jc w:val="center"/>
              <w:rPr>
                <w:sz w:val="21"/>
                <w:szCs w:val="21"/>
              </w:rPr>
            </w:pPr>
            <w:r>
              <w:rPr>
                <w:sz w:val="21"/>
                <w:szCs w:val="21"/>
              </w:rPr>
              <w:t>大气</w:t>
            </w:r>
          </w:p>
          <w:p>
            <w:pPr>
              <w:spacing w:line="240" w:lineRule="auto"/>
              <w:ind w:firstLine="0" w:firstLineChars="0"/>
              <w:jc w:val="center"/>
              <w:rPr>
                <w:sz w:val="21"/>
                <w:szCs w:val="21"/>
              </w:rPr>
            </w:pPr>
            <w:r>
              <w:rPr>
                <w:sz w:val="21"/>
                <w:szCs w:val="21"/>
              </w:rPr>
              <w:t>环境</w:t>
            </w:r>
          </w:p>
        </w:tc>
        <w:tc>
          <w:tcPr>
            <w:tcW w:w="2036" w:type="pct"/>
            <w:tcBorders>
              <w:tl2br w:val="nil"/>
              <w:tr2bl w:val="nil"/>
            </w:tcBorders>
            <w:vAlign w:val="center"/>
          </w:tcPr>
          <w:p>
            <w:pPr>
              <w:spacing w:line="240" w:lineRule="auto"/>
              <w:ind w:firstLine="0" w:firstLineChars="0"/>
              <w:jc w:val="center"/>
              <w:rPr>
                <w:rFonts w:hint="eastAsia" w:eastAsia="宋体"/>
                <w:sz w:val="21"/>
                <w:szCs w:val="21"/>
                <w:lang w:eastAsia="zh-CN"/>
              </w:rPr>
            </w:pPr>
            <w:r>
              <w:rPr>
                <w:sz w:val="21"/>
                <w:szCs w:val="21"/>
              </w:rPr>
              <w:t>SO</w:t>
            </w:r>
            <w:r>
              <w:rPr>
                <w:sz w:val="21"/>
                <w:szCs w:val="21"/>
                <w:vertAlign w:val="subscript"/>
              </w:rPr>
              <w:t>2</w:t>
            </w:r>
            <w:r>
              <w:rPr>
                <w:sz w:val="21"/>
                <w:szCs w:val="21"/>
              </w:rPr>
              <w:t>、NO</w:t>
            </w:r>
            <w:r>
              <w:rPr>
                <w:sz w:val="21"/>
                <w:szCs w:val="21"/>
                <w:vertAlign w:val="subscript"/>
              </w:rPr>
              <w:t>2</w:t>
            </w:r>
            <w:r>
              <w:rPr>
                <w:sz w:val="21"/>
                <w:szCs w:val="21"/>
              </w:rPr>
              <w:t>、PM</w:t>
            </w:r>
            <w:r>
              <w:rPr>
                <w:sz w:val="21"/>
                <w:szCs w:val="21"/>
                <w:vertAlign w:val="subscript"/>
              </w:rPr>
              <w:t>10</w:t>
            </w:r>
            <w:r>
              <w:rPr>
                <w:sz w:val="21"/>
                <w:szCs w:val="21"/>
              </w:rPr>
              <w:t>、PM</w:t>
            </w:r>
            <w:r>
              <w:rPr>
                <w:sz w:val="21"/>
                <w:szCs w:val="21"/>
                <w:vertAlign w:val="subscript"/>
              </w:rPr>
              <w:t>2.5</w:t>
            </w:r>
            <w:r>
              <w:rPr>
                <w:sz w:val="21"/>
                <w:szCs w:val="21"/>
              </w:rPr>
              <w:t>、CO、O</w:t>
            </w:r>
            <w:r>
              <w:rPr>
                <w:sz w:val="21"/>
                <w:szCs w:val="21"/>
                <w:vertAlign w:val="subscript"/>
              </w:rPr>
              <w:t>3</w:t>
            </w:r>
            <w:r>
              <w:rPr>
                <w:sz w:val="21"/>
                <w:szCs w:val="21"/>
              </w:rPr>
              <w:t>、NH</w:t>
            </w:r>
            <w:r>
              <w:rPr>
                <w:sz w:val="21"/>
                <w:szCs w:val="21"/>
                <w:vertAlign w:val="subscript"/>
              </w:rPr>
              <w:t>3</w:t>
            </w:r>
            <w:r>
              <w:rPr>
                <w:sz w:val="21"/>
                <w:szCs w:val="21"/>
              </w:rPr>
              <w:t>、H</w:t>
            </w:r>
            <w:r>
              <w:rPr>
                <w:sz w:val="21"/>
                <w:szCs w:val="21"/>
                <w:vertAlign w:val="subscript"/>
              </w:rPr>
              <w:t>2</w:t>
            </w:r>
            <w:r>
              <w:rPr>
                <w:sz w:val="21"/>
                <w:szCs w:val="21"/>
              </w:rPr>
              <w:t>S</w:t>
            </w:r>
            <w:r>
              <w:rPr>
                <w:rFonts w:hint="eastAsia"/>
                <w:sz w:val="21"/>
                <w:szCs w:val="21"/>
                <w:lang w:eastAsia="zh-CN"/>
              </w:rPr>
              <w:t>、</w:t>
            </w:r>
            <w:r>
              <w:rPr>
                <w:rFonts w:hint="eastAsia"/>
                <w:sz w:val="21"/>
                <w:szCs w:val="21"/>
                <w:lang w:val="en-US" w:eastAsia="zh-CN"/>
              </w:rPr>
              <w:t>臭气浓度</w:t>
            </w:r>
          </w:p>
        </w:tc>
        <w:tc>
          <w:tcPr>
            <w:tcW w:w="1066"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sz w:val="21"/>
                <w:szCs w:val="21"/>
              </w:rPr>
              <w:t>NH</w:t>
            </w:r>
            <w:r>
              <w:rPr>
                <w:sz w:val="21"/>
                <w:szCs w:val="21"/>
                <w:vertAlign w:val="subscript"/>
              </w:rPr>
              <w:t>3</w:t>
            </w:r>
            <w:r>
              <w:rPr>
                <w:sz w:val="21"/>
                <w:szCs w:val="21"/>
              </w:rPr>
              <w:t>、H</w:t>
            </w:r>
            <w:r>
              <w:rPr>
                <w:sz w:val="21"/>
                <w:szCs w:val="21"/>
                <w:vertAlign w:val="subscript"/>
              </w:rPr>
              <w:t>2</w:t>
            </w:r>
            <w:r>
              <w:rPr>
                <w:sz w:val="21"/>
                <w:szCs w:val="21"/>
              </w:rPr>
              <w:t>S</w:t>
            </w:r>
            <w:r>
              <w:rPr>
                <w:rFonts w:hint="eastAsia"/>
                <w:sz w:val="21"/>
                <w:szCs w:val="21"/>
                <w:lang w:eastAsia="zh-CN"/>
              </w:rPr>
              <w:t>、</w:t>
            </w:r>
            <w:r>
              <w:rPr>
                <w:rFonts w:hint="eastAsia"/>
                <w:sz w:val="21"/>
                <w:szCs w:val="21"/>
                <w:lang w:val="en-US" w:eastAsia="zh-CN"/>
              </w:rPr>
              <w:t>臭气浓度</w:t>
            </w:r>
          </w:p>
        </w:tc>
        <w:tc>
          <w:tcPr>
            <w:tcW w:w="1102" w:type="pct"/>
            <w:tcBorders>
              <w:tl2br w:val="nil"/>
              <w:tr2bl w:val="nil"/>
            </w:tcBorders>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sz w:val="21"/>
                <w:szCs w:val="21"/>
              </w:rPr>
              <w:t>NH</w:t>
            </w:r>
            <w:r>
              <w:rPr>
                <w:sz w:val="21"/>
                <w:szCs w:val="21"/>
                <w:vertAlign w:val="subscript"/>
              </w:rPr>
              <w:t>3</w:t>
            </w:r>
            <w:r>
              <w:rPr>
                <w:sz w:val="21"/>
                <w:szCs w:val="21"/>
              </w:rPr>
              <w:t>、H</w:t>
            </w:r>
            <w:r>
              <w:rPr>
                <w:sz w:val="21"/>
                <w:szCs w:val="21"/>
                <w:vertAlign w:val="subscript"/>
              </w:rPr>
              <w:t>2</w:t>
            </w:r>
            <w:r>
              <w:rPr>
                <w:sz w:val="21"/>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continue"/>
            <w:tcBorders>
              <w:tl2br w:val="nil"/>
              <w:tr2bl w:val="nil"/>
            </w:tcBorders>
            <w:vAlign w:val="center"/>
          </w:tcPr>
          <w:p>
            <w:pPr>
              <w:spacing w:line="240" w:lineRule="auto"/>
              <w:ind w:firstLine="0" w:firstLineChars="0"/>
              <w:jc w:val="center"/>
              <w:rPr>
                <w:sz w:val="21"/>
                <w:szCs w:val="21"/>
              </w:rPr>
            </w:pPr>
          </w:p>
        </w:tc>
        <w:tc>
          <w:tcPr>
            <w:tcW w:w="203" w:type="pct"/>
            <w:vMerge w:val="restart"/>
            <w:tcBorders>
              <w:tl2br w:val="nil"/>
              <w:tr2bl w:val="nil"/>
            </w:tcBorders>
            <w:vAlign w:val="center"/>
          </w:tcPr>
          <w:p>
            <w:pPr>
              <w:spacing w:line="240" w:lineRule="auto"/>
              <w:ind w:firstLine="0" w:firstLineChars="0"/>
              <w:jc w:val="center"/>
              <w:rPr>
                <w:sz w:val="21"/>
                <w:szCs w:val="21"/>
              </w:rPr>
            </w:pPr>
            <w:r>
              <w:rPr>
                <w:sz w:val="21"/>
                <w:szCs w:val="21"/>
              </w:rPr>
              <w:t>水环境</w:t>
            </w:r>
          </w:p>
        </w:tc>
        <w:tc>
          <w:tcPr>
            <w:tcW w:w="248" w:type="pct"/>
            <w:tcBorders>
              <w:tl2br w:val="nil"/>
              <w:tr2bl w:val="nil"/>
            </w:tcBorders>
            <w:vAlign w:val="center"/>
          </w:tcPr>
          <w:p>
            <w:pPr>
              <w:spacing w:line="240" w:lineRule="auto"/>
              <w:ind w:firstLine="0" w:firstLineChars="0"/>
              <w:jc w:val="center"/>
              <w:rPr>
                <w:sz w:val="21"/>
                <w:szCs w:val="21"/>
              </w:rPr>
            </w:pPr>
            <w:r>
              <w:rPr>
                <w:sz w:val="21"/>
                <w:szCs w:val="21"/>
              </w:rPr>
              <w:t>地表水</w:t>
            </w:r>
          </w:p>
        </w:tc>
        <w:tc>
          <w:tcPr>
            <w:tcW w:w="2036" w:type="pct"/>
            <w:tcBorders>
              <w:tl2br w:val="nil"/>
              <w:tr2bl w:val="nil"/>
            </w:tcBorders>
            <w:vAlign w:val="center"/>
          </w:tcPr>
          <w:p>
            <w:pPr>
              <w:spacing w:line="240" w:lineRule="auto"/>
              <w:ind w:firstLine="0" w:firstLineChars="0"/>
              <w:jc w:val="center"/>
              <w:rPr>
                <w:sz w:val="21"/>
                <w:szCs w:val="21"/>
              </w:rPr>
            </w:pPr>
            <w:r>
              <w:rPr>
                <w:rFonts w:hint="eastAsia"/>
                <w:sz w:val="21"/>
                <w:szCs w:val="21"/>
              </w:rPr>
              <w:t>水温、pH、溶解氧、高锰酸盐指数、化学需氧量、生化需氧量、氨氮、总磷、总氮、铜、锌、氟化物、硒、砷、汞、镉、六价铬、铅、氰化物、挥发酚、石油类、阴离子表面活性剂、硫化物、粪大肠菌群类</w:t>
            </w:r>
            <w:r>
              <w:rPr>
                <w:sz w:val="21"/>
                <w:szCs w:val="21"/>
              </w:rPr>
              <w:t>等</w:t>
            </w:r>
          </w:p>
        </w:tc>
        <w:tc>
          <w:tcPr>
            <w:tcW w:w="1066" w:type="pct"/>
            <w:tcBorders>
              <w:tl2br w:val="nil"/>
              <w:tr2bl w:val="nil"/>
            </w:tcBorders>
            <w:vAlign w:val="center"/>
          </w:tcPr>
          <w:p>
            <w:pPr>
              <w:spacing w:line="240" w:lineRule="auto"/>
              <w:ind w:firstLine="0" w:firstLineChars="0"/>
              <w:jc w:val="center"/>
              <w:rPr>
                <w:rFonts w:hint="eastAsia" w:eastAsia="宋体"/>
                <w:sz w:val="21"/>
                <w:szCs w:val="21"/>
                <w:lang w:val="en-US" w:eastAsia="zh-CN"/>
              </w:rPr>
            </w:pPr>
            <w:r>
              <w:rPr>
                <w:rFonts w:hint="eastAsia" w:eastAsia="宋体"/>
                <w:sz w:val="21"/>
                <w:szCs w:val="21"/>
                <w:lang w:val="en-US" w:eastAsia="zh-CN"/>
              </w:rPr>
              <w:t>pH、CODcr、BOD</w:t>
            </w:r>
            <w:r>
              <w:rPr>
                <w:rFonts w:hint="eastAsia" w:eastAsia="宋体"/>
                <w:sz w:val="21"/>
                <w:szCs w:val="21"/>
                <w:vertAlign w:val="subscript"/>
                <w:lang w:val="en-US" w:eastAsia="zh-CN"/>
              </w:rPr>
              <w:t>5</w:t>
            </w:r>
            <w:r>
              <w:rPr>
                <w:rFonts w:hint="eastAsia" w:eastAsia="宋体"/>
                <w:sz w:val="21"/>
                <w:szCs w:val="21"/>
                <w:lang w:val="en-US" w:eastAsia="zh-CN"/>
              </w:rPr>
              <w:t>、SS、氨氮</w:t>
            </w:r>
            <w:r>
              <w:rPr>
                <w:rFonts w:hint="eastAsia"/>
                <w:sz w:val="21"/>
                <w:szCs w:val="21"/>
                <w:lang w:val="en-US" w:eastAsia="zh-CN"/>
              </w:rPr>
              <w:t>、大肠杆菌数、动植物油</w:t>
            </w:r>
          </w:p>
        </w:tc>
        <w:tc>
          <w:tcPr>
            <w:tcW w:w="110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continue"/>
            <w:tcBorders>
              <w:tl2br w:val="nil"/>
              <w:tr2bl w:val="nil"/>
            </w:tcBorders>
            <w:vAlign w:val="center"/>
          </w:tcPr>
          <w:p>
            <w:pPr>
              <w:spacing w:line="240" w:lineRule="auto"/>
              <w:ind w:firstLine="0" w:firstLineChars="0"/>
              <w:jc w:val="center"/>
              <w:rPr>
                <w:sz w:val="21"/>
                <w:szCs w:val="21"/>
              </w:rPr>
            </w:pPr>
          </w:p>
        </w:tc>
        <w:tc>
          <w:tcPr>
            <w:tcW w:w="203" w:type="pct"/>
            <w:vMerge w:val="continue"/>
            <w:tcBorders>
              <w:tl2br w:val="nil"/>
              <w:tr2bl w:val="nil"/>
            </w:tcBorders>
            <w:vAlign w:val="center"/>
          </w:tcPr>
          <w:p>
            <w:pPr>
              <w:spacing w:line="240" w:lineRule="auto"/>
              <w:ind w:firstLine="0" w:firstLineChars="0"/>
              <w:jc w:val="center"/>
              <w:rPr>
                <w:sz w:val="21"/>
                <w:szCs w:val="21"/>
              </w:rPr>
            </w:pPr>
          </w:p>
        </w:tc>
        <w:tc>
          <w:tcPr>
            <w:tcW w:w="248" w:type="pct"/>
            <w:tcBorders>
              <w:tl2br w:val="nil"/>
              <w:tr2bl w:val="nil"/>
            </w:tcBorders>
            <w:vAlign w:val="center"/>
          </w:tcPr>
          <w:p>
            <w:pPr>
              <w:spacing w:line="240" w:lineRule="auto"/>
              <w:ind w:firstLine="0" w:firstLineChars="0"/>
              <w:jc w:val="center"/>
              <w:rPr>
                <w:sz w:val="21"/>
                <w:szCs w:val="21"/>
              </w:rPr>
            </w:pPr>
            <w:r>
              <w:rPr>
                <w:sz w:val="21"/>
                <w:szCs w:val="21"/>
              </w:rPr>
              <w:t>地下水</w:t>
            </w:r>
          </w:p>
        </w:tc>
        <w:tc>
          <w:tcPr>
            <w:tcW w:w="2036" w:type="pct"/>
            <w:tcBorders>
              <w:tl2br w:val="nil"/>
              <w:tr2bl w:val="nil"/>
            </w:tcBorders>
            <w:vAlign w:val="center"/>
          </w:tcPr>
          <w:p>
            <w:pPr>
              <w:spacing w:line="240" w:lineRule="atLeast"/>
              <w:ind w:firstLine="0" w:firstLineChars="0"/>
              <w:jc w:val="center"/>
              <w:rPr>
                <w:sz w:val="21"/>
                <w:szCs w:val="21"/>
              </w:rPr>
            </w:pPr>
            <w:r>
              <w:rPr>
                <w:sz w:val="21"/>
                <w:szCs w:val="21"/>
              </w:rPr>
              <w:t>色、嗅和味、浑浊度、肉眼可见物、pH</w:t>
            </w:r>
            <w:r>
              <w:rPr>
                <w:rFonts w:hint="eastAsia"/>
                <w:sz w:val="21"/>
                <w:szCs w:val="21"/>
                <w:lang w:val="en-US" w:eastAsia="zh-CN"/>
              </w:rPr>
              <w:t>值</w:t>
            </w:r>
            <w:r>
              <w:rPr>
                <w:sz w:val="21"/>
                <w:szCs w:val="21"/>
              </w:rPr>
              <w:t>、总硬度、溶解性总固体、硫酸盐、氯化物、铁、锰、铜、锌、铝、挥发性酚类、阴离子表面活性剂、耗氧量、氨氮、硫化物、钠、总大肠菌群、菌落总数、亚硝酸盐、硝酸盐、氰化物、氟化物、碘化物、汞、砷、硒、镉、铬（六价）、铅、三氯甲烷、四氯化碳、苯、甲苯等</w:t>
            </w:r>
            <w:r>
              <w:rPr>
                <w:rFonts w:hint="eastAsia"/>
                <w:sz w:val="21"/>
                <w:szCs w:val="21"/>
              </w:rPr>
              <w:t>；</w:t>
            </w:r>
            <w:r>
              <w:rPr>
                <w:sz w:val="21"/>
                <w:szCs w:val="21"/>
                <w:lang w:bidi="ar"/>
              </w:rPr>
              <w:t>K</w:t>
            </w:r>
            <w:r>
              <w:rPr>
                <w:sz w:val="21"/>
                <w:szCs w:val="21"/>
                <w:vertAlign w:val="superscript"/>
                <w:lang w:bidi="ar"/>
              </w:rPr>
              <w:t>+</w:t>
            </w:r>
            <w:r>
              <w:rPr>
                <w:sz w:val="21"/>
                <w:szCs w:val="21"/>
                <w:lang w:bidi="ar"/>
              </w:rPr>
              <w:t>、Na</w:t>
            </w:r>
            <w:r>
              <w:rPr>
                <w:sz w:val="21"/>
                <w:szCs w:val="21"/>
                <w:vertAlign w:val="superscript"/>
                <w:lang w:bidi="ar"/>
              </w:rPr>
              <w:t>+</w:t>
            </w:r>
            <w:r>
              <w:rPr>
                <w:sz w:val="21"/>
                <w:szCs w:val="21"/>
                <w:lang w:bidi="ar"/>
              </w:rPr>
              <w:t>、Ca</w:t>
            </w:r>
            <w:r>
              <w:rPr>
                <w:sz w:val="21"/>
                <w:szCs w:val="21"/>
                <w:vertAlign w:val="superscript"/>
                <w:lang w:bidi="ar"/>
              </w:rPr>
              <w:t>2+</w:t>
            </w:r>
            <w:r>
              <w:rPr>
                <w:sz w:val="21"/>
                <w:szCs w:val="21"/>
                <w:lang w:bidi="ar"/>
              </w:rPr>
              <w:t>、Mg</w:t>
            </w:r>
            <w:r>
              <w:rPr>
                <w:sz w:val="21"/>
                <w:szCs w:val="21"/>
                <w:vertAlign w:val="superscript"/>
                <w:lang w:bidi="ar"/>
              </w:rPr>
              <w:t>2-</w:t>
            </w:r>
            <w:r>
              <w:rPr>
                <w:sz w:val="21"/>
                <w:szCs w:val="21"/>
                <w:lang w:bidi="ar"/>
              </w:rPr>
              <w:t>、CO</w:t>
            </w:r>
            <w:r>
              <w:rPr>
                <w:sz w:val="21"/>
                <w:szCs w:val="21"/>
                <w:vertAlign w:val="subscript"/>
                <w:lang w:bidi="ar"/>
              </w:rPr>
              <w:t>3</w:t>
            </w:r>
            <w:r>
              <w:rPr>
                <w:sz w:val="21"/>
                <w:szCs w:val="21"/>
                <w:vertAlign w:val="superscript"/>
                <w:lang w:bidi="ar"/>
              </w:rPr>
              <w:t>2-</w:t>
            </w:r>
            <w:r>
              <w:rPr>
                <w:sz w:val="21"/>
                <w:szCs w:val="21"/>
                <w:lang w:bidi="ar"/>
              </w:rPr>
              <w:t>、HCO</w:t>
            </w:r>
            <w:r>
              <w:rPr>
                <w:sz w:val="21"/>
                <w:szCs w:val="21"/>
                <w:vertAlign w:val="subscript"/>
                <w:lang w:bidi="ar"/>
              </w:rPr>
              <w:t>3</w:t>
            </w:r>
            <w:r>
              <w:rPr>
                <w:sz w:val="21"/>
                <w:szCs w:val="21"/>
                <w:vertAlign w:val="superscript"/>
                <w:lang w:bidi="ar"/>
              </w:rPr>
              <w:t>-</w:t>
            </w:r>
            <w:r>
              <w:rPr>
                <w:sz w:val="21"/>
                <w:szCs w:val="21"/>
                <w:lang w:bidi="ar"/>
              </w:rPr>
              <w:t>、Cl</w:t>
            </w:r>
            <w:r>
              <w:rPr>
                <w:sz w:val="21"/>
                <w:szCs w:val="21"/>
                <w:vertAlign w:val="superscript"/>
                <w:lang w:bidi="ar"/>
              </w:rPr>
              <w:t>-</w:t>
            </w:r>
            <w:r>
              <w:rPr>
                <w:sz w:val="21"/>
                <w:szCs w:val="21"/>
                <w:lang w:bidi="ar"/>
              </w:rPr>
              <w:t>、SO</w:t>
            </w:r>
            <w:r>
              <w:rPr>
                <w:sz w:val="21"/>
                <w:szCs w:val="21"/>
                <w:vertAlign w:val="subscript"/>
                <w:lang w:bidi="ar"/>
              </w:rPr>
              <w:t>4</w:t>
            </w:r>
            <w:r>
              <w:rPr>
                <w:sz w:val="21"/>
                <w:szCs w:val="21"/>
                <w:vertAlign w:val="superscript"/>
                <w:lang w:bidi="ar"/>
              </w:rPr>
              <w:t>2-</w:t>
            </w:r>
          </w:p>
        </w:tc>
        <w:tc>
          <w:tcPr>
            <w:tcW w:w="1066" w:type="pct"/>
            <w:tcBorders>
              <w:tl2br w:val="nil"/>
              <w:tr2bl w:val="nil"/>
            </w:tcBorders>
            <w:vAlign w:val="center"/>
          </w:tcPr>
          <w:p>
            <w:pPr>
              <w:spacing w:line="240" w:lineRule="auto"/>
              <w:ind w:firstLine="0" w:firstLineChars="0"/>
              <w:jc w:val="center"/>
              <w:rPr>
                <w:rFonts w:hint="eastAsia" w:eastAsia="宋体"/>
                <w:sz w:val="21"/>
                <w:szCs w:val="21"/>
                <w:lang w:val="en-US" w:eastAsia="zh-CN"/>
              </w:rPr>
            </w:pPr>
            <w:r>
              <w:rPr>
                <w:rFonts w:hint="eastAsia" w:eastAsia="宋体"/>
                <w:sz w:val="21"/>
                <w:szCs w:val="21"/>
                <w:lang w:val="en-US" w:eastAsia="zh-CN"/>
              </w:rPr>
              <w:t>pH、</w:t>
            </w:r>
            <w:r>
              <w:rPr>
                <w:rFonts w:hint="eastAsia"/>
                <w:sz w:val="21"/>
                <w:szCs w:val="21"/>
              </w:rPr>
              <w:t>耗氧量</w:t>
            </w:r>
            <w:r>
              <w:rPr>
                <w:rFonts w:hint="eastAsia" w:eastAsia="宋体"/>
                <w:sz w:val="21"/>
                <w:szCs w:val="21"/>
                <w:lang w:val="en-US" w:eastAsia="zh-CN"/>
              </w:rPr>
              <w:t>、</w:t>
            </w:r>
            <w:r>
              <w:rPr>
                <w:sz w:val="21"/>
                <w:szCs w:val="21"/>
              </w:rPr>
              <w:t>溶解性总固体</w:t>
            </w:r>
            <w:r>
              <w:rPr>
                <w:rFonts w:hint="eastAsia" w:eastAsia="宋体"/>
                <w:sz w:val="21"/>
                <w:szCs w:val="21"/>
                <w:lang w:val="en-US" w:eastAsia="zh-CN"/>
              </w:rPr>
              <w:t>、氨氮</w:t>
            </w:r>
            <w:r>
              <w:rPr>
                <w:rFonts w:hint="eastAsia"/>
                <w:sz w:val="21"/>
                <w:szCs w:val="21"/>
                <w:lang w:val="en-US" w:eastAsia="zh-CN"/>
              </w:rPr>
              <w:t>、</w:t>
            </w:r>
            <w:r>
              <w:rPr>
                <w:sz w:val="21"/>
                <w:szCs w:val="21"/>
              </w:rPr>
              <w:t>总大肠菌群</w:t>
            </w:r>
            <w:r>
              <w:rPr>
                <w:rFonts w:hint="eastAsia"/>
                <w:sz w:val="21"/>
                <w:szCs w:val="21"/>
                <w:lang w:val="en-US" w:eastAsia="zh-CN"/>
              </w:rPr>
              <w:t>、</w:t>
            </w:r>
            <w:r>
              <w:rPr>
                <w:sz w:val="21"/>
                <w:szCs w:val="21"/>
              </w:rPr>
              <w:t>阴离子表面活性剂</w:t>
            </w:r>
            <w:r>
              <w:rPr>
                <w:rFonts w:hint="eastAsia"/>
                <w:sz w:val="21"/>
                <w:szCs w:val="21"/>
                <w:lang w:val="en-US" w:eastAsia="zh-CN"/>
              </w:rPr>
              <w:t>等</w:t>
            </w:r>
          </w:p>
        </w:tc>
        <w:tc>
          <w:tcPr>
            <w:tcW w:w="1102" w:type="pct"/>
            <w:tcBorders>
              <w:tl2br w:val="nil"/>
              <w:tr2bl w:val="nil"/>
            </w:tcBorders>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sz w:val="21"/>
                <w:szCs w:val="21"/>
              </w:rPr>
              <w:t>NH</w:t>
            </w:r>
            <w:r>
              <w:rPr>
                <w:sz w:val="21"/>
                <w:szCs w:val="21"/>
                <w:vertAlign w:val="subscript"/>
              </w:rPr>
              <w:t>3</w:t>
            </w:r>
            <w:r>
              <w:rPr>
                <w:sz w:val="21"/>
                <w:szCs w:val="21"/>
              </w:rPr>
              <w:t>-N、CODcr</w:t>
            </w:r>
            <w:r>
              <w:rPr>
                <w:rFonts w:hint="eastAsia"/>
                <w:sz w:val="21"/>
                <w:szCs w:val="21"/>
              </w:rPr>
              <w:t>（以耗氧量计）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continue"/>
            <w:tcBorders>
              <w:tl2br w:val="nil"/>
              <w:tr2bl w:val="nil"/>
            </w:tcBorders>
            <w:vAlign w:val="center"/>
          </w:tcPr>
          <w:p>
            <w:pPr>
              <w:spacing w:line="240" w:lineRule="auto"/>
              <w:ind w:firstLine="0" w:firstLineChars="0"/>
              <w:jc w:val="center"/>
              <w:rPr>
                <w:sz w:val="21"/>
                <w:szCs w:val="21"/>
              </w:rPr>
            </w:pPr>
          </w:p>
        </w:tc>
        <w:tc>
          <w:tcPr>
            <w:tcW w:w="452" w:type="pct"/>
            <w:gridSpan w:val="2"/>
            <w:tcBorders>
              <w:tl2br w:val="nil"/>
              <w:tr2bl w:val="nil"/>
            </w:tcBorders>
            <w:vAlign w:val="center"/>
          </w:tcPr>
          <w:p>
            <w:pPr>
              <w:spacing w:line="240" w:lineRule="auto"/>
              <w:ind w:firstLine="0" w:firstLineChars="0"/>
              <w:jc w:val="center"/>
              <w:rPr>
                <w:sz w:val="21"/>
                <w:szCs w:val="21"/>
              </w:rPr>
            </w:pPr>
            <w:r>
              <w:rPr>
                <w:sz w:val="21"/>
                <w:szCs w:val="21"/>
              </w:rPr>
              <w:t>声环境</w:t>
            </w:r>
          </w:p>
        </w:tc>
        <w:tc>
          <w:tcPr>
            <w:tcW w:w="2036" w:type="pct"/>
            <w:tcBorders>
              <w:tl2br w:val="nil"/>
              <w:tr2bl w:val="nil"/>
            </w:tcBorders>
            <w:vAlign w:val="center"/>
          </w:tcPr>
          <w:p>
            <w:pPr>
              <w:spacing w:line="240" w:lineRule="auto"/>
              <w:ind w:firstLine="0" w:firstLineChars="0"/>
              <w:jc w:val="center"/>
              <w:rPr>
                <w:sz w:val="21"/>
                <w:szCs w:val="21"/>
              </w:rPr>
            </w:pPr>
            <w:r>
              <w:rPr>
                <w:sz w:val="21"/>
                <w:szCs w:val="21"/>
              </w:rPr>
              <w:t>昼间等效A声级（Ld）、夜间等效A声级（Ln）</w:t>
            </w:r>
          </w:p>
        </w:tc>
        <w:tc>
          <w:tcPr>
            <w:tcW w:w="1066" w:type="pct"/>
            <w:tcBorders>
              <w:tl2br w:val="nil"/>
              <w:tr2bl w:val="nil"/>
            </w:tcBorders>
            <w:vAlign w:val="center"/>
          </w:tcPr>
          <w:p>
            <w:pPr>
              <w:spacing w:line="240" w:lineRule="auto"/>
              <w:ind w:firstLine="0" w:firstLineChars="0"/>
              <w:jc w:val="center"/>
              <w:rPr>
                <w:sz w:val="21"/>
                <w:szCs w:val="21"/>
              </w:rPr>
            </w:pPr>
            <w:r>
              <w:rPr>
                <w:sz w:val="21"/>
                <w:szCs w:val="21"/>
              </w:rPr>
              <w:t>昼间</w:t>
            </w:r>
            <w:r>
              <w:rPr>
                <w:rFonts w:hint="eastAsia"/>
                <w:sz w:val="21"/>
                <w:szCs w:val="21"/>
                <w:lang w:eastAsia="zh-CN"/>
              </w:rPr>
              <w:t>、</w:t>
            </w:r>
            <w:r>
              <w:rPr>
                <w:rFonts w:hint="eastAsia"/>
                <w:sz w:val="21"/>
                <w:szCs w:val="21"/>
                <w:lang w:val="en-US" w:eastAsia="zh-CN"/>
              </w:rPr>
              <w:t>夜间</w:t>
            </w:r>
            <w:r>
              <w:rPr>
                <w:sz w:val="21"/>
                <w:szCs w:val="21"/>
              </w:rPr>
              <w:t>等效A声级（Ld）</w:t>
            </w:r>
          </w:p>
        </w:tc>
        <w:tc>
          <w:tcPr>
            <w:tcW w:w="1102" w:type="pct"/>
            <w:tcBorders>
              <w:tl2br w:val="nil"/>
              <w:tr2bl w:val="nil"/>
            </w:tcBorders>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kern w:val="2"/>
                <w:sz w:val="21"/>
                <w:szCs w:val="21"/>
                <w:lang w:val="en-US" w:eastAsia="zh-CN" w:bidi="ar-SA"/>
              </w:rPr>
              <w:t>昼间</w:t>
            </w:r>
            <w:r>
              <w:rPr>
                <w:rFonts w:hint="eastAsia"/>
                <w:sz w:val="21"/>
                <w:szCs w:val="21"/>
                <w:lang w:eastAsia="zh-CN"/>
              </w:rPr>
              <w:t>、</w:t>
            </w:r>
            <w:r>
              <w:rPr>
                <w:rFonts w:hint="eastAsia"/>
                <w:sz w:val="21"/>
                <w:szCs w:val="21"/>
                <w:lang w:val="en-US" w:eastAsia="zh-CN"/>
              </w:rPr>
              <w:t>夜间</w:t>
            </w:r>
            <w:r>
              <w:rPr>
                <w:rFonts w:ascii="Times New Roman" w:hAnsi="Times New Roman" w:eastAsia="宋体" w:cs="Times New Roman"/>
                <w:kern w:val="2"/>
                <w:sz w:val="21"/>
                <w:szCs w:val="21"/>
                <w:lang w:val="en-US" w:eastAsia="zh-CN" w:bidi="ar-SA"/>
              </w:rPr>
              <w:t>等效A声级（Ld）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continue"/>
            <w:tcBorders>
              <w:tl2br w:val="nil"/>
              <w:tr2bl w:val="nil"/>
            </w:tcBorders>
            <w:vAlign w:val="center"/>
          </w:tcPr>
          <w:p>
            <w:pPr>
              <w:spacing w:line="240" w:lineRule="auto"/>
              <w:ind w:firstLine="0" w:firstLineChars="0"/>
              <w:jc w:val="center"/>
              <w:rPr>
                <w:sz w:val="21"/>
                <w:szCs w:val="21"/>
              </w:rPr>
            </w:pPr>
          </w:p>
        </w:tc>
        <w:tc>
          <w:tcPr>
            <w:tcW w:w="452" w:type="pct"/>
            <w:gridSpan w:val="2"/>
            <w:tcBorders>
              <w:tl2br w:val="nil"/>
              <w:tr2bl w:val="nil"/>
            </w:tcBorders>
            <w:vAlign w:val="center"/>
          </w:tcPr>
          <w:p>
            <w:pPr>
              <w:spacing w:line="240" w:lineRule="auto"/>
              <w:ind w:firstLine="0" w:firstLineChars="0"/>
              <w:jc w:val="center"/>
              <w:rPr>
                <w:sz w:val="21"/>
                <w:szCs w:val="21"/>
              </w:rPr>
            </w:pPr>
            <w:r>
              <w:rPr>
                <w:sz w:val="21"/>
                <w:szCs w:val="21"/>
              </w:rPr>
              <w:t>固体废物环境</w:t>
            </w:r>
          </w:p>
        </w:tc>
        <w:tc>
          <w:tcPr>
            <w:tcW w:w="2036"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066" w:type="pct"/>
            <w:tcBorders>
              <w:tl2br w:val="nil"/>
              <w:tr2bl w:val="nil"/>
            </w:tcBorders>
            <w:vAlign w:val="center"/>
          </w:tcPr>
          <w:p>
            <w:pPr>
              <w:spacing w:line="240" w:lineRule="auto"/>
              <w:ind w:firstLine="0" w:firstLineChars="0"/>
              <w:jc w:val="center"/>
              <w:rPr>
                <w:rFonts w:hint="eastAsia" w:eastAsia="宋体"/>
                <w:sz w:val="21"/>
                <w:szCs w:val="21"/>
                <w:lang w:val="en-US" w:eastAsia="zh-CN"/>
              </w:rPr>
            </w:pPr>
            <w:r>
              <w:rPr>
                <w:rFonts w:hint="eastAsia"/>
                <w:sz w:val="21"/>
                <w:szCs w:val="21"/>
              </w:rPr>
              <w:t>羊粪、屠宰固废、酱卤及蒸煮固废、择菜固废、废包装、生活垃圾、病死羊、废活性炭</w:t>
            </w:r>
          </w:p>
        </w:tc>
        <w:tc>
          <w:tcPr>
            <w:tcW w:w="110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rPr>
              <w:t>羊粪、屠宰固废、酱卤及蒸煮固废、择菜固废、废包装、生活垃圾、病死羊、废活性炭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continue"/>
            <w:tcBorders>
              <w:tl2br w:val="nil"/>
              <w:tr2bl w:val="nil"/>
            </w:tcBorders>
            <w:vAlign w:val="center"/>
          </w:tcPr>
          <w:p>
            <w:pPr>
              <w:spacing w:line="240" w:lineRule="auto"/>
              <w:ind w:firstLine="0" w:firstLineChars="0"/>
              <w:jc w:val="center"/>
              <w:rPr>
                <w:sz w:val="21"/>
                <w:szCs w:val="21"/>
              </w:rPr>
            </w:pPr>
            <w:bookmarkStart w:id="279" w:name="_Toc23300_WPSOffice_Level2"/>
            <w:bookmarkStart w:id="280" w:name="_Toc7383_WPSOffice_Level2"/>
            <w:bookmarkStart w:id="281" w:name="_Toc25691"/>
          </w:p>
        </w:tc>
        <w:tc>
          <w:tcPr>
            <w:tcW w:w="452" w:type="pct"/>
            <w:gridSpan w:val="2"/>
            <w:tcBorders>
              <w:tl2br w:val="nil"/>
              <w:tr2bl w:val="nil"/>
            </w:tcBorders>
            <w:vAlign w:val="center"/>
          </w:tcPr>
          <w:p>
            <w:pPr>
              <w:spacing w:line="240" w:lineRule="auto"/>
              <w:ind w:firstLine="0" w:firstLineChars="0"/>
              <w:jc w:val="center"/>
              <w:rPr>
                <w:sz w:val="21"/>
                <w:szCs w:val="21"/>
              </w:rPr>
            </w:pPr>
            <w:r>
              <w:rPr>
                <w:sz w:val="21"/>
                <w:szCs w:val="21"/>
              </w:rPr>
              <w:t>生态</w:t>
            </w:r>
          </w:p>
        </w:tc>
        <w:tc>
          <w:tcPr>
            <w:tcW w:w="2036" w:type="pct"/>
            <w:tcBorders>
              <w:tl2br w:val="nil"/>
              <w:tr2bl w:val="nil"/>
            </w:tcBorders>
            <w:vAlign w:val="center"/>
          </w:tcPr>
          <w:p>
            <w:pPr>
              <w:spacing w:line="240" w:lineRule="atLeast"/>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物种、生境、生物群落、生物多样性</w:t>
            </w:r>
          </w:p>
        </w:tc>
        <w:tc>
          <w:tcPr>
            <w:tcW w:w="1066" w:type="pct"/>
            <w:tcBorders>
              <w:tl2br w:val="nil"/>
              <w:tr2bl w:val="nil"/>
            </w:tcBorders>
            <w:vAlign w:val="center"/>
          </w:tcPr>
          <w:p>
            <w:pPr>
              <w:spacing w:line="240" w:lineRule="atLeast"/>
              <w:ind w:firstLine="0" w:firstLineChars="0"/>
              <w:jc w:val="center"/>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w:t>
            </w:r>
          </w:p>
        </w:tc>
        <w:tc>
          <w:tcPr>
            <w:tcW w:w="110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物种、生境、生物群落、生物多样性</w:t>
            </w:r>
            <w:r>
              <w:rPr>
                <w:rFonts w:hint="eastAsia" w:cs="Times New Roman"/>
                <w:sz w:val="21"/>
                <w:szCs w:val="21"/>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3" w:type="pct"/>
            <w:vMerge w:val="continue"/>
            <w:tcBorders>
              <w:tl2br w:val="nil"/>
              <w:tr2bl w:val="nil"/>
            </w:tcBorders>
            <w:vAlign w:val="center"/>
          </w:tcPr>
          <w:p>
            <w:pPr>
              <w:spacing w:line="240" w:lineRule="auto"/>
              <w:ind w:firstLine="0" w:firstLineChars="0"/>
              <w:jc w:val="center"/>
              <w:rPr>
                <w:sz w:val="21"/>
                <w:szCs w:val="21"/>
              </w:rPr>
            </w:pPr>
          </w:p>
        </w:tc>
        <w:tc>
          <w:tcPr>
            <w:tcW w:w="452" w:type="pct"/>
            <w:gridSpan w:val="2"/>
            <w:tcBorders>
              <w:tl2br w:val="nil"/>
              <w:tr2bl w:val="nil"/>
            </w:tcBorders>
            <w:vAlign w:val="center"/>
          </w:tcPr>
          <w:p>
            <w:pPr>
              <w:spacing w:line="240" w:lineRule="auto"/>
              <w:ind w:firstLine="0" w:firstLineChars="0"/>
              <w:jc w:val="center"/>
              <w:rPr>
                <w:sz w:val="21"/>
                <w:szCs w:val="21"/>
              </w:rPr>
            </w:pPr>
            <w:r>
              <w:rPr>
                <w:sz w:val="21"/>
                <w:szCs w:val="21"/>
              </w:rPr>
              <w:t>环境</w:t>
            </w:r>
          </w:p>
          <w:p>
            <w:pPr>
              <w:spacing w:line="240" w:lineRule="auto"/>
              <w:ind w:firstLine="0" w:firstLineChars="0"/>
              <w:jc w:val="center"/>
              <w:rPr>
                <w:sz w:val="21"/>
                <w:szCs w:val="21"/>
              </w:rPr>
            </w:pPr>
            <w:r>
              <w:rPr>
                <w:sz w:val="21"/>
                <w:szCs w:val="21"/>
              </w:rPr>
              <w:t>风险</w:t>
            </w:r>
          </w:p>
        </w:tc>
        <w:tc>
          <w:tcPr>
            <w:tcW w:w="2036" w:type="pct"/>
            <w:tcBorders>
              <w:tl2br w:val="nil"/>
              <w:tr2bl w:val="nil"/>
            </w:tcBorders>
            <w:vAlign w:val="center"/>
          </w:tcPr>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w:t>
            </w:r>
          </w:p>
        </w:tc>
        <w:tc>
          <w:tcPr>
            <w:tcW w:w="1066" w:type="pct"/>
            <w:tcBorders>
              <w:tl2br w:val="nil"/>
              <w:tr2bl w:val="nil"/>
            </w:tcBorders>
            <w:vAlign w:val="center"/>
          </w:tcPr>
          <w:p>
            <w:pPr>
              <w:spacing w:line="240" w:lineRule="auto"/>
              <w:ind w:firstLine="0" w:firstLineChars="0"/>
              <w:jc w:val="center"/>
              <w:rPr>
                <w:rFonts w:hint="eastAsia" w:eastAsia="宋体"/>
                <w:sz w:val="21"/>
                <w:szCs w:val="21"/>
                <w:lang w:val="en-US" w:eastAsia="zh-CN"/>
              </w:rPr>
            </w:pPr>
            <w:r>
              <w:rPr>
                <w:rFonts w:hint="eastAsia"/>
                <w:sz w:val="21"/>
                <w:szCs w:val="21"/>
              </w:rPr>
              <w:t>地下水、土壤</w:t>
            </w:r>
          </w:p>
        </w:tc>
        <w:tc>
          <w:tcPr>
            <w:tcW w:w="110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w:t>
            </w:r>
          </w:p>
        </w:tc>
      </w:tr>
    </w:tbl>
    <w:p>
      <w:pPr>
        <w:pStyle w:val="6"/>
        <w:ind w:firstLine="482"/>
      </w:pPr>
      <w:bookmarkStart w:id="282" w:name="_Toc25250"/>
      <w:r>
        <w:t>1.5.3</w:t>
      </w:r>
      <w:r>
        <w:rPr>
          <w:rFonts w:hint="eastAsia"/>
        </w:rPr>
        <w:t>、</w:t>
      </w:r>
      <w:r>
        <w:t>评价标准</w:t>
      </w:r>
      <w:bookmarkEnd w:id="279"/>
      <w:bookmarkEnd w:id="280"/>
      <w:bookmarkEnd w:id="281"/>
      <w:bookmarkEnd w:id="282"/>
    </w:p>
    <w:p>
      <w:pPr>
        <w:pStyle w:val="7"/>
        <w:ind w:firstLine="482"/>
      </w:pPr>
      <w:bookmarkStart w:id="283" w:name="_Toc26923_WPSOffice_Level3"/>
      <w:bookmarkStart w:id="284" w:name="_Toc4398_WPSOffice_Level3"/>
      <w:bookmarkStart w:id="285" w:name="_Toc29551_WPSOffice_Level3"/>
      <w:bookmarkStart w:id="286" w:name="_Toc16486_WPSOffice_Level3"/>
      <w:bookmarkStart w:id="287" w:name="_Toc30647_WPSOffice_Level3"/>
      <w:bookmarkStart w:id="288" w:name="_Toc7786_WPSOffice_Level3"/>
      <w:bookmarkStart w:id="289" w:name="_Toc18998_WPSOffice_Level3"/>
      <w:r>
        <w:t>1.5.3.1</w:t>
      </w:r>
      <w:r>
        <w:rPr>
          <w:rFonts w:hint="eastAsia"/>
        </w:rPr>
        <w:t>、</w:t>
      </w:r>
      <w:r>
        <w:t>环境质量标准</w:t>
      </w:r>
      <w:bookmarkEnd w:id="283"/>
      <w:bookmarkEnd w:id="284"/>
      <w:bookmarkEnd w:id="285"/>
      <w:bookmarkEnd w:id="286"/>
      <w:bookmarkEnd w:id="287"/>
      <w:bookmarkEnd w:id="288"/>
      <w:bookmarkEnd w:id="289"/>
    </w:p>
    <w:p>
      <w:pPr>
        <w:ind w:firstLine="482"/>
        <w:rPr>
          <w:b/>
          <w:bCs/>
        </w:rPr>
      </w:pPr>
      <w:r>
        <w:rPr>
          <w:rFonts w:hint="eastAsia"/>
          <w:b/>
          <w:bCs/>
        </w:rPr>
        <w:t>1、</w:t>
      </w:r>
      <w:r>
        <w:rPr>
          <w:b/>
          <w:bCs/>
        </w:rPr>
        <w:t>环境空气</w:t>
      </w:r>
    </w:p>
    <w:p>
      <w:pPr>
        <w:ind w:firstLine="480"/>
      </w:pPr>
      <w:r>
        <w:t>环境空气质量执行国家《环境空气质量标准》（GB3095-2012）中二级标准，特征污染物NH</w:t>
      </w:r>
      <w:r>
        <w:rPr>
          <w:vertAlign w:val="subscript"/>
        </w:rPr>
        <w:t>3</w:t>
      </w:r>
      <w:r>
        <w:t>、H</w:t>
      </w:r>
      <w:r>
        <w:rPr>
          <w:vertAlign w:val="subscript"/>
        </w:rPr>
        <w:t>2</w:t>
      </w:r>
      <w:r>
        <w:t>S</w:t>
      </w:r>
      <w:r>
        <w:rPr>
          <w:rFonts w:hint="eastAsia"/>
        </w:rPr>
        <w:t>参照</w:t>
      </w:r>
      <w:r>
        <w:t>执行</w:t>
      </w:r>
      <w:r>
        <w:rPr>
          <w:rFonts w:hint="eastAsia"/>
        </w:rPr>
        <w:t>《环境影响评价技术导则-大气环境》（HJ2.2-2018）附录表D中的相关要求</w:t>
      </w:r>
      <w:r>
        <w:t>，具体限值见表</w:t>
      </w:r>
      <w:r>
        <w:rPr>
          <w:rFonts w:hint="eastAsia"/>
        </w:rPr>
        <w:t>1.4</w:t>
      </w:r>
      <w:r>
        <w:t>。</w:t>
      </w:r>
    </w:p>
    <w:p>
      <w:pPr>
        <w:spacing w:line="240" w:lineRule="auto"/>
        <w:ind w:firstLine="482"/>
        <w:jc w:val="center"/>
      </w:pPr>
      <w:r>
        <w:rPr>
          <w:b/>
          <w:bCs/>
        </w:rPr>
        <w:t>表</w:t>
      </w:r>
      <w:r>
        <w:rPr>
          <w:rFonts w:hint="eastAsia"/>
          <w:b/>
          <w:bCs/>
        </w:rPr>
        <w:t>1.4</w:t>
      </w:r>
      <w:r>
        <w:rPr>
          <w:b/>
          <w:bCs/>
        </w:rPr>
        <w:t xml:space="preserve"> </w:t>
      </w:r>
      <w:r>
        <w:rPr>
          <w:rFonts w:hint="eastAsia"/>
          <w:b/>
          <w:bCs/>
        </w:rPr>
        <w:t xml:space="preserve">  </w:t>
      </w:r>
      <w:r>
        <w:rPr>
          <w:b/>
          <w:bCs/>
        </w:rPr>
        <w:t xml:space="preserve"> 环境空气各项污染物的浓度限值</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1031"/>
        <w:gridCol w:w="1073"/>
        <w:gridCol w:w="2236"/>
        <w:gridCol w:w="1362"/>
        <w:gridCol w:w="2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评价因子</w:t>
            </w:r>
          </w:p>
        </w:tc>
        <w:tc>
          <w:tcPr>
            <w:tcW w:w="517"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单位</w:t>
            </w:r>
          </w:p>
        </w:tc>
        <w:tc>
          <w:tcPr>
            <w:tcW w:w="538"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年平均</w:t>
            </w:r>
          </w:p>
        </w:tc>
        <w:tc>
          <w:tcPr>
            <w:tcW w:w="1122"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24小时平均</w:t>
            </w:r>
          </w:p>
        </w:tc>
        <w:tc>
          <w:tcPr>
            <w:tcW w:w="683"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1小时平均</w:t>
            </w:r>
          </w:p>
        </w:tc>
        <w:tc>
          <w:tcPr>
            <w:tcW w:w="1496"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SO</w:t>
            </w:r>
            <w:r>
              <w:rPr>
                <w:sz w:val="21"/>
                <w:szCs w:val="21"/>
                <w:vertAlign w:val="subscript"/>
                <w:lang w:val="en-GB"/>
              </w:rPr>
              <w:t>2</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60</w:t>
            </w:r>
          </w:p>
        </w:tc>
        <w:tc>
          <w:tcPr>
            <w:tcW w:w="1122"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150</w:t>
            </w:r>
          </w:p>
        </w:tc>
        <w:tc>
          <w:tcPr>
            <w:tcW w:w="683"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500</w:t>
            </w:r>
          </w:p>
        </w:tc>
        <w:tc>
          <w:tcPr>
            <w:tcW w:w="1496" w:type="pct"/>
            <w:vMerge w:val="restart"/>
            <w:tcBorders>
              <w:tl2br w:val="nil"/>
              <w:tr2bl w:val="nil"/>
            </w:tcBorders>
            <w:vAlign w:val="center"/>
          </w:tcPr>
          <w:p>
            <w:pPr>
              <w:spacing w:line="240" w:lineRule="auto"/>
              <w:ind w:firstLine="0" w:firstLineChars="0"/>
              <w:jc w:val="center"/>
              <w:rPr>
                <w:sz w:val="21"/>
                <w:szCs w:val="21"/>
                <w:lang w:val="en-GB"/>
              </w:rPr>
            </w:pPr>
            <w:r>
              <w:rPr>
                <w:sz w:val="21"/>
                <w:szCs w:val="21"/>
                <w:lang w:val="en-GB"/>
              </w:rPr>
              <w:t>《环境空气质量标准》（GB3095-2012）中</w:t>
            </w:r>
            <w:r>
              <w:rPr>
                <w:rFonts w:hint="eastAsia"/>
                <w:sz w:val="21"/>
                <w:szCs w:val="21"/>
              </w:rPr>
              <w:t>的</w:t>
            </w:r>
            <w:r>
              <w:rPr>
                <w:sz w:val="21"/>
                <w:szCs w:val="21"/>
                <w:lang w:val="en-GB"/>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NO</w:t>
            </w:r>
            <w:r>
              <w:rPr>
                <w:sz w:val="21"/>
                <w:szCs w:val="21"/>
                <w:vertAlign w:val="subscript"/>
                <w:lang w:val="en-GB"/>
              </w:rPr>
              <w:t>2</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40</w:t>
            </w:r>
          </w:p>
        </w:tc>
        <w:tc>
          <w:tcPr>
            <w:tcW w:w="1122"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80</w:t>
            </w:r>
          </w:p>
        </w:tc>
        <w:tc>
          <w:tcPr>
            <w:tcW w:w="683"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200</w:t>
            </w:r>
          </w:p>
        </w:tc>
        <w:tc>
          <w:tcPr>
            <w:tcW w:w="1496" w:type="pct"/>
            <w:vMerge w:val="continue"/>
            <w:tcBorders>
              <w:tl2br w:val="nil"/>
              <w:tr2bl w:val="nil"/>
            </w:tcBorders>
            <w:vAlign w:val="center"/>
          </w:tcPr>
          <w:p>
            <w:pPr>
              <w:spacing w:line="240" w:lineRule="auto"/>
              <w:jc w:val="center"/>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PM</w:t>
            </w:r>
            <w:r>
              <w:rPr>
                <w:sz w:val="21"/>
                <w:szCs w:val="21"/>
                <w:vertAlign w:val="subscript"/>
                <w:lang w:val="en-GB"/>
              </w:rPr>
              <w:t>10</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70</w:t>
            </w:r>
          </w:p>
        </w:tc>
        <w:tc>
          <w:tcPr>
            <w:tcW w:w="1122"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150</w:t>
            </w:r>
          </w:p>
        </w:tc>
        <w:tc>
          <w:tcPr>
            <w:tcW w:w="683"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496" w:type="pct"/>
            <w:vMerge w:val="continue"/>
            <w:tcBorders>
              <w:tl2br w:val="nil"/>
              <w:tr2bl w:val="nil"/>
            </w:tcBorders>
            <w:vAlign w:val="center"/>
          </w:tcPr>
          <w:p>
            <w:pPr>
              <w:spacing w:line="240" w:lineRule="auto"/>
              <w:jc w:val="center"/>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PM</w:t>
            </w:r>
            <w:r>
              <w:rPr>
                <w:sz w:val="21"/>
                <w:szCs w:val="21"/>
                <w:vertAlign w:val="subscript"/>
                <w:lang w:val="en-GB"/>
              </w:rPr>
              <w:t>2.5</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35</w:t>
            </w:r>
          </w:p>
        </w:tc>
        <w:tc>
          <w:tcPr>
            <w:tcW w:w="1122"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75</w:t>
            </w:r>
          </w:p>
        </w:tc>
        <w:tc>
          <w:tcPr>
            <w:tcW w:w="683"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496" w:type="pct"/>
            <w:vMerge w:val="continue"/>
            <w:tcBorders>
              <w:tl2br w:val="nil"/>
              <w:tr2bl w:val="nil"/>
            </w:tcBorders>
            <w:vAlign w:val="center"/>
          </w:tcPr>
          <w:p>
            <w:pPr>
              <w:spacing w:line="240" w:lineRule="auto"/>
              <w:jc w:val="center"/>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rPr>
            </w:pPr>
            <w:r>
              <w:rPr>
                <w:sz w:val="21"/>
                <w:szCs w:val="21"/>
              </w:rPr>
              <w:t>CO</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mg/m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122" w:type="pct"/>
            <w:tcBorders>
              <w:tl2br w:val="nil"/>
              <w:tr2bl w:val="nil"/>
            </w:tcBorders>
            <w:vAlign w:val="center"/>
          </w:tcPr>
          <w:p>
            <w:pPr>
              <w:spacing w:line="240" w:lineRule="auto"/>
              <w:ind w:firstLine="0" w:firstLineChars="0"/>
              <w:jc w:val="center"/>
              <w:rPr>
                <w:sz w:val="21"/>
                <w:szCs w:val="21"/>
              </w:rPr>
            </w:pPr>
            <w:r>
              <w:rPr>
                <w:sz w:val="21"/>
                <w:szCs w:val="21"/>
              </w:rPr>
              <w:t>4</w:t>
            </w:r>
          </w:p>
        </w:tc>
        <w:tc>
          <w:tcPr>
            <w:tcW w:w="683" w:type="pct"/>
            <w:tcBorders>
              <w:tl2br w:val="nil"/>
              <w:tr2bl w:val="nil"/>
            </w:tcBorders>
            <w:vAlign w:val="center"/>
          </w:tcPr>
          <w:p>
            <w:pPr>
              <w:spacing w:line="240" w:lineRule="auto"/>
              <w:ind w:firstLine="0" w:firstLineChars="0"/>
              <w:jc w:val="center"/>
              <w:rPr>
                <w:sz w:val="21"/>
                <w:szCs w:val="21"/>
              </w:rPr>
            </w:pPr>
            <w:r>
              <w:rPr>
                <w:sz w:val="21"/>
                <w:szCs w:val="21"/>
              </w:rPr>
              <w:t>10</w:t>
            </w:r>
          </w:p>
        </w:tc>
        <w:tc>
          <w:tcPr>
            <w:tcW w:w="1496" w:type="pct"/>
            <w:vMerge w:val="continue"/>
            <w:tcBorders>
              <w:tl2br w:val="nil"/>
              <w:tr2bl w:val="nil"/>
            </w:tcBorders>
            <w:vAlign w:val="center"/>
          </w:tcPr>
          <w:p>
            <w:pPr>
              <w:spacing w:line="240" w:lineRule="auto"/>
              <w:jc w:val="center"/>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rPr>
            </w:pPr>
            <w:r>
              <w:rPr>
                <w:sz w:val="21"/>
                <w:szCs w:val="21"/>
              </w:rPr>
              <w:t>O</w:t>
            </w:r>
            <w:r>
              <w:rPr>
                <w:sz w:val="21"/>
                <w:szCs w:val="21"/>
                <w:vertAlign w:val="subscript"/>
              </w:rPr>
              <w:t>3</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122" w:type="pct"/>
            <w:tcBorders>
              <w:tl2br w:val="nil"/>
              <w:tr2bl w:val="nil"/>
            </w:tcBorders>
            <w:vAlign w:val="center"/>
          </w:tcPr>
          <w:p>
            <w:pPr>
              <w:spacing w:line="240" w:lineRule="auto"/>
              <w:ind w:firstLine="0" w:firstLineChars="0"/>
              <w:jc w:val="center"/>
              <w:rPr>
                <w:sz w:val="21"/>
                <w:szCs w:val="21"/>
              </w:rPr>
            </w:pPr>
            <w:r>
              <w:rPr>
                <w:sz w:val="21"/>
                <w:szCs w:val="21"/>
              </w:rPr>
              <w:t>160（日最大8h平均）</w:t>
            </w:r>
          </w:p>
        </w:tc>
        <w:tc>
          <w:tcPr>
            <w:tcW w:w="683" w:type="pct"/>
            <w:tcBorders>
              <w:tl2br w:val="nil"/>
              <w:tr2bl w:val="nil"/>
            </w:tcBorders>
            <w:vAlign w:val="center"/>
          </w:tcPr>
          <w:p>
            <w:pPr>
              <w:spacing w:line="240" w:lineRule="auto"/>
              <w:ind w:firstLine="0" w:firstLineChars="0"/>
              <w:jc w:val="center"/>
              <w:rPr>
                <w:sz w:val="21"/>
                <w:szCs w:val="21"/>
              </w:rPr>
            </w:pPr>
            <w:r>
              <w:rPr>
                <w:sz w:val="21"/>
                <w:szCs w:val="21"/>
              </w:rPr>
              <w:t>200</w:t>
            </w:r>
          </w:p>
        </w:tc>
        <w:tc>
          <w:tcPr>
            <w:tcW w:w="1496" w:type="pct"/>
            <w:vMerge w:val="continue"/>
            <w:tcBorders>
              <w:tl2br w:val="nil"/>
              <w:tr2bl w:val="nil"/>
            </w:tcBorders>
            <w:vAlign w:val="center"/>
          </w:tcPr>
          <w:p>
            <w:pPr>
              <w:spacing w:line="240" w:lineRule="auto"/>
              <w:jc w:val="center"/>
              <w:rPr>
                <w:sz w:val="21"/>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NH</w:t>
            </w:r>
            <w:r>
              <w:rPr>
                <w:sz w:val="21"/>
                <w:szCs w:val="21"/>
                <w:vertAlign w:val="subscript"/>
                <w:lang w:val="en-GB"/>
              </w:rPr>
              <w:t>3</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122"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683" w:type="pct"/>
            <w:tcBorders>
              <w:tl2br w:val="nil"/>
              <w:tr2bl w:val="nil"/>
            </w:tcBorders>
            <w:vAlign w:val="center"/>
          </w:tcPr>
          <w:p>
            <w:pPr>
              <w:spacing w:line="240" w:lineRule="auto"/>
              <w:ind w:firstLine="0" w:firstLineChars="0"/>
              <w:jc w:val="center"/>
              <w:rPr>
                <w:sz w:val="21"/>
                <w:szCs w:val="21"/>
              </w:rPr>
            </w:pPr>
            <w:r>
              <w:rPr>
                <w:sz w:val="21"/>
                <w:szCs w:val="21"/>
              </w:rPr>
              <w:t>200</w:t>
            </w:r>
          </w:p>
        </w:tc>
        <w:tc>
          <w:tcPr>
            <w:tcW w:w="1496" w:type="pct"/>
            <w:vMerge w:val="restart"/>
            <w:tcBorders>
              <w:tl2br w:val="nil"/>
              <w:tr2bl w:val="nil"/>
            </w:tcBorders>
            <w:vAlign w:val="center"/>
          </w:tcPr>
          <w:p>
            <w:pPr>
              <w:spacing w:line="240" w:lineRule="auto"/>
              <w:ind w:firstLine="0" w:firstLineChars="0"/>
              <w:jc w:val="center"/>
              <w:rPr>
                <w:sz w:val="21"/>
                <w:szCs w:val="21"/>
              </w:rPr>
            </w:pPr>
            <w:r>
              <w:rPr>
                <w:sz w:val="21"/>
                <w:szCs w:val="21"/>
              </w:rPr>
              <w:t>《环境影响评价技术导则-大气环境》（HJ2.2-2018）附录D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0"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H</w:t>
            </w:r>
            <w:r>
              <w:rPr>
                <w:sz w:val="21"/>
                <w:szCs w:val="21"/>
                <w:vertAlign w:val="subscript"/>
                <w:lang w:val="en-GB"/>
              </w:rPr>
              <w:t>2</w:t>
            </w:r>
            <w:r>
              <w:rPr>
                <w:sz w:val="21"/>
                <w:szCs w:val="21"/>
                <w:lang w:val="en-GB"/>
              </w:rPr>
              <w:t>S</w:t>
            </w:r>
          </w:p>
        </w:tc>
        <w:tc>
          <w:tcPr>
            <w:tcW w:w="51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μg/m</w:t>
            </w:r>
            <w:r>
              <w:rPr>
                <w:sz w:val="21"/>
                <w:szCs w:val="21"/>
                <w:vertAlign w:val="superscript"/>
                <w:lang w:val="en-GB"/>
              </w:rPr>
              <w:t>3</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122"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683" w:type="pct"/>
            <w:tcBorders>
              <w:tl2br w:val="nil"/>
              <w:tr2bl w:val="nil"/>
            </w:tcBorders>
            <w:vAlign w:val="center"/>
          </w:tcPr>
          <w:p>
            <w:pPr>
              <w:spacing w:line="240" w:lineRule="auto"/>
              <w:ind w:firstLine="0" w:firstLineChars="0"/>
              <w:jc w:val="center"/>
              <w:rPr>
                <w:sz w:val="21"/>
                <w:szCs w:val="21"/>
              </w:rPr>
            </w:pPr>
            <w:r>
              <w:rPr>
                <w:sz w:val="21"/>
                <w:szCs w:val="21"/>
              </w:rPr>
              <w:t>10</w:t>
            </w:r>
          </w:p>
        </w:tc>
        <w:tc>
          <w:tcPr>
            <w:tcW w:w="1496" w:type="pct"/>
            <w:vMerge w:val="continue"/>
            <w:tcBorders>
              <w:tl2br w:val="nil"/>
              <w:tr2bl w:val="nil"/>
            </w:tcBorders>
            <w:vAlign w:val="center"/>
          </w:tcPr>
          <w:p>
            <w:pPr>
              <w:spacing w:line="240" w:lineRule="auto"/>
              <w:rPr>
                <w:sz w:val="21"/>
                <w:szCs w:val="21"/>
                <w:lang w:val="en-GB"/>
              </w:rPr>
            </w:pPr>
          </w:p>
        </w:tc>
      </w:tr>
    </w:tbl>
    <w:p>
      <w:pPr>
        <w:ind w:firstLine="482"/>
        <w:rPr>
          <w:b/>
          <w:bCs/>
        </w:rPr>
      </w:pPr>
      <w:r>
        <w:rPr>
          <w:rFonts w:hint="eastAsia"/>
          <w:b/>
          <w:bCs/>
        </w:rPr>
        <w:t>2、</w:t>
      </w:r>
      <w:r>
        <w:rPr>
          <w:b/>
          <w:bCs/>
        </w:rPr>
        <w:t>地表水环境质量标准</w:t>
      </w:r>
    </w:p>
    <w:p>
      <w:pPr>
        <w:ind w:firstLine="480"/>
        <w:rPr>
          <w:lang w:val="zh-CN"/>
        </w:rPr>
      </w:pPr>
      <w:r>
        <w:rPr>
          <w:lang w:val="zh-CN"/>
        </w:rPr>
        <w:t>地表水环境质量执行《地表水环境质量标准》（GB3838-2002）中的</w:t>
      </w:r>
      <w:r>
        <w:t>Ⅲ</w:t>
      </w:r>
      <w:r>
        <w:rPr>
          <w:lang w:val="zh-CN"/>
        </w:rPr>
        <w:t>类水质标准，具体限值见表</w:t>
      </w:r>
      <w:r>
        <w:rPr>
          <w:rFonts w:hint="eastAsia"/>
        </w:rPr>
        <w:t>1.5</w:t>
      </w:r>
      <w:r>
        <w:rPr>
          <w:lang w:val="zh-CN"/>
        </w:rPr>
        <w:t>。</w:t>
      </w:r>
    </w:p>
    <w:p>
      <w:pPr>
        <w:spacing w:line="240" w:lineRule="auto"/>
        <w:ind w:firstLine="482"/>
        <w:jc w:val="center"/>
        <w:rPr>
          <w:b/>
          <w:bCs/>
        </w:rPr>
      </w:pPr>
      <w:r>
        <w:rPr>
          <w:b/>
          <w:bCs/>
        </w:rPr>
        <w:t>表</w:t>
      </w:r>
      <w:r>
        <w:rPr>
          <w:rFonts w:hint="eastAsia"/>
          <w:b/>
          <w:bCs/>
        </w:rPr>
        <w:t>1.5</w:t>
      </w:r>
      <w:r>
        <w:rPr>
          <w:b/>
          <w:bCs/>
        </w:rPr>
        <w:t xml:space="preserve"> </w:t>
      </w:r>
      <w:r>
        <w:rPr>
          <w:rFonts w:hint="eastAsia"/>
          <w:b/>
          <w:bCs/>
        </w:rPr>
        <w:t xml:space="preserve">  </w:t>
      </w:r>
      <w:r>
        <w:rPr>
          <w:b/>
          <w:bCs/>
        </w:rPr>
        <w:t xml:space="preserve"> 地表水环境质量标准（Ⅲ类）    单位：mg/L（pH值除外）</w:t>
      </w:r>
    </w:p>
    <w:tbl>
      <w:tblPr>
        <w:tblStyle w:val="32"/>
        <w:tblW w:w="49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43"/>
        <w:gridCol w:w="1785"/>
        <w:gridCol w:w="3694"/>
        <w:gridCol w:w="698"/>
        <w:gridCol w:w="2073"/>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b/>
                <w:bCs/>
                <w:sz w:val="21"/>
                <w:szCs w:val="21"/>
                <w:lang w:val="en-GB"/>
              </w:rPr>
            </w:pPr>
            <w:r>
              <w:rPr>
                <w:b/>
                <w:bCs/>
                <w:sz w:val="21"/>
                <w:szCs w:val="21"/>
                <w:lang w:val="en-GB"/>
              </w:rPr>
              <w:t>序号</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b/>
                <w:bCs/>
                <w:sz w:val="21"/>
                <w:szCs w:val="21"/>
                <w:lang w:val="en-GB"/>
              </w:rPr>
            </w:pPr>
            <w:r>
              <w:rPr>
                <w:b/>
                <w:bCs/>
                <w:sz w:val="21"/>
                <w:szCs w:val="21"/>
                <w:lang w:val="en-GB"/>
              </w:rPr>
              <w:t>项目</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b/>
                <w:bCs/>
                <w:sz w:val="21"/>
                <w:szCs w:val="21"/>
                <w:lang w:val="en-GB"/>
              </w:rPr>
            </w:pPr>
            <w:r>
              <w:rPr>
                <w:b/>
                <w:bCs/>
                <w:sz w:val="21"/>
                <w:szCs w:val="21"/>
                <w:lang w:val="en-GB"/>
              </w:rPr>
              <w:t>指标</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b/>
                <w:bCs/>
                <w:sz w:val="21"/>
                <w:szCs w:val="21"/>
                <w:lang w:val="en-GB"/>
              </w:rPr>
            </w:pPr>
            <w:r>
              <w:rPr>
                <w:b/>
                <w:bCs/>
                <w:sz w:val="21"/>
                <w:szCs w:val="21"/>
                <w:lang w:val="en-GB"/>
              </w:rPr>
              <w:t>序号</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b/>
                <w:bCs/>
                <w:sz w:val="21"/>
                <w:szCs w:val="21"/>
                <w:lang w:val="en-GB"/>
              </w:rPr>
            </w:pPr>
            <w:r>
              <w:rPr>
                <w:b/>
                <w:bCs/>
                <w:sz w:val="21"/>
                <w:szCs w:val="21"/>
                <w:lang w:val="en-GB"/>
              </w:rPr>
              <w:t>项目</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b/>
                <w:bCs/>
                <w:sz w:val="21"/>
                <w:szCs w:val="21"/>
                <w:lang w:val="en-GB"/>
              </w:rPr>
            </w:pPr>
            <w:r>
              <w:rPr>
                <w:b/>
                <w:bCs/>
                <w:sz w:val="21"/>
                <w:szCs w:val="21"/>
                <w:lang w:val="en-GB"/>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水温(℃)</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人为造成的环境水温变化应限制在：周平均最大温升≤1，周平均最大温降≤2</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13</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硒≤</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PH值（无量纲）</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6~9</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14</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砷</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3</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溶解氧</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≥5</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15</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汞</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4</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耗氧量</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≤6</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16</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镉</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5</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COD</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≤20</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17</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铬（六价）</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6</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BOD</w:t>
            </w:r>
            <w:r>
              <w:rPr>
                <w:sz w:val="21"/>
                <w:szCs w:val="21"/>
                <w:vertAlign w:val="subscript"/>
                <w:lang w:val="en-GB"/>
              </w:rPr>
              <w:t>5</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≤4</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18</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铅</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7</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氨氮（NH</w:t>
            </w:r>
            <w:r>
              <w:rPr>
                <w:sz w:val="21"/>
                <w:szCs w:val="21"/>
                <w:vertAlign w:val="subscript"/>
                <w:lang w:val="en-GB"/>
              </w:rPr>
              <w:t>3</w:t>
            </w:r>
            <w:r>
              <w:rPr>
                <w:sz w:val="21"/>
                <w:szCs w:val="21"/>
                <w:lang w:val="en-GB"/>
              </w:rPr>
              <w:t>-N）</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19</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氰化物</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8</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总磷（以P计）</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≤0.2</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20</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挥发酚</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9</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总氮</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21</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石油类</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铜</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22</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LAS</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11</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锌</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23</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硫化物</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24"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12</w:t>
            </w:r>
          </w:p>
        </w:tc>
        <w:tc>
          <w:tcPr>
            <w:tcW w:w="898"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氟化物</w:t>
            </w:r>
          </w:p>
        </w:tc>
        <w:tc>
          <w:tcPr>
            <w:tcW w:w="1859"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w:t>
            </w:r>
          </w:p>
        </w:tc>
        <w:tc>
          <w:tcPr>
            <w:tcW w:w="351"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24</w:t>
            </w:r>
          </w:p>
        </w:tc>
        <w:tc>
          <w:tcPr>
            <w:tcW w:w="1043"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粪大肠菌群（个/L）</w:t>
            </w:r>
          </w:p>
        </w:tc>
        <w:tc>
          <w:tcPr>
            <w:tcW w:w="522" w:type="pct"/>
            <w:tcBorders>
              <w:tl2br w:val="nil"/>
              <w:tr2bl w:val="nil"/>
            </w:tcBorders>
            <w:tcMar>
              <w:top w:w="0" w:type="dxa"/>
              <w:left w:w="108" w:type="dxa"/>
              <w:bottom w:w="0" w:type="dxa"/>
              <w:right w:w="108" w:type="dxa"/>
            </w:tcMar>
            <w:vAlign w:val="center"/>
          </w:tcPr>
          <w:p>
            <w:pPr>
              <w:spacing w:line="240" w:lineRule="auto"/>
              <w:ind w:firstLine="0" w:firstLineChars="0"/>
              <w:jc w:val="center"/>
              <w:rPr>
                <w:sz w:val="21"/>
                <w:szCs w:val="21"/>
                <w:lang w:val="en-GB"/>
              </w:rPr>
            </w:pPr>
            <w:r>
              <w:rPr>
                <w:sz w:val="21"/>
                <w:szCs w:val="21"/>
                <w:lang w:val="en-GB"/>
              </w:rPr>
              <w:t>≤10000</w:t>
            </w:r>
          </w:p>
        </w:tc>
      </w:tr>
    </w:tbl>
    <w:p>
      <w:pPr>
        <w:ind w:firstLine="482"/>
        <w:rPr>
          <w:b/>
          <w:bCs/>
        </w:rPr>
      </w:pPr>
      <w:r>
        <w:rPr>
          <w:rFonts w:hint="eastAsia"/>
          <w:b/>
          <w:bCs/>
        </w:rPr>
        <w:t>3、</w:t>
      </w:r>
      <w:r>
        <w:rPr>
          <w:b/>
          <w:bCs/>
        </w:rPr>
        <w:t>地下水环境质量标准</w:t>
      </w:r>
    </w:p>
    <w:p>
      <w:pPr>
        <w:ind w:firstLine="480"/>
      </w:pPr>
      <w:r>
        <w:t>地下水环境质量执行《地下水质量标准》（GB/T14848-2017）中Ⅲ类水质标准，具体限值见表</w:t>
      </w:r>
      <w:r>
        <w:rPr>
          <w:rFonts w:hint="eastAsia"/>
        </w:rPr>
        <w:t>1.6</w:t>
      </w:r>
      <w:r>
        <w:t>。</w:t>
      </w:r>
    </w:p>
    <w:p>
      <w:pPr>
        <w:spacing w:line="240" w:lineRule="auto"/>
        <w:ind w:firstLine="482"/>
        <w:jc w:val="center"/>
        <w:rPr>
          <w:b/>
          <w:bCs/>
        </w:rPr>
      </w:pPr>
      <w:r>
        <w:rPr>
          <w:b/>
          <w:bCs/>
        </w:rPr>
        <w:t>表</w:t>
      </w:r>
      <w:r>
        <w:rPr>
          <w:rFonts w:hint="eastAsia"/>
          <w:b/>
          <w:bCs/>
        </w:rPr>
        <w:t>1.6</w:t>
      </w:r>
      <w:r>
        <w:rPr>
          <w:b/>
          <w:bCs/>
        </w:rPr>
        <w:t xml:space="preserve">    地下水质量Ⅲ类标准值</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3541"/>
        <w:gridCol w:w="1030"/>
        <w:gridCol w:w="810"/>
        <w:gridCol w:w="2784"/>
        <w:gridCol w:w="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1777" w:type="pct"/>
            <w:tcBorders>
              <w:tl2br w:val="nil"/>
              <w:tr2bl w:val="nil"/>
            </w:tcBorders>
            <w:vAlign w:val="center"/>
          </w:tcPr>
          <w:p>
            <w:pPr>
              <w:spacing w:line="240" w:lineRule="auto"/>
              <w:ind w:firstLine="0" w:firstLineChars="0"/>
              <w:jc w:val="center"/>
              <w:rPr>
                <w:b/>
                <w:bCs/>
                <w:sz w:val="21"/>
                <w:szCs w:val="21"/>
              </w:rPr>
            </w:pPr>
            <w:r>
              <w:rPr>
                <w:b/>
                <w:bCs/>
                <w:sz w:val="21"/>
                <w:szCs w:val="21"/>
              </w:rPr>
              <w:t>项目</w:t>
            </w:r>
          </w:p>
        </w:tc>
        <w:tc>
          <w:tcPr>
            <w:tcW w:w="517" w:type="pct"/>
            <w:tcBorders>
              <w:tl2br w:val="nil"/>
              <w:tr2bl w:val="nil"/>
            </w:tcBorders>
            <w:vAlign w:val="center"/>
          </w:tcPr>
          <w:p>
            <w:pPr>
              <w:spacing w:line="240" w:lineRule="auto"/>
              <w:ind w:firstLine="0" w:firstLineChars="0"/>
              <w:jc w:val="center"/>
              <w:rPr>
                <w:b/>
                <w:bCs/>
                <w:sz w:val="21"/>
                <w:szCs w:val="21"/>
              </w:rPr>
            </w:pPr>
            <w:r>
              <w:rPr>
                <w:b/>
                <w:bCs/>
                <w:sz w:val="21"/>
                <w:szCs w:val="21"/>
              </w:rPr>
              <w:t>Ⅲ类</w:t>
            </w:r>
          </w:p>
        </w:tc>
        <w:tc>
          <w:tcPr>
            <w:tcW w:w="407"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1397" w:type="pct"/>
            <w:tcBorders>
              <w:tl2br w:val="nil"/>
              <w:tr2bl w:val="nil"/>
            </w:tcBorders>
            <w:vAlign w:val="center"/>
          </w:tcPr>
          <w:p>
            <w:pPr>
              <w:spacing w:line="240" w:lineRule="auto"/>
              <w:ind w:firstLine="0" w:firstLineChars="0"/>
              <w:jc w:val="center"/>
              <w:rPr>
                <w:b/>
                <w:bCs/>
                <w:sz w:val="21"/>
                <w:szCs w:val="21"/>
              </w:rPr>
            </w:pPr>
            <w:r>
              <w:rPr>
                <w:b/>
                <w:bCs/>
                <w:sz w:val="21"/>
                <w:szCs w:val="21"/>
              </w:rPr>
              <w:t>项目</w:t>
            </w:r>
          </w:p>
        </w:tc>
        <w:tc>
          <w:tcPr>
            <w:tcW w:w="496" w:type="pct"/>
            <w:tcBorders>
              <w:tl2br w:val="nil"/>
              <w:tr2bl w:val="nil"/>
            </w:tcBorders>
            <w:vAlign w:val="center"/>
          </w:tcPr>
          <w:p>
            <w:pPr>
              <w:spacing w:line="240" w:lineRule="auto"/>
              <w:ind w:firstLine="0" w:firstLineChars="0"/>
              <w:jc w:val="center"/>
              <w:rPr>
                <w:b/>
                <w:bCs/>
                <w:sz w:val="21"/>
                <w:szCs w:val="21"/>
              </w:rPr>
            </w:pPr>
            <w:r>
              <w:rPr>
                <w:b/>
                <w:bCs/>
                <w:sz w:val="21"/>
                <w:szCs w:val="21"/>
              </w:rPr>
              <w:t>Ⅲ类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b/>
                <w:bCs/>
                <w:sz w:val="21"/>
                <w:szCs w:val="21"/>
              </w:rPr>
            </w:pPr>
            <w:r>
              <w:rPr>
                <w:b/>
                <w:bCs/>
                <w:sz w:val="21"/>
                <w:szCs w:val="21"/>
              </w:rPr>
              <w:t>一</w:t>
            </w:r>
          </w:p>
        </w:tc>
        <w:tc>
          <w:tcPr>
            <w:tcW w:w="1777" w:type="pct"/>
            <w:tcBorders>
              <w:tl2br w:val="nil"/>
              <w:tr2bl w:val="nil"/>
            </w:tcBorders>
            <w:vAlign w:val="center"/>
          </w:tcPr>
          <w:p>
            <w:pPr>
              <w:spacing w:line="240" w:lineRule="auto"/>
              <w:ind w:firstLine="0" w:firstLineChars="0"/>
              <w:jc w:val="center"/>
              <w:rPr>
                <w:b/>
                <w:bCs/>
                <w:sz w:val="21"/>
                <w:szCs w:val="21"/>
              </w:rPr>
            </w:pPr>
            <w:r>
              <w:rPr>
                <w:b/>
                <w:bCs/>
                <w:sz w:val="21"/>
                <w:szCs w:val="21"/>
              </w:rPr>
              <w:t>感官性状及一般化学指标</w:t>
            </w:r>
          </w:p>
        </w:tc>
        <w:tc>
          <w:tcPr>
            <w:tcW w:w="517" w:type="pct"/>
            <w:tcBorders>
              <w:tl2br w:val="nil"/>
              <w:tr2bl w:val="nil"/>
            </w:tcBorders>
            <w:vAlign w:val="center"/>
          </w:tcPr>
          <w:p>
            <w:pPr>
              <w:spacing w:line="240" w:lineRule="auto"/>
              <w:ind w:firstLine="0" w:firstLineChars="0"/>
              <w:jc w:val="center"/>
              <w:rPr>
                <w:sz w:val="21"/>
                <w:szCs w:val="21"/>
              </w:rPr>
            </w:pPr>
          </w:p>
        </w:tc>
        <w:tc>
          <w:tcPr>
            <w:tcW w:w="407" w:type="pct"/>
            <w:tcBorders>
              <w:tl2br w:val="nil"/>
              <w:tr2bl w:val="nil"/>
            </w:tcBorders>
            <w:vAlign w:val="center"/>
          </w:tcPr>
          <w:p>
            <w:pPr>
              <w:spacing w:line="240" w:lineRule="auto"/>
              <w:ind w:firstLine="0" w:firstLineChars="0"/>
              <w:jc w:val="center"/>
              <w:rPr>
                <w:b/>
                <w:bCs/>
                <w:sz w:val="21"/>
                <w:szCs w:val="21"/>
              </w:rPr>
            </w:pPr>
            <w:r>
              <w:rPr>
                <w:b/>
                <w:bCs/>
                <w:sz w:val="21"/>
                <w:szCs w:val="21"/>
              </w:rPr>
              <w:t>二</w:t>
            </w:r>
          </w:p>
        </w:tc>
        <w:tc>
          <w:tcPr>
            <w:tcW w:w="1397" w:type="pct"/>
            <w:tcBorders>
              <w:tl2br w:val="nil"/>
              <w:tr2bl w:val="nil"/>
            </w:tcBorders>
            <w:vAlign w:val="center"/>
          </w:tcPr>
          <w:p>
            <w:pPr>
              <w:spacing w:line="240" w:lineRule="auto"/>
              <w:ind w:firstLine="0" w:firstLineChars="0"/>
              <w:jc w:val="center"/>
              <w:rPr>
                <w:b/>
                <w:bCs/>
                <w:sz w:val="21"/>
                <w:szCs w:val="21"/>
              </w:rPr>
            </w:pPr>
            <w:r>
              <w:rPr>
                <w:b/>
                <w:bCs/>
                <w:sz w:val="21"/>
                <w:szCs w:val="21"/>
              </w:rPr>
              <w:t>微生物指标</w:t>
            </w:r>
          </w:p>
        </w:tc>
        <w:tc>
          <w:tcPr>
            <w:tcW w:w="496" w:type="pct"/>
            <w:tcBorders>
              <w:tl2br w:val="nil"/>
              <w:tr2bl w:val="nil"/>
            </w:tcBorders>
            <w:vAlign w:val="center"/>
          </w:tcPr>
          <w:p>
            <w:pPr>
              <w:spacing w:line="240" w:lineRule="auto"/>
              <w:ind w:firstLine="0" w:firstLineChars="0"/>
              <w:jc w:val="center"/>
              <w:rPr>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色（铂钴色度单位）</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≤15</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21</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菌落总数/CFU/mL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嗅和味</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无</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22</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总大肠菌群/CFU/100mL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浑浊度/NTUn</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407" w:type="pct"/>
            <w:tcBorders>
              <w:tl2br w:val="nil"/>
              <w:tr2bl w:val="nil"/>
            </w:tcBorders>
            <w:vAlign w:val="center"/>
          </w:tcPr>
          <w:p>
            <w:pPr>
              <w:spacing w:line="240" w:lineRule="auto"/>
              <w:ind w:firstLine="0" w:firstLineChars="0"/>
              <w:jc w:val="center"/>
              <w:rPr>
                <w:b/>
                <w:bCs/>
                <w:sz w:val="21"/>
                <w:szCs w:val="21"/>
              </w:rPr>
            </w:pPr>
            <w:r>
              <w:rPr>
                <w:b/>
                <w:bCs/>
                <w:sz w:val="21"/>
                <w:szCs w:val="21"/>
              </w:rPr>
              <w:t>三</w:t>
            </w:r>
          </w:p>
        </w:tc>
        <w:tc>
          <w:tcPr>
            <w:tcW w:w="1397" w:type="pct"/>
            <w:tcBorders>
              <w:tl2br w:val="nil"/>
              <w:tr2bl w:val="nil"/>
            </w:tcBorders>
            <w:vAlign w:val="center"/>
          </w:tcPr>
          <w:p>
            <w:pPr>
              <w:spacing w:line="240" w:lineRule="auto"/>
              <w:ind w:firstLine="0" w:firstLineChars="0"/>
              <w:jc w:val="center"/>
              <w:rPr>
                <w:b/>
                <w:bCs/>
                <w:sz w:val="21"/>
                <w:szCs w:val="21"/>
              </w:rPr>
            </w:pPr>
            <w:r>
              <w:rPr>
                <w:b/>
                <w:bCs/>
                <w:sz w:val="21"/>
                <w:szCs w:val="21"/>
              </w:rPr>
              <w:t>毒理学指标</w:t>
            </w:r>
          </w:p>
        </w:tc>
        <w:tc>
          <w:tcPr>
            <w:tcW w:w="496" w:type="pct"/>
            <w:tcBorders>
              <w:tl2br w:val="nil"/>
              <w:tr2bl w:val="nil"/>
            </w:tcBorders>
            <w:vAlign w:val="center"/>
          </w:tcPr>
          <w:p>
            <w:pPr>
              <w:spacing w:line="240" w:lineRule="auto"/>
              <w:ind w:firstLine="0" w:firstLineChars="0"/>
              <w:jc w:val="center"/>
              <w:rPr>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4</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肉眼可见物</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无</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23</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硝酸盐（以N计）/mg/L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5</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pH</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6.5~8.5</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24</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亚硝酸盐（以N计）/mg/L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6</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总硬度（以CaCO</w:t>
            </w:r>
            <w:r>
              <w:rPr>
                <w:sz w:val="21"/>
                <w:szCs w:val="21"/>
                <w:vertAlign w:val="subscript"/>
              </w:rPr>
              <w:t>3</w:t>
            </w:r>
            <w:r>
              <w:rPr>
                <w:sz w:val="21"/>
                <w:szCs w:val="21"/>
              </w:rPr>
              <w:t>计）/mg/L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≤450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25</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氰化物/mg/L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7</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溶解性总固体/mg/L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≤1000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26</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氟化物/mg/L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8</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硫酸盐/mg/L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≤250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27</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碘化物/mg/L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9</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氯化物/mg/L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≤250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28</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汞/mg/L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10</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铁/mg/L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≤0.3</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29</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砷/mg/L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11</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锰/mg/L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≤0.10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30</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镉/mg/L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12</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铜/mg/L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≤1.00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31</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六价铬/mg/L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13</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锌/mg/L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≤1.00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32</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铅/mg/L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14</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铝/mg/L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≤0.20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33</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三氯甲烷/µg/L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15</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挥发酚（以苯酚计）/mg/L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≤0.002</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34</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四氯化碳/µg/L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16</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LAS/mg/L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≤0.3</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35</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苯/µg/L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17</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耗氧量（COD</w:t>
            </w:r>
            <w:r>
              <w:rPr>
                <w:sz w:val="21"/>
                <w:szCs w:val="21"/>
                <w:vertAlign w:val="subscript"/>
              </w:rPr>
              <w:t>Mn</w:t>
            </w:r>
            <w:r>
              <w:rPr>
                <w:sz w:val="21"/>
                <w:szCs w:val="21"/>
              </w:rPr>
              <w:t>法，以O</w:t>
            </w:r>
            <w:r>
              <w:rPr>
                <w:sz w:val="21"/>
                <w:szCs w:val="21"/>
                <w:vertAlign w:val="subscript"/>
              </w:rPr>
              <w:t>2</w:t>
            </w:r>
            <w:r>
              <w:rPr>
                <w:sz w:val="21"/>
                <w:szCs w:val="21"/>
              </w:rPr>
              <w:t>计）/mg/L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≤3.0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36</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甲苯/µg/L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18</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氨氮（以N计）/mg/L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≤0.50</w:t>
            </w:r>
          </w:p>
        </w:tc>
        <w:tc>
          <w:tcPr>
            <w:tcW w:w="407" w:type="pct"/>
            <w:tcBorders>
              <w:tl2br w:val="nil"/>
              <w:tr2bl w:val="nil"/>
            </w:tcBorders>
            <w:vAlign w:val="center"/>
          </w:tcPr>
          <w:p>
            <w:pPr>
              <w:spacing w:line="240" w:lineRule="auto"/>
              <w:ind w:firstLine="0" w:firstLineChars="0"/>
              <w:jc w:val="center"/>
              <w:rPr>
                <w:b/>
                <w:bCs/>
                <w:sz w:val="21"/>
                <w:szCs w:val="21"/>
              </w:rPr>
            </w:pPr>
            <w:r>
              <w:rPr>
                <w:b/>
                <w:bCs/>
                <w:sz w:val="21"/>
                <w:szCs w:val="21"/>
              </w:rPr>
              <w:t>四</w:t>
            </w:r>
          </w:p>
        </w:tc>
        <w:tc>
          <w:tcPr>
            <w:tcW w:w="1397" w:type="pct"/>
            <w:tcBorders>
              <w:tl2br w:val="nil"/>
              <w:tr2bl w:val="nil"/>
            </w:tcBorders>
            <w:vAlign w:val="center"/>
          </w:tcPr>
          <w:p>
            <w:pPr>
              <w:spacing w:line="240" w:lineRule="auto"/>
              <w:ind w:firstLine="0" w:firstLineChars="0"/>
              <w:jc w:val="center"/>
              <w:rPr>
                <w:b/>
                <w:bCs/>
                <w:sz w:val="21"/>
                <w:szCs w:val="21"/>
              </w:rPr>
            </w:pPr>
            <w:r>
              <w:rPr>
                <w:b/>
                <w:bCs/>
                <w:sz w:val="21"/>
                <w:szCs w:val="21"/>
              </w:rPr>
              <w:t>放射性指标</w:t>
            </w:r>
          </w:p>
        </w:tc>
        <w:tc>
          <w:tcPr>
            <w:tcW w:w="496" w:type="pct"/>
            <w:tcBorders>
              <w:tl2br w:val="nil"/>
              <w:tr2bl w:val="nil"/>
            </w:tcBorders>
            <w:vAlign w:val="center"/>
          </w:tcPr>
          <w:p>
            <w:pPr>
              <w:spacing w:line="240" w:lineRule="auto"/>
              <w:ind w:firstLine="0" w:firstLineChars="0"/>
              <w:jc w:val="center"/>
              <w:rPr>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19</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硫化物/mg/L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≤0.02</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37</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总α放射性/Bq/L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4" w:type="pct"/>
            <w:tcBorders>
              <w:tl2br w:val="nil"/>
              <w:tr2bl w:val="nil"/>
            </w:tcBorders>
            <w:vAlign w:val="center"/>
          </w:tcPr>
          <w:p>
            <w:pPr>
              <w:spacing w:line="240" w:lineRule="auto"/>
              <w:ind w:firstLine="0" w:firstLineChars="0"/>
              <w:jc w:val="center"/>
              <w:rPr>
                <w:sz w:val="21"/>
                <w:szCs w:val="21"/>
              </w:rPr>
            </w:pPr>
            <w:r>
              <w:rPr>
                <w:sz w:val="21"/>
                <w:szCs w:val="21"/>
              </w:rPr>
              <w:t>20</w:t>
            </w:r>
          </w:p>
        </w:tc>
        <w:tc>
          <w:tcPr>
            <w:tcW w:w="1777" w:type="pct"/>
            <w:tcBorders>
              <w:tl2br w:val="nil"/>
              <w:tr2bl w:val="nil"/>
            </w:tcBorders>
            <w:vAlign w:val="center"/>
          </w:tcPr>
          <w:p>
            <w:pPr>
              <w:spacing w:line="240" w:lineRule="auto"/>
              <w:ind w:firstLine="0" w:firstLineChars="0"/>
              <w:jc w:val="center"/>
              <w:rPr>
                <w:sz w:val="21"/>
                <w:szCs w:val="21"/>
              </w:rPr>
            </w:pPr>
            <w:r>
              <w:rPr>
                <w:sz w:val="21"/>
                <w:szCs w:val="21"/>
              </w:rPr>
              <w:t>钠/mg/L</w:t>
            </w:r>
          </w:p>
        </w:tc>
        <w:tc>
          <w:tcPr>
            <w:tcW w:w="517" w:type="pct"/>
            <w:tcBorders>
              <w:tl2br w:val="nil"/>
              <w:tr2bl w:val="nil"/>
            </w:tcBorders>
            <w:vAlign w:val="center"/>
          </w:tcPr>
          <w:p>
            <w:pPr>
              <w:spacing w:line="240" w:lineRule="auto"/>
              <w:ind w:firstLine="0" w:firstLineChars="0"/>
              <w:jc w:val="center"/>
              <w:rPr>
                <w:sz w:val="21"/>
                <w:szCs w:val="21"/>
              </w:rPr>
            </w:pPr>
            <w:r>
              <w:rPr>
                <w:sz w:val="21"/>
                <w:szCs w:val="21"/>
              </w:rPr>
              <w:t>≤200</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38</w:t>
            </w:r>
          </w:p>
        </w:tc>
        <w:tc>
          <w:tcPr>
            <w:tcW w:w="1397" w:type="pct"/>
            <w:tcBorders>
              <w:tl2br w:val="nil"/>
              <w:tr2bl w:val="nil"/>
            </w:tcBorders>
            <w:vAlign w:val="center"/>
          </w:tcPr>
          <w:p>
            <w:pPr>
              <w:spacing w:line="240" w:lineRule="auto"/>
              <w:ind w:firstLine="0" w:firstLineChars="0"/>
              <w:jc w:val="center"/>
              <w:rPr>
                <w:sz w:val="21"/>
                <w:szCs w:val="21"/>
              </w:rPr>
            </w:pPr>
            <w:r>
              <w:rPr>
                <w:sz w:val="21"/>
                <w:szCs w:val="21"/>
              </w:rPr>
              <w:t>总β放射性/Bq/L</w:t>
            </w:r>
          </w:p>
        </w:tc>
        <w:tc>
          <w:tcPr>
            <w:tcW w:w="496" w:type="pct"/>
            <w:tcBorders>
              <w:tl2br w:val="nil"/>
              <w:tr2bl w:val="nil"/>
            </w:tcBorders>
            <w:vAlign w:val="center"/>
          </w:tcPr>
          <w:p>
            <w:pPr>
              <w:spacing w:line="240" w:lineRule="auto"/>
              <w:ind w:firstLine="0" w:firstLineChars="0"/>
              <w:jc w:val="center"/>
              <w:rPr>
                <w:sz w:val="21"/>
                <w:szCs w:val="21"/>
              </w:rPr>
            </w:pPr>
            <w:r>
              <w:rPr>
                <w:sz w:val="21"/>
                <w:szCs w:val="21"/>
              </w:rPr>
              <w:t>≤1.0</w:t>
            </w:r>
          </w:p>
        </w:tc>
      </w:tr>
    </w:tbl>
    <w:p>
      <w:pPr>
        <w:ind w:firstLine="482"/>
      </w:pPr>
      <w:r>
        <w:rPr>
          <w:rFonts w:hint="eastAsia"/>
          <w:b/>
          <w:bCs/>
        </w:rPr>
        <w:t>4、</w:t>
      </w:r>
      <w:r>
        <w:rPr>
          <w:b/>
          <w:bCs/>
        </w:rPr>
        <w:t>声环境质量标准</w:t>
      </w:r>
    </w:p>
    <w:p>
      <w:pPr>
        <w:ind w:firstLine="480"/>
      </w:pPr>
      <w:r>
        <w:t>项目所在地位于张掖市经济技术开发区农产品加工产业园，执行《声环境质量标准》（GB3096-2008）3类标准，评价项目标准值见表</w:t>
      </w:r>
      <w:r>
        <w:rPr>
          <w:rFonts w:hint="eastAsia"/>
        </w:rPr>
        <w:t>1.7</w:t>
      </w:r>
      <w:r>
        <w:t>。</w:t>
      </w:r>
    </w:p>
    <w:p>
      <w:pPr>
        <w:spacing w:line="240" w:lineRule="auto"/>
        <w:ind w:firstLine="482"/>
        <w:jc w:val="center"/>
        <w:rPr>
          <w:b/>
          <w:bCs/>
        </w:rPr>
      </w:pPr>
      <w:r>
        <w:rPr>
          <w:b/>
          <w:bCs/>
        </w:rPr>
        <w:t>表</w:t>
      </w:r>
      <w:r>
        <w:rPr>
          <w:rFonts w:hint="eastAsia"/>
          <w:b/>
          <w:bCs/>
        </w:rPr>
        <w:t>1.7</w:t>
      </w:r>
      <w:r>
        <w:rPr>
          <w:b/>
          <w:bCs/>
        </w:rPr>
        <w:t xml:space="preserve">    声环境评价标准值  单位：dB（A）</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53"/>
        <w:gridCol w:w="2267"/>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7"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类别或敏感目标</w:t>
            </w:r>
          </w:p>
        </w:tc>
        <w:tc>
          <w:tcPr>
            <w:tcW w:w="1138"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昼  间</w:t>
            </w:r>
          </w:p>
        </w:tc>
        <w:tc>
          <w:tcPr>
            <w:tcW w:w="1123" w:type="pct"/>
            <w:tcBorders>
              <w:tl2br w:val="nil"/>
              <w:tr2bl w:val="nil"/>
            </w:tcBorders>
            <w:vAlign w:val="center"/>
          </w:tcPr>
          <w:p>
            <w:pPr>
              <w:spacing w:line="240" w:lineRule="auto"/>
              <w:ind w:firstLine="0" w:firstLineChars="0"/>
              <w:jc w:val="center"/>
              <w:rPr>
                <w:b/>
                <w:bCs/>
                <w:sz w:val="21"/>
                <w:szCs w:val="21"/>
                <w:lang w:val="en-GB"/>
              </w:rPr>
            </w:pPr>
            <w:r>
              <w:rPr>
                <w:b/>
                <w:bCs/>
                <w:sz w:val="21"/>
                <w:szCs w:val="21"/>
                <w:lang w:val="en-GB"/>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37"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《声环境质量标准》（GB3096-2008）3类标准</w:t>
            </w:r>
          </w:p>
        </w:tc>
        <w:tc>
          <w:tcPr>
            <w:tcW w:w="1138"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65</w:t>
            </w:r>
          </w:p>
        </w:tc>
        <w:tc>
          <w:tcPr>
            <w:tcW w:w="1123" w:type="pct"/>
            <w:tcBorders>
              <w:tl2br w:val="nil"/>
              <w:tr2bl w:val="nil"/>
            </w:tcBorders>
            <w:vAlign w:val="center"/>
          </w:tcPr>
          <w:p>
            <w:pPr>
              <w:spacing w:line="240" w:lineRule="auto"/>
              <w:ind w:firstLine="0" w:firstLineChars="0"/>
              <w:jc w:val="center"/>
              <w:rPr>
                <w:sz w:val="21"/>
                <w:szCs w:val="21"/>
                <w:lang w:val="en-GB"/>
              </w:rPr>
            </w:pPr>
            <w:r>
              <w:rPr>
                <w:sz w:val="21"/>
                <w:szCs w:val="21"/>
                <w:lang w:val="en-GB"/>
              </w:rPr>
              <w:t>55</w:t>
            </w:r>
          </w:p>
        </w:tc>
      </w:tr>
    </w:tbl>
    <w:p>
      <w:pPr>
        <w:ind w:firstLine="482"/>
        <w:rPr>
          <w:b/>
          <w:bCs/>
        </w:rPr>
      </w:pPr>
      <w:bookmarkStart w:id="290" w:name="_Toc1709"/>
      <w:bookmarkStart w:id="291" w:name="_Toc23759_WPSOffice_Level3"/>
      <w:bookmarkStart w:id="292" w:name="_Toc25261_WPSOffice_Level3"/>
      <w:r>
        <w:rPr>
          <w:rFonts w:hint="eastAsia"/>
          <w:b/>
          <w:bCs/>
        </w:rPr>
        <w:t>5、</w:t>
      </w:r>
      <w:r>
        <w:rPr>
          <w:b/>
          <w:bCs/>
        </w:rPr>
        <w:t>土壤环境质量标准</w:t>
      </w:r>
    </w:p>
    <w:p>
      <w:pPr>
        <w:ind w:firstLine="480"/>
      </w:pPr>
      <w:r>
        <w:t>张掖市甘州区人民政府土地征拨文件</w:t>
      </w:r>
      <w:r>
        <w:rPr>
          <w:rFonts w:hint="eastAsia"/>
          <w:lang w:eastAsia="zh-CN"/>
        </w:rPr>
        <w:t>（</w:t>
      </w:r>
      <w:r>
        <w:t>甘区国用〔2012〕078号</w:t>
      </w:r>
      <w:r>
        <w:rPr>
          <w:rFonts w:hint="eastAsia"/>
          <w:lang w:eastAsia="zh-CN"/>
        </w:rPr>
        <w:t>），</w:t>
      </w:r>
      <w:r>
        <w:rPr>
          <w:rFonts w:hint="eastAsia"/>
        </w:rPr>
        <w:t>详见附件2</w:t>
      </w:r>
      <w:r>
        <w:t>，项目建设用地使用权类型为出让，用地性质为工业</w:t>
      </w:r>
      <w:r>
        <w:rPr>
          <w:rFonts w:hint="eastAsia"/>
        </w:rPr>
        <w:t>用地</w:t>
      </w:r>
      <w:r>
        <w:t>，土地使用权属沅博农牧产业开发有限公司所有。工业用地执行《土壤环境质量 建设用地污染风险管控标准（试行）》（GB36600-2018）表1中的第二类用地筛选值标准，具体见表</w:t>
      </w:r>
      <w:r>
        <w:rPr>
          <w:rFonts w:hint="eastAsia"/>
        </w:rPr>
        <w:t>1.8；</w:t>
      </w:r>
    </w:p>
    <w:p>
      <w:pPr>
        <w:spacing w:line="240" w:lineRule="auto"/>
        <w:ind w:firstLine="0" w:firstLineChars="0"/>
        <w:jc w:val="center"/>
      </w:pPr>
      <w:r>
        <w:rPr>
          <w:b/>
          <w:bCs/>
        </w:rPr>
        <w:t>表</w:t>
      </w:r>
      <w:r>
        <w:rPr>
          <w:rFonts w:hint="eastAsia"/>
          <w:b/>
          <w:bCs/>
        </w:rPr>
        <w:t>1.8</w:t>
      </w:r>
      <w:r>
        <w:rPr>
          <w:b/>
          <w:bCs/>
        </w:rPr>
        <w:t xml:space="preserve">    建设用地土壤污染风险筛选值和管制值（基本项目）  单位：mg/kg</w:t>
      </w:r>
    </w:p>
    <w:tbl>
      <w:tblPr>
        <w:tblStyle w:val="3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4"/>
        <w:gridCol w:w="4175"/>
        <w:gridCol w:w="43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2096" w:type="pct"/>
            <w:tcBorders>
              <w:tl2br w:val="nil"/>
              <w:tr2bl w:val="nil"/>
            </w:tcBorders>
            <w:vAlign w:val="center"/>
          </w:tcPr>
          <w:p>
            <w:pPr>
              <w:spacing w:line="240" w:lineRule="auto"/>
              <w:ind w:firstLine="0" w:firstLineChars="0"/>
              <w:jc w:val="center"/>
              <w:rPr>
                <w:b/>
                <w:bCs/>
                <w:sz w:val="21"/>
                <w:szCs w:val="21"/>
              </w:rPr>
            </w:pPr>
            <w:r>
              <w:rPr>
                <w:b/>
                <w:bCs/>
                <w:sz w:val="21"/>
                <w:szCs w:val="21"/>
              </w:rPr>
              <w:t>污染项目</w:t>
            </w:r>
          </w:p>
        </w:tc>
        <w:tc>
          <w:tcPr>
            <w:tcW w:w="2193" w:type="pct"/>
            <w:tcBorders>
              <w:tl2br w:val="nil"/>
              <w:tr2bl w:val="nil"/>
            </w:tcBorders>
            <w:vAlign w:val="center"/>
          </w:tcPr>
          <w:p>
            <w:pPr>
              <w:spacing w:line="240" w:lineRule="auto"/>
              <w:ind w:firstLine="0" w:firstLineChars="0"/>
              <w:jc w:val="center"/>
              <w:rPr>
                <w:b/>
                <w:bCs/>
                <w:sz w:val="21"/>
                <w:szCs w:val="21"/>
              </w:rPr>
            </w:pPr>
            <w:r>
              <w:rPr>
                <w:b/>
                <w:bCs/>
                <w:sz w:val="21"/>
                <w:szCs w:val="21"/>
              </w:rPr>
              <w:t>风险筛选值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b/>
                <w:bCs/>
                <w:sz w:val="21"/>
                <w:szCs w:val="21"/>
              </w:rPr>
            </w:pPr>
            <w:r>
              <w:rPr>
                <w:b/>
                <w:bCs/>
                <w:sz w:val="21"/>
                <w:szCs w:val="21"/>
              </w:rPr>
              <w:t>一</w:t>
            </w:r>
          </w:p>
        </w:tc>
        <w:tc>
          <w:tcPr>
            <w:tcW w:w="4289"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重金属和无机物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镉</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铬（六价）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铜</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18000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5</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铅</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6</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汞</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7</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镍</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900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b/>
                <w:bCs/>
                <w:sz w:val="21"/>
                <w:szCs w:val="21"/>
              </w:rPr>
            </w:pPr>
            <w:r>
              <w:rPr>
                <w:b/>
                <w:bCs/>
                <w:sz w:val="21"/>
                <w:szCs w:val="21"/>
              </w:rPr>
              <w:t>二</w:t>
            </w:r>
          </w:p>
        </w:tc>
        <w:tc>
          <w:tcPr>
            <w:tcW w:w="4289"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挥发性有机物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8</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四氯化碳</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9</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氯仿</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10</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氯甲烷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11</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1，1-二氯乙烷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12</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1，2-二氯乙烷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13</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1，1-二氯乙烯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14</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顺-1，2-二氯乙烯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15</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反-1，2-二氯乙烯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16</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二氯甲烷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616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17</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1，2-二氯甲烷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18</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1，1，1，2-四氯乙烷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19</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1，1，2，2-四氯乙烷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20</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四氯乙烯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21</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1，1，1-三氯乙烷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840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22</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1，1，2-三氯乙烷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23</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三氯乙烯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24</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1，2，3-三氯丙烷</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25</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0.43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26</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27</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氯苯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28</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1，2-二氯苯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29</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1，4-二氯苯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30</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乙苯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31</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苯乙烯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1290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32</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甲苯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33</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间二甲苯+对二甲苯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570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34</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邻二甲苯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640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b/>
                <w:bCs/>
                <w:sz w:val="21"/>
                <w:szCs w:val="21"/>
              </w:rPr>
            </w:pPr>
            <w:r>
              <w:rPr>
                <w:b/>
                <w:bCs/>
                <w:sz w:val="21"/>
                <w:szCs w:val="21"/>
              </w:rPr>
              <w:t>三</w:t>
            </w:r>
          </w:p>
        </w:tc>
        <w:tc>
          <w:tcPr>
            <w:tcW w:w="4289"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半挥发性有机物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35</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硝基苯</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36</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苯胺</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37</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2-氯酚</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2256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38</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苯并[a]蒽</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39</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苯并[a]芘</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40</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苯并[b]荧蒽</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41</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苯并[k]荧蒽</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42</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lang w:val="zh-CN"/>
              </w:rPr>
              <w:t>䓛</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1293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43</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二苯并[a，h]蒽</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44</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茚并[1，2，3-cd]芘</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10" w:type="pct"/>
            <w:tcBorders>
              <w:tl2br w:val="nil"/>
              <w:tr2bl w:val="nil"/>
            </w:tcBorders>
            <w:vAlign w:val="center"/>
          </w:tcPr>
          <w:p>
            <w:pPr>
              <w:spacing w:line="240" w:lineRule="auto"/>
              <w:ind w:firstLine="0" w:firstLineChars="0"/>
              <w:jc w:val="center"/>
              <w:rPr>
                <w:sz w:val="21"/>
                <w:szCs w:val="21"/>
              </w:rPr>
            </w:pPr>
            <w:r>
              <w:rPr>
                <w:sz w:val="21"/>
                <w:szCs w:val="21"/>
              </w:rPr>
              <w:t>45</w:t>
            </w:r>
          </w:p>
        </w:tc>
        <w:tc>
          <w:tcPr>
            <w:tcW w:w="2096" w:type="pct"/>
            <w:tcBorders>
              <w:tl2br w:val="nil"/>
              <w:tr2bl w:val="nil"/>
            </w:tcBorders>
            <w:vAlign w:val="center"/>
          </w:tcPr>
          <w:p>
            <w:pPr>
              <w:spacing w:line="240" w:lineRule="auto"/>
              <w:ind w:firstLine="0" w:firstLineChars="0"/>
              <w:jc w:val="center"/>
              <w:rPr>
                <w:sz w:val="21"/>
                <w:szCs w:val="21"/>
              </w:rPr>
            </w:pPr>
            <w:r>
              <w:rPr>
                <w:sz w:val="21"/>
                <w:szCs w:val="21"/>
              </w:rPr>
              <w:t>萘</w:t>
            </w:r>
          </w:p>
        </w:tc>
        <w:tc>
          <w:tcPr>
            <w:tcW w:w="2193" w:type="pct"/>
            <w:tcBorders>
              <w:tl2br w:val="nil"/>
              <w:tr2bl w:val="nil"/>
            </w:tcBorders>
            <w:vAlign w:val="center"/>
          </w:tcPr>
          <w:p>
            <w:pPr>
              <w:spacing w:line="240" w:lineRule="auto"/>
              <w:ind w:firstLine="0" w:firstLineChars="0"/>
              <w:jc w:val="center"/>
              <w:rPr>
                <w:sz w:val="21"/>
                <w:szCs w:val="21"/>
              </w:rPr>
            </w:pPr>
            <w:r>
              <w:rPr>
                <w:sz w:val="21"/>
                <w:szCs w:val="21"/>
              </w:rPr>
              <w:t>70</w:t>
            </w:r>
          </w:p>
        </w:tc>
      </w:tr>
    </w:tbl>
    <w:p>
      <w:pPr>
        <w:pStyle w:val="7"/>
        <w:ind w:firstLine="482"/>
      </w:pPr>
      <w:bookmarkStart w:id="293" w:name="_Toc9611_WPSOffice_Level3"/>
      <w:bookmarkStart w:id="294" w:name="_Toc23708_WPSOffice_Level3"/>
      <w:bookmarkStart w:id="295" w:name="_Toc13551_WPSOffice_Level3"/>
      <w:bookmarkStart w:id="296" w:name="_Toc27855_WPSOffice_Level3"/>
      <w:bookmarkStart w:id="297" w:name="_Toc28677_WPSOffice_Level3"/>
      <w:r>
        <w:t>1.5.3.2</w:t>
      </w:r>
      <w:r>
        <w:rPr>
          <w:rFonts w:hint="eastAsia"/>
        </w:rPr>
        <w:t>、</w:t>
      </w:r>
      <w:r>
        <w:t>污染物排放标准</w:t>
      </w:r>
      <w:bookmarkEnd w:id="290"/>
      <w:bookmarkEnd w:id="291"/>
      <w:bookmarkEnd w:id="292"/>
      <w:bookmarkEnd w:id="293"/>
      <w:bookmarkEnd w:id="294"/>
      <w:bookmarkEnd w:id="295"/>
      <w:bookmarkEnd w:id="296"/>
      <w:bookmarkEnd w:id="297"/>
    </w:p>
    <w:p>
      <w:pPr>
        <w:ind w:firstLine="482"/>
        <w:rPr>
          <w:b/>
          <w:bCs/>
        </w:rPr>
      </w:pPr>
      <w:r>
        <w:rPr>
          <w:rFonts w:hint="eastAsia"/>
          <w:b/>
          <w:bCs/>
        </w:rPr>
        <w:t>1、</w:t>
      </w:r>
      <w:r>
        <w:rPr>
          <w:b/>
          <w:bCs/>
        </w:rPr>
        <w:t>大气污染物</w:t>
      </w:r>
    </w:p>
    <w:p>
      <w:pPr>
        <w:ind w:firstLine="482"/>
        <w:rPr>
          <w:b/>
          <w:bCs/>
        </w:rPr>
      </w:pPr>
      <w:r>
        <w:rPr>
          <w:rFonts w:hint="eastAsia"/>
          <w:b/>
          <w:bCs/>
        </w:rPr>
        <w:t>（1）施工期</w:t>
      </w:r>
    </w:p>
    <w:p>
      <w:pPr>
        <w:ind w:firstLine="480"/>
      </w:pPr>
      <w:r>
        <w:rPr>
          <w:rFonts w:hint="eastAsia"/>
        </w:rPr>
        <w:t>本项目施工期施工扬尘、机械尾气执行《大气污染物综合排放标准》（GB16297-1996）表2中无组织排放监控浓度限值，标准限值见表1.9。</w:t>
      </w:r>
    </w:p>
    <w:p>
      <w:pPr>
        <w:spacing w:line="240" w:lineRule="auto"/>
        <w:ind w:firstLine="482"/>
        <w:jc w:val="center"/>
        <w:rPr>
          <w:rFonts w:hint="eastAsia" w:eastAsia="宋体"/>
          <w:b/>
          <w:bCs/>
          <w:lang w:eastAsia="zh-CN"/>
        </w:rPr>
      </w:pPr>
      <w:r>
        <w:rPr>
          <w:rFonts w:hint="eastAsia"/>
          <w:b/>
          <w:bCs/>
        </w:rPr>
        <w:t>表1.9    新污染源大气污染物排放限值</w:t>
      </w:r>
      <w:r>
        <w:rPr>
          <w:rFonts w:hint="eastAsia"/>
          <w:b/>
          <w:bCs/>
          <w:lang w:eastAsia="zh-CN"/>
        </w:rPr>
        <w:t>（</w:t>
      </w:r>
      <w:r>
        <w:rPr>
          <w:rFonts w:hint="eastAsia"/>
          <w:b/>
          <w:bCs/>
          <w:lang w:val="en-US" w:eastAsia="zh-CN"/>
        </w:rPr>
        <w:t>无组织</w:t>
      </w:r>
      <w:r>
        <w:rPr>
          <w:rFonts w:hint="eastAsia"/>
          <w:b/>
          <w:bCs/>
          <w:lang w:eastAsia="zh-CN"/>
        </w:rPr>
        <w:t>）</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24"/>
        <w:gridCol w:w="3011"/>
        <w:gridCol w:w="1443"/>
        <w:gridCol w:w="3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27" w:type="pct"/>
            <w:tcBorders>
              <w:tl2br w:val="nil"/>
              <w:tr2bl w:val="nil"/>
            </w:tcBorders>
            <w:tcMar>
              <w:left w:w="28" w:type="dxa"/>
              <w:right w:w="28" w:type="dxa"/>
            </w:tcMar>
            <w:vAlign w:val="center"/>
          </w:tcPr>
          <w:p>
            <w:pPr>
              <w:spacing w:line="240" w:lineRule="auto"/>
              <w:ind w:firstLine="0" w:firstLineChars="0"/>
              <w:jc w:val="center"/>
              <w:rPr>
                <w:b/>
                <w:bCs/>
                <w:sz w:val="21"/>
                <w:szCs w:val="21"/>
              </w:rPr>
            </w:pPr>
            <w:r>
              <w:rPr>
                <w:b/>
                <w:bCs/>
                <w:sz w:val="21"/>
                <w:szCs w:val="21"/>
              </w:rPr>
              <w:t>序号</w:t>
            </w:r>
          </w:p>
        </w:tc>
        <w:tc>
          <w:tcPr>
            <w:tcW w:w="1536" w:type="pct"/>
            <w:tcBorders>
              <w:tl2br w:val="nil"/>
              <w:tr2bl w:val="nil"/>
            </w:tcBorders>
            <w:tcMar>
              <w:left w:w="28" w:type="dxa"/>
              <w:right w:w="28" w:type="dxa"/>
            </w:tcMar>
            <w:vAlign w:val="center"/>
          </w:tcPr>
          <w:p>
            <w:pPr>
              <w:spacing w:line="240" w:lineRule="auto"/>
              <w:ind w:firstLine="0" w:firstLineChars="0"/>
              <w:jc w:val="center"/>
              <w:rPr>
                <w:b/>
                <w:bCs/>
                <w:sz w:val="21"/>
                <w:szCs w:val="21"/>
              </w:rPr>
            </w:pPr>
            <w:r>
              <w:rPr>
                <w:b/>
                <w:bCs/>
                <w:sz w:val="21"/>
                <w:szCs w:val="21"/>
              </w:rPr>
              <w:t>控制项目</w:t>
            </w:r>
          </w:p>
        </w:tc>
        <w:tc>
          <w:tcPr>
            <w:tcW w:w="736" w:type="pct"/>
            <w:tcBorders>
              <w:tl2br w:val="nil"/>
              <w:tr2bl w:val="nil"/>
            </w:tcBorders>
            <w:tcMar>
              <w:left w:w="28" w:type="dxa"/>
              <w:right w:w="28" w:type="dxa"/>
            </w:tcMar>
            <w:vAlign w:val="center"/>
          </w:tcPr>
          <w:p>
            <w:pPr>
              <w:spacing w:line="240" w:lineRule="auto"/>
              <w:ind w:firstLine="0" w:firstLineChars="0"/>
              <w:jc w:val="center"/>
              <w:rPr>
                <w:b/>
                <w:bCs/>
                <w:sz w:val="21"/>
                <w:szCs w:val="21"/>
              </w:rPr>
            </w:pPr>
            <w:r>
              <w:rPr>
                <w:b/>
                <w:bCs/>
                <w:sz w:val="21"/>
                <w:szCs w:val="21"/>
              </w:rPr>
              <w:t>单位</w:t>
            </w:r>
          </w:p>
        </w:tc>
        <w:tc>
          <w:tcPr>
            <w:tcW w:w="2000" w:type="pct"/>
            <w:tcBorders>
              <w:tl2br w:val="nil"/>
              <w:tr2bl w:val="nil"/>
            </w:tcBorders>
            <w:tcMar>
              <w:left w:w="28" w:type="dxa"/>
              <w:right w:w="28" w:type="dxa"/>
            </w:tcMar>
            <w:vAlign w:val="center"/>
          </w:tcPr>
          <w:p>
            <w:pPr>
              <w:spacing w:line="240" w:lineRule="auto"/>
              <w:ind w:firstLine="0" w:firstLineChars="0"/>
              <w:jc w:val="center"/>
              <w:rPr>
                <w:b/>
                <w:bCs/>
                <w:sz w:val="21"/>
                <w:szCs w:val="21"/>
              </w:rPr>
            </w:pPr>
            <w:r>
              <w:rPr>
                <w:b/>
                <w:bCs/>
                <w:sz w:val="21"/>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27" w:type="pct"/>
            <w:tcBorders>
              <w:tl2br w:val="nil"/>
              <w:tr2bl w:val="nil"/>
            </w:tcBorders>
            <w:tcMar>
              <w:left w:w="28" w:type="dxa"/>
              <w:right w:w="28" w:type="dxa"/>
            </w:tcMar>
            <w:vAlign w:val="center"/>
          </w:tcPr>
          <w:p>
            <w:pPr>
              <w:spacing w:line="240" w:lineRule="auto"/>
              <w:ind w:firstLine="0" w:firstLineChars="0"/>
              <w:jc w:val="center"/>
              <w:rPr>
                <w:sz w:val="21"/>
                <w:szCs w:val="21"/>
              </w:rPr>
            </w:pPr>
            <w:r>
              <w:rPr>
                <w:sz w:val="21"/>
                <w:szCs w:val="21"/>
              </w:rPr>
              <w:t>1</w:t>
            </w:r>
          </w:p>
        </w:tc>
        <w:tc>
          <w:tcPr>
            <w:tcW w:w="1536" w:type="pct"/>
            <w:tcBorders>
              <w:tl2br w:val="nil"/>
              <w:tr2bl w:val="nil"/>
            </w:tcBorders>
            <w:tcMar>
              <w:left w:w="28" w:type="dxa"/>
              <w:right w:w="28" w:type="dxa"/>
            </w:tcMar>
            <w:vAlign w:val="center"/>
          </w:tcPr>
          <w:p>
            <w:pPr>
              <w:spacing w:line="240" w:lineRule="auto"/>
              <w:ind w:firstLine="0" w:firstLineChars="0"/>
              <w:jc w:val="center"/>
              <w:rPr>
                <w:sz w:val="21"/>
                <w:szCs w:val="21"/>
              </w:rPr>
            </w:pPr>
            <w:r>
              <w:rPr>
                <w:sz w:val="21"/>
                <w:szCs w:val="21"/>
              </w:rPr>
              <w:t>TSP</w:t>
            </w:r>
          </w:p>
        </w:tc>
        <w:tc>
          <w:tcPr>
            <w:tcW w:w="736" w:type="pct"/>
            <w:tcBorders>
              <w:tl2br w:val="nil"/>
              <w:tr2bl w:val="nil"/>
            </w:tcBorders>
            <w:tcMar>
              <w:left w:w="28" w:type="dxa"/>
              <w:right w:w="28" w:type="dxa"/>
            </w:tcMar>
            <w:vAlign w:val="center"/>
          </w:tcPr>
          <w:p>
            <w:pPr>
              <w:spacing w:line="240" w:lineRule="auto"/>
              <w:ind w:firstLine="0" w:firstLineChars="0"/>
              <w:jc w:val="center"/>
              <w:rPr>
                <w:sz w:val="21"/>
                <w:szCs w:val="21"/>
              </w:rPr>
            </w:pPr>
            <w:r>
              <w:rPr>
                <w:sz w:val="21"/>
                <w:szCs w:val="21"/>
              </w:rPr>
              <w:t>mg/m</w:t>
            </w:r>
            <w:r>
              <w:rPr>
                <w:sz w:val="21"/>
                <w:szCs w:val="21"/>
                <w:vertAlign w:val="superscript"/>
              </w:rPr>
              <w:t>3</w:t>
            </w:r>
          </w:p>
        </w:tc>
        <w:tc>
          <w:tcPr>
            <w:tcW w:w="2000" w:type="pct"/>
            <w:tcBorders>
              <w:tl2br w:val="nil"/>
              <w:tr2bl w:val="nil"/>
            </w:tcBorders>
            <w:tcMar>
              <w:left w:w="28" w:type="dxa"/>
              <w:right w:w="28" w:type="dxa"/>
            </w:tcMar>
            <w:vAlign w:val="center"/>
          </w:tcPr>
          <w:p>
            <w:pPr>
              <w:spacing w:line="240" w:lineRule="auto"/>
              <w:ind w:firstLine="0" w:firstLineChars="0"/>
              <w:jc w:val="center"/>
              <w:rPr>
                <w:sz w:val="21"/>
                <w:szCs w:val="21"/>
              </w:rPr>
            </w:pPr>
            <w:r>
              <w:rPr>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27" w:type="pct"/>
            <w:tcBorders>
              <w:tl2br w:val="nil"/>
              <w:tr2bl w:val="nil"/>
            </w:tcBorders>
            <w:tcMar>
              <w:left w:w="28" w:type="dxa"/>
              <w:right w:w="28" w:type="dxa"/>
            </w:tcMar>
            <w:vAlign w:val="center"/>
          </w:tcPr>
          <w:p>
            <w:pPr>
              <w:spacing w:line="240" w:lineRule="auto"/>
              <w:ind w:firstLine="0" w:firstLineChars="0"/>
              <w:jc w:val="center"/>
              <w:rPr>
                <w:sz w:val="21"/>
                <w:szCs w:val="21"/>
              </w:rPr>
            </w:pPr>
            <w:r>
              <w:rPr>
                <w:rFonts w:hint="eastAsia"/>
                <w:sz w:val="21"/>
                <w:szCs w:val="21"/>
              </w:rPr>
              <w:t>2</w:t>
            </w:r>
          </w:p>
        </w:tc>
        <w:tc>
          <w:tcPr>
            <w:tcW w:w="1536" w:type="pct"/>
            <w:tcBorders>
              <w:tl2br w:val="nil"/>
              <w:tr2bl w:val="nil"/>
            </w:tcBorders>
            <w:tcMar>
              <w:left w:w="28" w:type="dxa"/>
              <w:right w:w="28" w:type="dxa"/>
            </w:tcMar>
            <w:vAlign w:val="center"/>
          </w:tcPr>
          <w:p>
            <w:pPr>
              <w:spacing w:line="240" w:lineRule="auto"/>
              <w:ind w:firstLine="0" w:firstLineChars="0"/>
              <w:jc w:val="center"/>
              <w:rPr>
                <w:sz w:val="21"/>
                <w:szCs w:val="21"/>
              </w:rPr>
            </w:pPr>
            <w:r>
              <w:rPr>
                <w:rFonts w:hint="eastAsia"/>
                <w:sz w:val="21"/>
                <w:szCs w:val="21"/>
              </w:rPr>
              <w:t>二氧化硫</w:t>
            </w:r>
          </w:p>
        </w:tc>
        <w:tc>
          <w:tcPr>
            <w:tcW w:w="736" w:type="pct"/>
            <w:tcBorders>
              <w:tl2br w:val="nil"/>
              <w:tr2bl w:val="nil"/>
            </w:tcBorders>
            <w:tcMar>
              <w:left w:w="28" w:type="dxa"/>
              <w:right w:w="28" w:type="dxa"/>
            </w:tcMar>
            <w:vAlign w:val="center"/>
          </w:tcPr>
          <w:p>
            <w:pPr>
              <w:spacing w:line="240" w:lineRule="auto"/>
              <w:ind w:firstLine="0" w:firstLineChars="0"/>
              <w:jc w:val="center"/>
              <w:rPr>
                <w:sz w:val="21"/>
                <w:szCs w:val="21"/>
              </w:rPr>
            </w:pPr>
            <w:r>
              <w:rPr>
                <w:sz w:val="21"/>
                <w:szCs w:val="21"/>
              </w:rPr>
              <w:t>mg/m</w:t>
            </w:r>
            <w:r>
              <w:rPr>
                <w:sz w:val="21"/>
                <w:szCs w:val="21"/>
                <w:vertAlign w:val="superscript"/>
              </w:rPr>
              <w:t>3</w:t>
            </w:r>
          </w:p>
        </w:tc>
        <w:tc>
          <w:tcPr>
            <w:tcW w:w="2000" w:type="pct"/>
            <w:tcBorders>
              <w:tl2br w:val="nil"/>
              <w:tr2bl w:val="nil"/>
            </w:tcBorders>
            <w:tcMar>
              <w:left w:w="28" w:type="dxa"/>
              <w:right w:w="28" w:type="dxa"/>
            </w:tcMar>
            <w:vAlign w:val="center"/>
          </w:tcPr>
          <w:p>
            <w:pPr>
              <w:spacing w:line="240" w:lineRule="auto"/>
              <w:ind w:firstLine="0" w:firstLineChars="0"/>
              <w:jc w:val="center"/>
              <w:rPr>
                <w:sz w:val="21"/>
                <w:szCs w:val="21"/>
              </w:rPr>
            </w:pPr>
            <w:r>
              <w:rPr>
                <w:rFonts w:hint="eastAsia"/>
                <w:sz w:val="21"/>
                <w:szCs w:val="21"/>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27" w:type="pct"/>
            <w:tcBorders>
              <w:tl2br w:val="nil"/>
              <w:tr2bl w:val="nil"/>
            </w:tcBorders>
            <w:tcMar>
              <w:left w:w="28" w:type="dxa"/>
              <w:right w:w="28" w:type="dxa"/>
            </w:tcMar>
            <w:vAlign w:val="center"/>
          </w:tcPr>
          <w:p>
            <w:pPr>
              <w:spacing w:line="240" w:lineRule="auto"/>
              <w:ind w:firstLine="0" w:firstLineChars="0"/>
              <w:jc w:val="center"/>
              <w:rPr>
                <w:sz w:val="21"/>
                <w:szCs w:val="21"/>
              </w:rPr>
            </w:pPr>
            <w:r>
              <w:rPr>
                <w:rFonts w:hint="eastAsia"/>
                <w:sz w:val="21"/>
                <w:szCs w:val="21"/>
              </w:rPr>
              <w:t>3</w:t>
            </w:r>
          </w:p>
        </w:tc>
        <w:tc>
          <w:tcPr>
            <w:tcW w:w="1536" w:type="pct"/>
            <w:tcBorders>
              <w:tl2br w:val="nil"/>
              <w:tr2bl w:val="nil"/>
            </w:tcBorders>
            <w:tcMar>
              <w:left w:w="28" w:type="dxa"/>
              <w:right w:w="28" w:type="dxa"/>
            </w:tcMar>
            <w:vAlign w:val="center"/>
          </w:tcPr>
          <w:p>
            <w:pPr>
              <w:spacing w:line="240" w:lineRule="auto"/>
              <w:ind w:firstLine="0" w:firstLineChars="0"/>
              <w:jc w:val="center"/>
              <w:rPr>
                <w:sz w:val="21"/>
                <w:szCs w:val="21"/>
              </w:rPr>
            </w:pPr>
            <w:r>
              <w:rPr>
                <w:rFonts w:hint="eastAsia"/>
                <w:sz w:val="21"/>
                <w:szCs w:val="21"/>
              </w:rPr>
              <w:t>氮氧化物</w:t>
            </w:r>
          </w:p>
        </w:tc>
        <w:tc>
          <w:tcPr>
            <w:tcW w:w="736" w:type="pct"/>
            <w:tcBorders>
              <w:tl2br w:val="nil"/>
              <w:tr2bl w:val="nil"/>
            </w:tcBorders>
            <w:tcMar>
              <w:left w:w="28" w:type="dxa"/>
              <w:right w:w="28" w:type="dxa"/>
            </w:tcMar>
            <w:vAlign w:val="center"/>
          </w:tcPr>
          <w:p>
            <w:pPr>
              <w:spacing w:line="240" w:lineRule="auto"/>
              <w:ind w:firstLine="0" w:firstLineChars="0"/>
              <w:jc w:val="center"/>
              <w:rPr>
                <w:sz w:val="21"/>
                <w:szCs w:val="21"/>
              </w:rPr>
            </w:pPr>
            <w:r>
              <w:rPr>
                <w:sz w:val="21"/>
                <w:szCs w:val="21"/>
              </w:rPr>
              <w:t>mg/m</w:t>
            </w:r>
            <w:r>
              <w:rPr>
                <w:sz w:val="21"/>
                <w:szCs w:val="21"/>
                <w:vertAlign w:val="superscript"/>
              </w:rPr>
              <w:t>3</w:t>
            </w:r>
          </w:p>
        </w:tc>
        <w:tc>
          <w:tcPr>
            <w:tcW w:w="2000" w:type="pct"/>
            <w:tcBorders>
              <w:tl2br w:val="nil"/>
              <w:tr2bl w:val="nil"/>
            </w:tcBorders>
            <w:tcMar>
              <w:left w:w="28" w:type="dxa"/>
              <w:right w:w="28" w:type="dxa"/>
            </w:tcMar>
            <w:vAlign w:val="center"/>
          </w:tcPr>
          <w:p>
            <w:pPr>
              <w:spacing w:line="240" w:lineRule="auto"/>
              <w:ind w:firstLine="0" w:firstLineChars="0"/>
              <w:jc w:val="center"/>
              <w:rPr>
                <w:sz w:val="21"/>
                <w:szCs w:val="21"/>
              </w:rPr>
            </w:pPr>
            <w:r>
              <w:rPr>
                <w:rFonts w:hint="eastAsia"/>
                <w:sz w:val="21"/>
                <w:szCs w:val="21"/>
              </w:rPr>
              <w:t>0.12</w:t>
            </w:r>
          </w:p>
        </w:tc>
      </w:tr>
    </w:tbl>
    <w:p>
      <w:pPr>
        <w:ind w:firstLine="482"/>
        <w:rPr>
          <w:b/>
          <w:bCs/>
        </w:rPr>
      </w:pPr>
      <w:r>
        <w:rPr>
          <w:rFonts w:hint="eastAsia"/>
          <w:b/>
          <w:bCs/>
        </w:rPr>
        <w:t>（2）运营期</w:t>
      </w:r>
    </w:p>
    <w:p>
      <w:pPr>
        <w:ind w:firstLine="482"/>
        <w:rPr>
          <w:b/>
          <w:bCs/>
        </w:rPr>
      </w:pPr>
      <w:r>
        <w:rPr>
          <w:b/>
          <w:bCs/>
        </w:rPr>
        <w:t>①</w:t>
      </w:r>
      <w:r>
        <w:rPr>
          <w:rFonts w:hint="eastAsia"/>
          <w:b/>
          <w:bCs/>
        </w:rPr>
        <w:t>恶臭</w:t>
      </w:r>
      <w:r>
        <w:rPr>
          <w:b/>
          <w:bCs/>
        </w:rPr>
        <w:t>污染物</w:t>
      </w:r>
    </w:p>
    <w:p>
      <w:pPr>
        <w:ind w:firstLine="480"/>
      </w:pPr>
      <w:r>
        <w:rPr>
          <w:rFonts w:hint="eastAsia"/>
        </w:rPr>
        <w:t>本项目运营期待宰圈产生的恶臭气体（无组织，H</w:t>
      </w:r>
      <w:r>
        <w:rPr>
          <w:rFonts w:hint="eastAsia"/>
          <w:vertAlign w:val="subscript"/>
        </w:rPr>
        <w:t>2</w:t>
      </w:r>
      <w:r>
        <w:rPr>
          <w:rFonts w:hint="eastAsia"/>
        </w:rPr>
        <w:t>S、NH</w:t>
      </w:r>
      <w:r>
        <w:rPr>
          <w:rFonts w:hint="eastAsia"/>
          <w:vertAlign w:val="subscript"/>
        </w:rPr>
        <w:t>3</w:t>
      </w:r>
      <w:r>
        <w:rPr>
          <w:rFonts w:hint="eastAsia"/>
        </w:rPr>
        <w:t>、臭气浓度）及屠宰车间产生的恶臭气体（有组织，H</w:t>
      </w:r>
      <w:r>
        <w:rPr>
          <w:rFonts w:hint="eastAsia"/>
          <w:vertAlign w:val="subscript"/>
        </w:rPr>
        <w:t>2</w:t>
      </w:r>
      <w:r>
        <w:rPr>
          <w:rFonts w:hint="eastAsia"/>
        </w:rPr>
        <w:t>S、NH</w:t>
      </w:r>
      <w:r>
        <w:rPr>
          <w:rFonts w:hint="eastAsia"/>
          <w:vertAlign w:val="subscript"/>
        </w:rPr>
        <w:t>3</w:t>
      </w:r>
      <w:r>
        <w:rPr>
          <w:rFonts w:hint="eastAsia"/>
        </w:rPr>
        <w:t>、臭气浓度）排放</w:t>
      </w:r>
      <w:r>
        <w:t>执行《恶臭污染物排放标准》（GB14554-93）表</w:t>
      </w:r>
      <w:r>
        <w:rPr>
          <w:rFonts w:hint="eastAsia"/>
        </w:rPr>
        <w:t>1及</w:t>
      </w:r>
      <w:r>
        <w:t>表2</w:t>
      </w:r>
      <w:r>
        <w:rPr>
          <w:rFonts w:hint="eastAsia"/>
        </w:rPr>
        <w:t>中的相关要求</w:t>
      </w:r>
      <w:r>
        <w:t>，具体限值见表</w:t>
      </w:r>
      <w:r>
        <w:rPr>
          <w:rFonts w:hint="eastAsia"/>
        </w:rPr>
        <w:t>1.10</w:t>
      </w:r>
      <w:r>
        <w:t>。</w:t>
      </w:r>
    </w:p>
    <w:p>
      <w:pPr>
        <w:spacing w:line="240" w:lineRule="auto"/>
        <w:ind w:firstLine="482"/>
        <w:jc w:val="center"/>
        <w:rPr>
          <w:b/>
          <w:bCs/>
        </w:rPr>
      </w:pPr>
      <w:r>
        <w:rPr>
          <w:b/>
          <w:bCs/>
        </w:rPr>
        <w:t>表</w:t>
      </w:r>
      <w:r>
        <w:rPr>
          <w:rFonts w:hint="eastAsia"/>
          <w:b/>
          <w:bCs/>
        </w:rPr>
        <w:t>1.10</w:t>
      </w:r>
      <w:r>
        <w:rPr>
          <w:b/>
          <w:bCs/>
        </w:rPr>
        <w:t xml:space="preserve">    臭气污染物排放标准</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621"/>
        <w:gridCol w:w="3309"/>
        <w:gridCol w:w="3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一、有组织</w:t>
            </w:r>
            <w:r>
              <w:rPr>
                <w:b/>
                <w:bCs/>
                <w:sz w:val="21"/>
                <w:szCs w:val="21"/>
              </w:rPr>
              <w:t>恶臭污染物</w:t>
            </w:r>
            <w:r>
              <w:rPr>
                <w:rFonts w:hint="eastAsia"/>
                <w:b/>
                <w:bCs/>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污染</w:t>
            </w:r>
            <w:r>
              <w:rPr>
                <w:b/>
                <w:bCs/>
                <w:sz w:val="21"/>
                <w:szCs w:val="21"/>
              </w:rPr>
              <w:t>因子</w:t>
            </w:r>
          </w:p>
        </w:tc>
        <w:tc>
          <w:tcPr>
            <w:tcW w:w="814" w:type="pct"/>
            <w:tcBorders>
              <w:tl2br w:val="nil"/>
              <w:tr2bl w:val="nil"/>
            </w:tcBorders>
            <w:vAlign w:val="center"/>
          </w:tcPr>
          <w:p>
            <w:pPr>
              <w:spacing w:line="240" w:lineRule="auto"/>
              <w:ind w:firstLine="0" w:firstLineChars="0"/>
              <w:jc w:val="center"/>
              <w:rPr>
                <w:b/>
                <w:bCs/>
                <w:sz w:val="21"/>
                <w:szCs w:val="21"/>
              </w:rPr>
            </w:pPr>
            <w:r>
              <w:rPr>
                <w:b/>
                <w:bCs/>
                <w:sz w:val="21"/>
                <w:szCs w:val="21"/>
              </w:rPr>
              <w:t>排气筒高度</w:t>
            </w:r>
          </w:p>
        </w:tc>
        <w:tc>
          <w:tcPr>
            <w:tcW w:w="1662"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有组织</w:t>
            </w:r>
            <w:r>
              <w:rPr>
                <w:b/>
                <w:bCs/>
                <w:sz w:val="21"/>
                <w:szCs w:val="21"/>
              </w:rPr>
              <w:t>恶臭污染物排放标准值</w:t>
            </w:r>
          </w:p>
        </w:tc>
        <w:tc>
          <w:tcPr>
            <w:tcW w:w="1803" w:type="pct"/>
            <w:tcBorders>
              <w:tl2br w:val="nil"/>
              <w:tr2bl w:val="nil"/>
            </w:tcBorders>
            <w:vAlign w:val="center"/>
          </w:tcPr>
          <w:p>
            <w:pPr>
              <w:spacing w:line="240" w:lineRule="auto"/>
              <w:ind w:firstLine="0" w:firstLineChars="0"/>
              <w:jc w:val="center"/>
              <w:rPr>
                <w:b/>
                <w:bCs/>
                <w:sz w:val="21"/>
                <w:szCs w:val="21"/>
              </w:rPr>
            </w:pPr>
            <w:r>
              <w:rPr>
                <w:b/>
                <w:bCs/>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sz w:val="21"/>
                <w:szCs w:val="21"/>
              </w:rPr>
              <w:t>氨</w:t>
            </w:r>
          </w:p>
        </w:tc>
        <w:tc>
          <w:tcPr>
            <w:tcW w:w="814" w:type="pct"/>
            <w:vMerge w:val="restart"/>
            <w:tcBorders>
              <w:tl2br w:val="nil"/>
              <w:tr2bl w:val="nil"/>
            </w:tcBorders>
            <w:vAlign w:val="center"/>
          </w:tcPr>
          <w:p>
            <w:pPr>
              <w:spacing w:line="240" w:lineRule="auto"/>
              <w:ind w:firstLine="0" w:firstLineChars="0"/>
              <w:jc w:val="center"/>
              <w:rPr>
                <w:sz w:val="21"/>
                <w:szCs w:val="21"/>
              </w:rPr>
            </w:pPr>
            <w:r>
              <w:rPr>
                <w:sz w:val="21"/>
                <w:szCs w:val="21"/>
              </w:rPr>
              <w:t>15m</w:t>
            </w:r>
          </w:p>
        </w:tc>
        <w:tc>
          <w:tcPr>
            <w:tcW w:w="1662" w:type="pct"/>
            <w:tcBorders>
              <w:tl2br w:val="nil"/>
              <w:tr2bl w:val="nil"/>
            </w:tcBorders>
            <w:vAlign w:val="center"/>
          </w:tcPr>
          <w:p>
            <w:pPr>
              <w:spacing w:line="240" w:lineRule="auto"/>
              <w:ind w:firstLine="0" w:firstLineChars="0"/>
              <w:jc w:val="center"/>
              <w:rPr>
                <w:sz w:val="21"/>
                <w:szCs w:val="21"/>
              </w:rPr>
            </w:pPr>
            <w:r>
              <w:rPr>
                <w:sz w:val="21"/>
                <w:szCs w:val="21"/>
              </w:rPr>
              <w:t>4.9kg/h</w:t>
            </w:r>
          </w:p>
        </w:tc>
        <w:tc>
          <w:tcPr>
            <w:tcW w:w="1803" w:type="pct"/>
            <w:vMerge w:val="restart"/>
            <w:tcBorders>
              <w:tl2br w:val="nil"/>
              <w:tr2bl w:val="nil"/>
            </w:tcBorders>
            <w:vAlign w:val="center"/>
          </w:tcPr>
          <w:p>
            <w:pPr>
              <w:spacing w:line="240" w:lineRule="auto"/>
              <w:ind w:firstLine="0" w:firstLineChars="0"/>
              <w:jc w:val="center"/>
              <w:rPr>
                <w:sz w:val="21"/>
                <w:szCs w:val="21"/>
              </w:rPr>
            </w:pPr>
            <w:r>
              <w:rPr>
                <w:sz w:val="21"/>
                <w:szCs w:val="21"/>
              </w:rPr>
              <w:t>《恶臭污染物排放标准》（GB14554-93）表表2中的相关要求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sz w:val="21"/>
                <w:szCs w:val="21"/>
              </w:rPr>
              <w:t>硫化氢</w:t>
            </w:r>
          </w:p>
        </w:tc>
        <w:tc>
          <w:tcPr>
            <w:tcW w:w="814" w:type="pct"/>
            <w:vMerge w:val="continue"/>
            <w:tcBorders>
              <w:tl2br w:val="nil"/>
              <w:tr2bl w:val="nil"/>
            </w:tcBorders>
            <w:vAlign w:val="center"/>
          </w:tcPr>
          <w:p>
            <w:pPr>
              <w:spacing w:line="240" w:lineRule="auto"/>
              <w:jc w:val="center"/>
              <w:rPr>
                <w:sz w:val="21"/>
                <w:szCs w:val="21"/>
              </w:rPr>
            </w:pPr>
          </w:p>
        </w:tc>
        <w:tc>
          <w:tcPr>
            <w:tcW w:w="1662" w:type="pct"/>
            <w:tcBorders>
              <w:tl2br w:val="nil"/>
              <w:tr2bl w:val="nil"/>
            </w:tcBorders>
            <w:vAlign w:val="center"/>
          </w:tcPr>
          <w:p>
            <w:pPr>
              <w:spacing w:line="240" w:lineRule="auto"/>
              <w:ind w:firstLine="0" w:firstLineChars="0"/>
              <w:jc w:val="center"/>
              <w:rPr>
                <w:sz w:val="21"/>
                <w:szCs w:val="21"/>
              </w:rPr>
            </w:pPr>
            <w:r>
              <w:rPr>
                <w:sz w:val="21"/>
                <w:szCs w:val="21"/>
              </w:rPr>
              <w:t>0.33kg/h</w:t>
            </w:r>
          </w:p>
        </w:tc>
        <w:tc>
          <w:tcPr>
            <w:tcW w:w="1803" w:type="pct"/>
            <w:vMerge w:val="continue"/>
            <w:tcBorders>
              <w:tl2br w:val="nil"/>
              <w:tr2bl w:val="nil"/>
            </w:tcBorders>
            <w:vAlign w:val="center"/>
          </w:tcPr>
          <w:p>
            <w:pPr>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sz w:val="21"/>
                <w:szCs w:val="21"/>
              </w:rPr>
              <w:t>臭气浓度</w:t>
            </w:r>
          </w:p>
        </w:tc>
        <w:tc>
          <w:tcPr>
            <w:tcW w:w="814" w:type="pct"/>
            <w:vMerge w:val="continue"/>
            <w:tcBorders>
              <w:tl2br w:val="nil"/>
              <w:tr2bl w:val="nil"/>
            </w:tcBorders>
            <w:vAlign w:val="center"/>
          </w:tcPr>
          <w:p>
            <w:pPr>
              <w:spacing w:line="240" w:lineRule="auto"/>
              <w:ind w:firstLine="0" w:firstLineChars="0"/>
              <w:jc w:val="center"/>
              <w:rPr>
                <w:sz w:val="21"/>
                <w:szCs w:val="21"/>
              </w:rPr>
            </w:pPr>
          </w:p>
        </w:tc>
        <w:tc>
          <w:tcPr>
            <w:tcW w:w="1662" w:type="pct"/>
            <w:tcBorders>
              <w:tl2br w:val="nil"/>
              <w:tr2bl w:val="nil"/>
            </w:tcBorders>
            <w:vAlign w:val="center"/>
          </w:tcPr>
          <w:p>
            <w:pPr>
              <w:spacing w:line="240" w:lineRule="auto"/>
              <w:ind w:firstLine="0" w:firstLineChars="0"/>
              <w:jc w:val="center"/>
              <w:rPr>
                <w:sz w:val="21"/>
                <w:szCs w:val="21"/>
              </w:rPr>
            </w:pPr>
            <w:r>
              <w:rPr>
                <w:rFonts w:hint="eastAsia"/>
                <w:sz w:val="21"/>
                <w:szCs w:val="21"/>
              </w:rPr>
              <w:t>2000（无量纲）</w:t>
            </w:r>
          </w:p>
        </w:tc>
        <w:tc>
          <w:tcPr>
            <w:tcW w:w="1803"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sz w:val="21"/>
                <w:szCs w:val="21"/>
              </w:rPr>
            </w:pPr>
            <w:r>
              <w:rPr>
                <w:rFonts w:hint="eastAsia"/>
                <w:sz w:val="21"/>
                <w:szCs w:val="21"/>
              </w:rPr>
              <w:t>二、</w:t>
            </w:r>
            <w:r>
              <w:rPr>
                <w:b/>
                <w:bCs/>
                <w:sz w:val="21"/>
                <w:szCs w:val="21"/>
              </w:rPr>
              <w:t>无组织恶臭污染物</w:t>
            </w:r>
            <w:r>
              <w:rPr>
                <w:rFonts w:hint="eastAsia"/>
                <w:b/>
                <w:bCs/>
                <w:sz w:val="21"/>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rFonts w:hint="eastAsia"/>
                <w:b/>
                <w:bCs/>
                <w:sz w:val="21"/>
                <w:szCs w:val="21"/>
              </w:rPr>
              <w:t>污染</w:t>
            </w:r>
            <w:r>
              <w:rPr>
                <w:b/>
                <w:bCs/>
                <w:sz w:val="21"/>
                <w:szCs w:val="21"/>
              </w:rPr>
              <w:t>因子</w:t>
            </w:r>
          </w:p>
        </w:tc>
        <w:tc>
          <w:tcPr>
            <w:tcW w:w="2476" w:type="pct"/>
            <w:gridSpan w:val="2"/>
            <w:tcBorders>
              <w:tl2br w:val="nil"/>
              <w:tr2bl w:val="nil"/>
            </w:tcBorders>
            <w:vAlign w:val="center"/>
          </w:tcPr>
          <w:p>
            <w:pPr>
              <w:spacing w:line="240" w:lineRule="auto"/>
              <w:ind w:firstLine="0" w:firstLineChars="0"/>
              <w:jc w:val="center"/>
              <w:rPr>
                <w:sz w:val="21"/>
                <w:szCs w:val="21"/>
              </w:rPr>
            </w:pPr>
            <w:r>
              <w:rPr>
                <w:b/>
                <w:bCs/>
                <w:sz w:val="21"/>
                <w:szCs w:val="21"/>
              </w:rPr>
              <w:t>无组织恶臭污染物排放监控浓度限值</w:t>
            </w:r>
            <w:r>
              <w:rPr>
                <w:rFonts w:hint="eastAsia"/>
                <w:b/>
                <w:bCs/>
                <w:sz w:val="21"/>
                <w:szCs w:val="21"/>
              </w:rPr>
              <w:t>要求</w:t>
            </w:r>
          </w:p>
        </w:tc>
        <w:tc>
          <w:tcPr>
            <w:tcW w:w="1803" w:type="pct"/>
            <w:tcBorders>
              <w:tl2br w:val="nil"/>
              <w:tr2bl w:val="nil"/>
            </w:tcBorders>
            <w:vAlign w:val="center"/>
          </w:tcPr>
          <w:p>
            <w:pPr>
              <w:spacing w:line="240" w:lineRule="auto"/>
              <w:ind w:firstLine="0" w:firstLineChars="0"/>
              <w:jc w:val="center"/>
              <w:rPr>
                <w:sz w:val="21"/>
                <w:szCs w:val="21"/>
              </w:rPr>
            </w:pPr>
            <w:r>
              <w:rPr>
                <w:b/>
                <w:bCs/>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sz w:val="21"/>
                <w:szCs w:val="21"/>
              </w:rPr>
              <w:t>氨</w:t>
            </w:r>
          </w:p>
        </w:tc>
        <w:tc>
          <w:tcPr>
            <w:tcW w:w="247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1.5</w:t>
            </w:r>
            <w:r>
              <w:rPr>
                <w:sz w:val="21"/>
                <w:szCs w:val="21"/>
              </w:rPr>
              <w:t>mg/m</w:t>
            </w:r>
            <w:r>
              <w:rPr>
                <w:sz w:val="21"/>
                <w:szCs w:val="21"/>
                <w:vertAlign w:val="superscript"/>
              </w:rPr>
              <w:t>3</w:t>
            </w:r>
          </w:p>
        </w:tc>
        <w:tc>
          <w:tcPr>
            <w:tcW w:w="1803" w:type="pct"/>
            <w:vMerge w:val="restart"/>
            <w:tcBorders>
              <w:tl2br w:val="nil"/>
              <w:tr2bl w:val="nil"/>
            </w:tcBorders>
            <w:vAlign w:val="center"/>
          </w:tcPr>
          <w:p>
            <w:pPr>
              <w:spacing w:line="240" w:lineRule="auto"/>
              <w:ind w:firstLine="0" w:firstLineChars="0"/>
              <w:jc w:val="center"/>
              <w:rPr>
                <w:sz w:val="21"/>
                <w:szCs w:val="21"/>
              </w:rPr>
            </w:pPr>
            <w:r>
              <w:rPr>
                <w:sz w:val="21"/>
                <w:szCs w:val="21"/>
              </w:rPr>
              <w:t>《恶臭污染物排放标准》（GB14554-93）表</w:t>
            </w:r>
            <w:r>
              <w:rPr>
                <w:rFonts w:hint="eastAsia"/>
                <w:sz w:val="21"/>
                <w:szCs w:val="21"/>
              </w:rPr>
              <w:t>1</w:t>
            </w:r>
            <w:r>
              <w:rPr>
                <w:sz w:val="21"/>
                <w:szCs w:val="21"/>
              </w:rPr>
              <w:t>中的相关要求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sz w:val="21"/>
                <w:szCs w:val="21"/>
              </w:rPr>
              <w:t>硫化氢</w:t>
            </w:r>
          </w:p>
        </w:tc>
        <w:tc>
          <w:tcPr>
            <w:tcW w:w="2476" w:type="pct"/>
            <w:gridSpan w:val="2"/>
            <w:tcBorders>
              <w:tl2br w:val="nil"/>
              <w:tr2bl w:val="nil"/>
            </w:tcBorders>
            <w:vAlign w:val="center"/>
          </w:tcPr>
          <w:p>
            <w:pPr>
              <w:spacing w:line="240" w:lineRule="auto"/>
              <w:ind w:firstLine="0" w:firstLineChars="0"/>
              <w:jc w:val="center"/>
              <w:rPr>
                <w:sz w:val="21"/>
                <w:szCs w:val="21"/>
              </w:rPr>
            </w:pPr>
            <w:r>
              <w:rPr>
                <w:sz w:val="21"/>
                <w:szCs w:val="21"/>
              </w:rPr>
              <w:t>0.06mg/m</w:t>
            </w:r>
            <w:r>
              <w:rPr>
                <w:sz w:val="21"/>
                <w:szCs w:val="21"/>
                <w:vertAlign w:val="superscript"/>
              </w:rPr>
              <w:t>3</w:t>
            </w:r>
          </w:p>
        </w:tc>
        <w:tc>
          <w:tcPr>
            <w:tcW w:w="1803"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9" w:type="pct"/>
            <w:tcBorders>
              <w:tl2br w:val="nil"/>
              <w:tr2bl w:val="nil"/>
            </w:tcBorders>
            <w:vAlign w:val="center"/>
          </w:tcPr>
          <w:p>
            <w:pPr>
              <w:spacing w:line="240" w:lineRule="auto"/>
              <w:ind w:firstLine="0" w:firstLineChars="0"/>
              <w:jc w:val="center"/>
              <w:rPr>
                <w:sz w:val="21"/>
                <w:szCs w:val="21"/>
              </w:rPr>
            </w:pPr>
            <w:r>
              <w:rPr>
                <w:sz w:val="21"/>
                <w:szCs w:val="21"/>
              </w:rPr>
              <w:t>臭气浓度</w:t>
            </w:r>
          </w:p>
        </w:tc>
        <w:tc>
          <w:tcPr>
            <w:tcW w:w="247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20（无量纲）</w:t>
            </w:r>
          </w:p>
        </w:tc>
        <w:tc>
          <w:tcPr>
            <w:tcW w:w="1803" w:type="pct"/>
            <w:vMerge w:val="continue"/>
            <w:tcBorders>
              <w:tl2br w:val="nil"/>
              <w:tr2bl w:val="nil"/>
            </w:tcBorders>
            <w:vAlign w:val="center"/>
          </w:tcPr>
          <w:p>
            <w:pPr>
              <w:spacing w:line="240" w:lineRule="auto"/>
              <w:ind w:firstLine="0" w:firstLineChars="0"/>
              <w:rPr>
                <w:sz w:val="21"/>
                <w:szCs w:val="21"/>
              </w:rPr>
            </w:pPr>
          </w:p>
        </w:tc>
      </w:tr>
    </w:tbl>
    <w:p>
      <w:pPr>
        <w:ind w:firstLine="482"/>
        <w:rPr>
          <w:b/>
          <w:bCs/>
        </w:rPr>
      </w:pPr>
      <w:r>
        <w:rPr>
          <w:b/>
          <w:bCs/>
        </w:rPr>
        <w:t>②</w:t>
      </w:r>
      <w:r>
        <w:rPr>
          <w:rFonts w:hint="eastAsia"/>
          <w:b/>
          <w:bCs/>
        </w:rPr>
        <w:t>烹饪油烟</w:t>
      </w:r>
    </w:p>
    <w:p>
      <w:pPr>
        <w:ind w:firstLine="480"/>
      </w:pPr>
      <w:r>
        <w:t>本项目运营期</w:t>
      </w:r>
      <w:r>
        <w:rPr>
          <w:rFonts w:hint="eastAsia"/>
        </w:rPr>
        <w:t>牛羊预制品生产线</w:t>
      </w:r>
      <w:r>
        <w:rPr>
          <w:rFonts w:hint="eastAsia"/>
          <w:lang w:val="en-US" w:eastAsia="zh-CN"/>
        </w:rPr>
        <w:t>炒制工段产生的</w:t>
      </w:r>
      <w:r>
        <w:rPr>
          <w:rFonts w:hint="eastAsia"/>
        </w:rPr>
        <w:t>油烟</w:t>
      </w:r>
      <w:r>
        <w:t>排放执行《饮食业油烟排放标准（试行）》（GB18483-2001）中的大型规模标准。具体标准限值见表</w:t>
      </w:r>
      <w:r>
        <w:rPr>
          <w:rFonts w:hint="eastAsia"/>
        </w:rPr>
        <w:t>1.11</w:t>
      </w:r>
      <w:r>
        <w:t>。</w:t>
      </w:r>
    </w:p>
    <w:p>
      <w:pPr>
        <w:spacing w:line="240" w:lineRule="auto"/>
        <w:ind w:firstLine="0" w:firstLineChars="0"/>
        <w:jc w:val="center"/>
        <w:rPr>
          <w:b/>
          <w:bCs/>
        </w:rPr>
      </w:pPr>
    </w:p>
    <w:p>
      <w:pPr>
        <w:spacing w:line="240" w:lineRule="auto"/>
        <w:ind w:firstLine="0" w:firstLineChars="0"/>
        <w:jc w:val="center"/>
        <w:rPr>
          <w:b/>
          <w:bCs/>
        </w:rPr>
      </w:pPr>
    </w:p>
    <w:p>
      <w:pPr>
        <w:spacing w:line="240" w:lineRule="auto"/>
        <w:ind w:firstLine="0" w:firstLineChars="0"/>
        <w:jc w:val="center"/>
      </w:pPr>
      <w:r>
        <w:rPr>
          <w:b/>
          <w:bCs/>
        </w:rPr>
        <w:t>表</w:t>
      </w:r>
      <w:r>
        <w:rPr>
          <w:rFonts w:hint="eastAsia"/>
          <w:b/>
          <w:bCs/>
        </w:rPr>
        <w:t>1.11</w:t>
      </w:r>
      <w:r>
        <w:rPr>
          <w:b/>
          <w:bCs/>
        </w:rPr>
        <w:t xml:space="preserve">    饮食业单位的油烟最高允许排放浓度和油烟净化设施最低去除效率</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9"/>
        <w:gridCol w:w="1903"/>
        <w:gridCol w:w="2112"/>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2" w:type="pct"/>
            <w:tcBorders>
              <w:tl2br w:val="nil"/>
              <w:tr2bl w:val="nil"/>
            </w:tcBorders>
            <w:vAlign w:val="center"/>
          </w:tcPr>
          <w:p>
            <w:pPr>
              <w:spacing w:line="240" w:lineRule="auto"/>
              <w:ind w:firstLine="0" w:firstLineChars="0"/>
              <w:jc w:val="center"/>
              <w:rPr>
                <w:b/>
                <w:bCs/>
                <w:sz w:val="21"/>
                <w:szCs w:val="21"/>
              </w:rPr>
            </w:pPr>
            <w:r>
              <w:rPr>
                <w:b/>
                <w:bCs/>
                <w:sz w:val="21"/>
                <w:szCs w:val="21"/>
              </w:rPr>
              <w:t>规模</w:t>
            </w:r>
          </w:p>
        </w:tc>
        <w:tc>
          <w:tcPr>
            <w:tcW w:w="955" w:type="pct"/>
            <w:tcBorders>
              <w:tl2br w:val="nil"/>
              <w:tr2bl w:val="nil"/>
            </w:tcBorders>
            <w:vAlign w:val="center"/>
          </w:tcPr>
          <w:p>
            <w:pPr>
              <w:spacing w:line="240" w:lineRule="auto"/>
              <w:ind w:firstLine="0" w:firstLineChars="0"/>
              <w:jc w:val="center"/>
              <w:rPr>
                <w:b/>
                <w:bCs/>
                <w:sz w:val="21"/>
                <w:szCs w:val="21"/>
              </w:rPr>
            </w:pPr>
            <w:r>
              <w:rPr>
                <w:b/>
                <w:bCs/>
                <w:sz w:val="21"/>
                <w:szCs w:val="21"/>
              </w:rPr>
              <w:t>小型</w:t>
            </w:r>
          </w:p>
        </w:tc>
        <w:tc>
          <w:tcPr>
            <w:tcW w:w="1060" w:type="pct"/>
            <w:tcBorders>
              <w:tl2br w:val="nil"/>
              <w:tr2bl w:val="nil"/>
            </w:tcBorders>
            <w:vAlign w:val="center"/>
          </w:tcPr>
          <w:p>
            <w:pPr>
              <w:spacing w:line="240" w:lineRule="auto"/>
              <w:ind w:firstLine="0" w:firstLineChars="0"/>
              <w:jc w:val="center"/>
              <w:rPr>
                <w:b/>
                <w:bCs/>
                <w:sz w:val="21"/>
                <w:szCs w:val="21"/>
              </w:rPr>
            </w:pPr>
            <w:r>
              <w:rPr>
                <w:b/>
                <w:bCs/>
                <w:sz w:val="21"/>
                <w:szCs w:val="21"/>
              </w:rPr>
              <w:t>中型</w:t>
            </w:r>
          </w:p>
        </w:tc>
        <w:tc>
          <w:tcPr>
            <w:tcW w:w="921" w:type="pct"/>
            <w:tcBorders>
              <w:tl2br w:val="nil"/>
              <w:tr2bl w:val="nil"/>
            </w:tcBorders>
            <w:vAlign w:val="center"/>
          </w:tcPr>
          <w:p>
            <w:pPr>
              <w:spacing w:line="240" w:lineRule="auto"/>
              <w:ind w:firstLine="0" w:firstLineChars="0"/>
              <w:jc w:val="center"/>
              <w:rPr>
                <w:b/>
                <w:bCs/>
                <w:sz w:val="21"/>
                <w:szCs w:val="21"/>
              </w:rPr>
            </w:pPr>
            <w:r>
              <w:rPr>
                <w:b/>
                <w:bCs/>
                <w:sz w:val="21"/>
                <w:szCs w:val="21"/>
              </w:rPr>
              <w:t>大型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2" w:type="pct"/>
            <w:tcBorders>
              <w:tl2br w:val="nil"/>
              <w:tr2bl w:val="nil"/>
            </w:tcBorders>
            <w:vAlign w:val="center"/>
          </w:tcPr>
          <w:p>
            <w:pPr>
              <w:spacing w:line="240" w:lineRule="auto"/>
              <w:ind w:firstLine="0" w:firstLineChars="0"/>
              <w:jc w:val="center"/>
              <w:rPr>
                <w:sz w:val="21"/>
                <w:szCs w:val="21"/>
              </w:rPr>
            </w:pPr>
            <w:r>
              <w:rPr>
                <w:sz w:val="21"/>
                <w:szCs w:val="21"/>
              </w:rPr>
              <w:t>最高允许排放浓度（mg/m</w:t>
            </w:r>
            <w:r>
              <w:rPr>
                <w:sz w:val="21"/>
                <w:szCs w:val="21"/>
                <w:vertAlign w:val="superscript"/>
              </w:rPr>
              <w:t>3</w:t>
            </w:r>
            <w:r>
              <w:rPr>
                <w:sz w:val="21"/>
                <w:szCs w:val="21"/>
              </w:rPr>
              <w:t>）</w:t>
            </w:r>
          </w:p>
        </w:tc>
        <w:tc>
          <w:tcPr>
            <w:tcW w:w="2937" w:type="pct"/>
            <w:gridSpan w:val="3"/>
            <w:tcBorders>
              <w:tl2br w:val="nil"/>
              <w:tr2bl w:val="nil"/>
            </w:tcBorders>
            <w:vAlign w:val="center"/>
          </w:tcPr>
          <w:p>
            <w:pPr>
              <w:spacing w:line="240" w:lineRule="auto"/>
              <w:ind w:firstLine="0" w:firstLineChars="0"/>
              <w:jc w:val="center"/>
              <w:rPr>
                <w:sz w:val="21"/>
                <w:szCs w:val="21"/>
              </w:rPr>
            </w:pPr>
            <w:r>
              <w:rPr>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62" w:type="pct"/>
            <w:tcBorders>
              <w:tl2br w:val="nil"/>
              <w:tr2bl w:val="nil"/>
            </w:tcBorders>
            <w:vAlign w:val="center"/>
          </w:tcPr>
          <w:p>
            <w:pPr>
              <w:spacing w:line="240" w:lineRule="auto"/>
              <w:ind w:firstLine="0" w:firstLineChars="0"/>
              <w:jc w:val="center"/>
              <w:rPr>
                <w:sz w:val="21"/>
                <w:szCs w:val="21"/>
              </w:rPr>
            </w:pPr>
            <w:r>
              <w:rPr>
                <w:sz w:val="21"/>
                <w:szCs w:val="21"/>
              </w:rPr>
              <w:t>净化设施最低去除效率（%）</w:t>
            </w:r>
          </w:p>
        </w:tc>
        <w:tc>
          <w:tcPr>
            <w:tcW w:w="955" w:type="pct"/>
            <w:tcBorders>
              <w:tl2br w:val="nil"/>
              <w:tr2bl w:val="nil"/>
            </w:tcBorders>
            <w:vAlign w:val="center"/>
          </w:tcPr>
          <w:p>
            <w:pPr>
              <w:spacing w:line="240" w:lineRule="auto"/>
              <w:ind w:firstLine="0" w:firstLineChars="0"/>
              <w:jc w:val="center"/>
              <w:rPr>
                <w:sz w:val="21"/>
                <w:szCs w:val="21"/>
              </w:rPr>
            </w:pPr>
            <w:r>
              <w:rPr>
                <w:sz w:val="21"/>
                <w:szCs w:val="21"/>
              </w:rPr>
              <w:t>60</w:t>
            </w:r>
          </w:p>
        </w:tc>
        <w:tc>
          <w:tcPr>
            <w:tcW w:w="1060" w:type="pct"/>
            <w:tcBorders>
              <w:tl2br w:val="nil"/>
              <w:tr2bl w:val="nil"/>
            </w:tcBorders>
            <w:vAlign w:val="center"/>
          </w:tcPr>
          <w:p>
            <w:pPr>
              <w:spacing w:line="240" w:lineRule="auto"/>
              <w:ind w:firstLine="0" w:firstLineChars="0"/>
              <w:jc w:val="center"/>
              <w:rPr>
                <w:sz w:val="21"/>
                <w:szCs w:val="21"/>
              </w:rPr>
            </w:pPr>
            <w:r>
              <w:rPr>
                <w:sz w:val="21"/>
                <w:szCs w:val="21"/>
              </w:rPr>
              <w:t>75</w:t>
            </w:r>
          </w:p>
        </w:tc>
        <w:tc>
          <w:tcPr>
            <w:tcW w:w="921" w:type="pct"/>
            <w:tcBorders>
              <w:tl2br w:val="nil"/>
              <w:tr2bl w:val="nil"/>
            </w:tcBorders>
            <w:vAlign w:val="center"/>
          </w:tcPr>
          <w:p>
            <w:pPr>
              <w:spacing w:line="240" w:lineRule="auto"/>
              <w:ind w:firstLine="0" w:firstLineChars="0"/>
              <w:jc w:val="center"/>
              <w:rPr>
                <w:sz w:val="21"/>
                <w:szCs w:val="21"/>
              </w:rPr>
            </w:pPr>
            <w:r>
              <w:rPr>
                <w:sz w:val="21"/>
                <w:szCs w:val="21"/>
              </w:rPr>
              <w:t>85</w:t>
            </w:r>
          </w:p>
        </w:tc>
      </w:tr>
    </w:tbl>
    <w:p>
      <w:pPr>
        <w:ind w:firstLine="482"/>
      </w:pPr>
      <w:r>
        <w:rPr>
          <w:rFonts w:hint="eastAsia"/>
          <w:b/>
          <w:bCs/>
        </w:rPr>
        <w:t>2、</w:t>
      </w:r>
      <w:r>
        <w:rPr>
          <w:b/>
          <w:bCs/>
        </w:rPr>
        <w:t>水污染物</w:t>
      </w:r>
    </w:p>
    <w:p>
      <w:pPr>
        <w:ind w:firstLine="480"/>
        <w:rPr>
          <w:rFonts w:hint="default"/>
          <w:lang w:val="en-US" w:eastAsia="zh-CN"/>
        </w:rPr>
      </w:pPr>
      <w:r>
        <w:rPr>
          <w:rFonts w:hint="eastAsia"/>
        </w:rPr>
        <w:t>拟建</w:t>
      </w:r>
      <w:r>
        <w:t>项目</w:t>
      </w:r>
      <w:r>
        <w:rPr>
          <w:rFonts w:hint="eastAsia"/>
          <w:lang w:val="en-US" w:eastAsia="zh-CN"/>
        </w:rPr>
        <w:t>为肉羊屠宰及肉制品加工项目，属于肉类加工企业，拟建项目运营期生产废水和生活污水经厂区污水处理站处理后用于厂区饲草区灌溉，因此，本项目运营期生产废水和生活污水经厂区污水处理站处理后出水水质应满足《肉类加工工业水污染物排放标准》（GB13457-92）表3中的肉制品加工一级标准，但是考虑到本项目废水经污水处理站处理后用于饲草区灌溉，用于饲草区灌溉时还应满足</w:t>
      </w:r>
      <w:r>
        <w:t>《农田灌溉水质标准》（GB5084-20</w:t>
      </w:r>
      <w:r>
        <w:rPr>
          <w:rFonts w:hint="eastAsia"/>
        </w:rPr>
        <w:t>21</w:t>
      </w:r>
      <w:r>
        <w:t>）</w:t>
      </w:r>
      <w:r>
        <w:rPr>
          <w:rFonts w:hint="eastAsia"/>
          <w:lang w:val="en-US" w:eastAsia="zh-CN"/>
        </w:rPr>
        <w:t>中的旱作标准，综合以上因素确定，按照“从严确定”原则，本项目生产废水经厂区污水处理站处理后CODcr、BOD</w:t>
      </w:r>
      <w:r>
        <w:rPr>
          <w:rFonts w:hint="eastAsia"/>
          <w:vertAlign w:val="subscript"/>
          <w:lang w:val="en-US" w:eastAsia="zh-CN"/>
        </w:rPr>
        <w:t>5</w:t>
      </w:r>
      <w:r>
        <w:rPr>
          <w:rFonts w:hint="eastAsia"/>
          <w:lang w:val="en-US" w:eastAsia="zh-CN"/>
        </w:rPr>
        <w:t>、SS、氨氮、动植物油、pH值、大肠菌群数应满足《肉类加工工业水污染物排放标准》（GB13457-92）表3中的肉制品加工一级标准，其他污染因子还应满足</w:t>
      </w:r>
      <w:r>
        <w:t>《农田灌溉水质标准》（GB5084-20</w:t>
      </w:r>
      <w:r>
        <w:rPr>
          <w:rFonts w:hint="eastAsia"/>
        </w:rPr>
        <w:t>21</w:t>
      </w:r>
      <w:r>
        <w:t>）</w:t>
      </w:r>
      <w:r>
        <w:rPr>
          <w:rFonts w:hint="eastAsia"/>
          <w:lang w:val="en-US" w:eastAsia="zh-CN"/>
        </w:rPr>
        <w:t>中的旱作标准，具体要求如下：</w:t>
      </w:r>
    </w:p>
    <w:p>
      <w:pPr>
        <w:spacing w:line="240" w:lineRule="auto"/>
        <w:ind w:firstLine="480"/>
        <w:jc w:val="center"/>
        <w:rPr>
          <w:rFonts w:hint="default"/>
          <w:lang w:val="en-US" w:eastAsia="zh-CN"/>
        </w:rPr>
      </w:pPr>
      <w:r>
        <w:rPr>
          <w:rFonts w:hint="eastAsia"/>
          <w:b/>
          <w:bCs/>
          <w:lang w:val="en-US" w:eastAsia="zh-CN"/>
        </w:rPr>
        <w:t>表1.12    《肉类加工工业水污染物排放标准》（GB13457-92）标准</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2354"/>
        <w:gridCol w:w="1087"/>
        <w:gridCol w:w="788"/>
        <w:gridCol w:w="918"/>
        <w:gridCol w:w="1068"/>
        <w:gridCol w:w="674"/>
        <w:gridCol w:w="881"/>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36" w:type="pct"/>
            <w:gridSpan w:val="2"/>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vertAlign w:val="baseline"/>
                <w:lang w:val="en-US" w:eastAsia="zh-CN"/>
              </w:rPr>
              <w:t>类别</w:t>
            </w:r>
          </w:p>
        </w:tc>
        <w:tc>
          <w:tcPr>
            <w:tcW w:w="545"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悬浮物</w:t>
            </w:r>
          </w:p>
        </w:tc>
        <w:tc>
          <w:tcPr>
            <w:tcW w:w="395"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BOD</w:t>
            </w:r>
            <w:r>
              <w:rPr>
                <w:rFonts w:hint="default" w:ascii="Times New Roman" w:hAnsi="Times New Roman" w:eastAsia="宋体" w:cs="Times New Roman"/>
                <w:b/>
                <w:bCs/>
                <w:sz w:val="21"/>
                <w:szCs w:val="21"/>
                <w:vertAlign w:val="subscript"/>
                <w:lang w:val="en-US" w:eastAsia="zh-CN"/>
              </w:rPr>
              <w:t>5</w:t>
            </w:r>
          </w:p>
        </w:tc>
        <w:tc>
          <w:tcPr>
            <w:tcW w:w="460"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CODcr</w:t>
            </w:r>
          </w:p>
        </w:tc>
        <w:tc>
          <w:tcPr>
            <w:tcW w:w="536"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动植物油</w:t>
            </w:r>
          </w:p>
        </w:tc>
        <w:tc>
          <w:tcPr>
            <w:tcW w:w="338"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eastAsia" w:ascii="Times New Roman" w:hAnsi="Times New Roman" w:eastAsia="宋体" w:cs="Times New Roman"/>
                <w:b/>
                <w:bCs/>
                <w:sz w:val="21"/>
                <w:szCs w:val="21"/>
                <w:vertAlign w:val="baseline"/>
                <w:lang w:val="en-US" w:eastAsia="zh-CN"/>
              </w:rPr>
              <w:t>氨氮</w:t>
            </w:r>
          </w:p>
        </w:tc>
        <w:tc>
          <w:tcPr>
            <w:tcW w:w="442"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pH值</w:t>
            </w:r>
          </w:p>
        </w:tc>
        <w:tc>
          <w:tcPr>
            <w:tcW w:w="643"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大肠菌群数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restar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肉制品加工</w:t>
            </w:r>
          </w:p>
        </w:tc>
        <w:tc>
          <w:tcPr>
            <w:tcW w:w="1181"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排放浓度mg/L</w:t>
            </w:r>
          </w:p>
        </w:tc>
        <w:tc>
          <w:tcPr>
            <w:tcW w:w="545"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60</w:t>
            </w:r>
          </w:p>
        </w:tc>
        <w:tc>
          <w:tcPr>
            <w:tcW w:w="395"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25</w:t>
            </w:r>
          </w:p>
        </w:tc>
        <w:tc>
          <w:tcPr>
            <w:tcW w:w="460"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80</w:t>
            </w:r>
          </w:p>
        </w:tc>
        <w:tc>
          <w:tcPr>
            <w:tcW w:w="536"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15</w:t>
            </w:r>
          </w:p>
        </w:tc>
        <w:tc>
          <w:tcPr>
            <w:tcW w:w="338"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15</w:t>
            </w:r>
          </w:p>
        </w:tc>
        <w:tc>
          <w:tcPr>
            <w:tcW w:w="442"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6.0~8.5</w:t>
            </w:r>
          </w:p>
        </w:tc>
        <w:tc>
          <w:tcPr>
            <w:tcW w:w="643"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5000个/L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5" w:type="pct"/>
            <w:vMerge w:val="continue"/>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1181"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排放总量kg/t—原料肉</w:t>
            </w:r>
          </w:p>
        </w:tc>
        <w:tc>
          <w:tcPr>
            <w:tcW w:w="545"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0.35</w:t>
            </w:r>
          </w:p>
        </w:tc>
        <w:tc>
          <w:tcPr>
            <w:tcW w:w="395"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0.15</w:t>
            </w:r>
          </w:p>
        </w:tc>
        <w:tc>
          <w:tcPr>
            <w:tcW w:w="460"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0.45</w:t>
            </w:r>
          </w:p>
        </w:tc>
        <w:tc>
          <w:tcPr>
            <w:tcW w:w="536"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0.09</w:t>
            </w:r>
          </w:p>
        </w:tc>
        <w:tc>
          <w:tcPr>
            <w:tcW w:w="338"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0.09</w:t>
            </w:r>
          </w:p>
        </w:tc>
        <w:tc>
          <w:tcPr>
            <w:tcW w:w="442"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w:t>
            </w:r>
          </w:p>
        </w:tc>
        <w:tc>
          <w:tcPr>
            <w:tcW w:w="643"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w:t>
            </w:r>
          </w:p>
        </w:tc>
      </w:tr>
    </w:tbl>
    <w:p>
      <w:pPr>
        <w:spacing w:line="240" w:lineRule="auto"/>
        <w:ind w:firstLine="482"/>
        <w:jc w:val="center"/>
      </w:pPr>
      <w:r>
        <w:rPr>
          <w:b/>
          <w:bCs/>
        </w:rPr>
        <w:t>表</w:t>
      </w:r>
      <w:r>
        <w:rPr>
          <w:rFonts w:hint="eastAsia"/>
          <w:b/>
          <w:bCs/>
        </w:rPr>
        <w:t>1.1</w:t>
      </w:r>
      <w:r>
        <w:rPr>
          <w:rFonts w:hint="eastAsia"/>
          <w:b/>
          <w:bCs/>
          <w:lang w:val="en-US" w:eastAsia="zh-CN"/>
        </w:rPr>
        <w:t>3</w:t>
      </w:r>
      <w:r>
        <w:rPr>
          <w:b/>
          <w:bCs/>
        </w:rPr>
        <w:t xml:space="preserve">    农田灌溉用水质</w:t>
      </w:r>
      <w:r>
        <w:rPr>
          <w:rFonts w:hint="eastAsia"/>
          <w:b/>
          <w:bCs/>
        </w:rPr>
        <w:t>标</w:t>
      </w:r>
      <w:r>
        <w:rPr>
          <w:b/>
          <w:bCs/>
        </w:rPr>
        <w:t>准值</w:t>
      </w:r>
    </w:p>
    <w:tbl>
      <w:tblPr>
        <w:tblStyle w:val="33"/>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2689"/>
        <w:gridCol w:w="1327"/>
        <w:gridCol w:w="711"/>
        <w:gridCol w:w="2989"/>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51" w:type="pct"/>
            <w:tcBorders>
              <w:tl2br w:val="nil"/>
              <w:tr2bl w:val="nil"/>
            </w:tcBorders>
            <w:vAlign w:val="center"/>
          </w:tcPr>
          <w:p>
            <w:pPr>
              <w:spacing w:line="240" w:lineRule="auto"/>
              <w:ind w:firstLine="0" w:firstLineChars="0"/>
              <w:rPr>
                <w:b/>
                <w:bCs/>
                <w:sz w:val="21"/>
                <w:szCs w:val="21"/>
              </w:rPr>
            </w:pPr>
            <w:r>
              <w:rPr>
                <w:b/>
                <w:bCs/>
                <w:sz w:val="21"/>
                <w:szCs w:val="21"/>
              </w:rPr>
              <w:t>序号</w:t>
            </w:r>
          </w:p>
        </w:tc>
        <w:tc>
          <w:tcPr>
            <w:tcW w:w="1353" w:type="pct"/>
            <w:tcBorders>
              <w:tl2br w:val="nil"/>
              <w:tr2bl w:val="nil"/>
            </w:tcBorders>
            <w:vAlign w:val="center"/>
          </w:tcPr>
          <w:p>
            <w:pPr>
              <w:spacing w:line="240" w:lineRule="auto"/>
              <w:ind w:firstLine="0" w:firstLineChars="0"/>
              <w:jc w:val="center"/>
              <w:rPr>
                <w:b/>
                <w:bCs/>
                <w:sz w:val="21"/>
                <w:szCs w:val="21"/>
              </w:rPr>
            </w:pPr>
            <w:r>
              <w:rPr>
                <w:b/>
                <w:bCs/>
                <w:sz w:val="21"/>
                <w:szCs w:val="21"/>
              </w:rPr>
              <w:t>项目类别</w:t>
            </w:r>
          </w:p>
        </w:tc>
        <w:tc>
          <w:tcPr>
            <w:tcW w:w="668"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旱地作物</w:t>
            </w:r>
          </w:p>
        </w:tc>
        <w:tc>
          <w:tcPr>
            <w:tcW w:w="358" w:type="pct"/>
            <w:tcBorders>
              <w:tl2br w:val="nil"/>
              <w:tr2bl w:val="nil"/>
            </w:tcBorders>
            <w:vAlign w:val="center"/>
          </w:tcPr>
          <w:p>
            <w:pPr>
              <w:spacing w:line="240" w:lineRule="auto"/>
              <w:ind w:firstLine="0" w:firstLineChars="0"/>
              <w:rPr>
                <w:b/>
                <w:bCs/>
                <w:sz w:val="21"/>
                <w:szCs w:val="21"/>
              </w:rPr>
            </w:pPr>
            <w:r>
              <w:rPr>
                <w:b/>
                <w:bCs/>
                <w:sz w:val="21"/>
                <w:szCs w:val="21"/>
              </w:rPr>
              <w:t>序号</w:t>
            </w:r>
          </w:p>
        </w:tc>
        <w:tc>
          <w:tcPr>
            <w:tcW w:w="1504" w:type="pct"/>
            <w:tcBorders>
              <w:tl2br w:val="nil"/>
              <w:tr2bl w:val="nil"/>
            </w:tcBorders>
            <w:vAlign w:val="center"/>
          </w:tcPr>
          <w:p>
            <w:pPr>
              <w:spacing w:line="240" w:lineRule="auto"/>
              <w:ind w:firstLine="0" w:firstLineChars="0"/>
              <w:jc w:val="center"/>
              <w:rPr>
                <w:b/>
                <w:bCs/>
                <w:sz w:val="21"/>
                <w:szCs w:val="21"/>
              </w:rPr>
            </w:pPr>
            <w:r>
              <w:rPr>
                <w:b/>
                <w:bCs/>
                <w:sz w:val="21"/>
                <w:szCs w:val="21"/>
              </w:rPr>
              <w:t>项目类别</w:t>
            </w:r>
          </w:p>
        </w:tc>
        <w:tc>
          <w:tcPr>
            <w:tcW w:w="763"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旱地作物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一、基本控制项目限值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w:t>
            </w:r>
          </w:p>
        </w:tc>
        <w:tc>
          <w:tcPr>
            <w:tcW w:w="1353" w:type="pct"/>
            <w:tcBorders>
              <w:tl2br w:val="nil"/>
              <w:tr2bl w:val="nil"/>
            </w:tcBorders>
            <w:vAlign w:val="center"/>
          </w:tcPr>
          <w:p>
            <w:pPr>
              <w:spacing w:line="240" w:lineRule="auto"/>
              <w:ind w:firstLine="0" w:firstLineChars="0"/>
              <w:jc w:val="center"/>
              <w:rPr>
                <w:sz w:val="21"/>
                <w:szCs w:val="21"/>
              </w:rPr>
            </w:pPr>
            <w:r>
              <w:rPr>
                <w:sz w:val="21"/>
                <w:szCs w:val="21"/>
              </w:rPr>
              <w:t>pH</w:t>
            </w:r>
            <w:r>
              <w:rPr>
                <w:rFonts w:hint="eastAsia"/>
                <w:sz w:val="21"/>
                <w:szCs w:val="21"/>
              </w:rPr>
              <w:t>值</w:t>
            </w:r>
          </w:p>
        </w:tc>
        <w:tc>
          <w:tcPr>
            <w:tcW w:w="668" w:type="pct"/>
            <w:tcBorders>
              <w:tl2br w:val="nil"/>
              <w:tr2bl w:val="nil"/>
            </w:tcBorders>
            <w:vAlign w:val="center"/>
          </w:tcPr>
          <w:p>
            <w:pPr>
              <w:spacing w:line="240" w:lineRule="auto"/>
              <w:ind w:firstLine="0" w:firstLineChars="0"/>
              <w:jc w:val="center"/>
              <w:rPr>
                <w:sz w:val="21"/>
                <w:szCs w:val="21"/>
              </w:rPr>
            </w:pPr>
            <w:r>
              <w:rPr>
                <w:sz w:val="21"/>
                <w:szCs w:val="21"/>
              </w:rPr>
              <w:t>5.5~8.5</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2</w:t>
            </w:r>
          </w:p>
        </w:tc>
        <w:tc>
          <w:tcPr>
            <w:tcW w:w="1504" w:type="pct"/>
            <w:tcBorders>
              <w:tl2br w:val="nil"/>
              <w:tr2bl w:val="nil"/>
            </w:tcBorders>
            <w:vAlign w:val="center"/>
          </w:tcPr>
          <w:p>
            <w:pPr>
              <w:spacing w:line="240" w:lineRule="auto"/>
              <w:ind w:firstLine="0" w:firstLineChars="0"/>
              <w:jc w:val="center"/>
              <w:rPr>
                <w:sz w:val="21"/>
                <w:szCs w:val="21"/>
              </w:rPr>
            </w:pPr>
            <w:r>
              <w:rPr>
                <w:sz w:val="21"/>
                <w:szCs w:val="21"/>
              </w:rPr>
              <w:t>水温</w:t>
            </w:r>
            <w:r>
              <w:rPr>
                <w:rFonts w:hint="eastAsia"/>
                <w:sz w:val="21"/>
                <w:szCs w:val="21"/>
              </w:rPr>
              <w:t>/</w:t>
            </w:r>
            <w:r>
              <w:rPr>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悬浮物/（mg/L）</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4</w:t>
            </w:r>
          </w:p>
        </w:tc>
        <w:tc>
          <w:tcPr>
            <w:tcW w:w="1504" w:type="pct"/>
            <w:tcBorders>
              <w:tl2br w:val="nil"/>
              <w:tr2bl w:val="nil"/>
            </w:tcBorders>
            <w:vAlign w:val="center"/>
          </w:tcPr>
          <w:p>
            <w:pPr>
              <w:spacing w:line="240" w:lineRule="auto"/>
              <w:ind w:firstLine="0" w:firstLineChars="0"/>
              <w:jc w:val="center"/>
              <w:rPr>
                <w:sz w:val="21"/>
                <w:szCs w:val="21"/>
              </w:rPr>
            </w:pPr>
            <w:r>
              <w:rPr>
                <w:sz w:val="21"/>
                <w:szCs w:val="21"/>
              </w:rPr>
              <w:t>BOD</w:t>
            </w:r>
            <w:r>
              <w:rPr>
                <w:sz w:val="21"/>
                <w:szCs w:val="21"/>
                <w:vertAlign w:val="subscript"/>
              </w:rPr>
              <w:t>5</w:t>
            </w:r>
            <w:r>
              <w:rPr>
                <w:rFonts w:hint="eastAsia"/>
                <w:sz w:val="21"/>
                <w:szCs w:val="21"/>
              </w:rPr>
              <w:t>/（mg/L）</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5</w:t>
            </w:r>
          </w:p>
        </w:tc>
        <w:tc>
          <w:tcPr>
            <w:tcW w:w="1353" w:type="pct"/>
            <w:tcBorders>
              <w:tl2br w:val="nil"/>
              <w:tr2bl w:val="nil"/>
            </w:tcBorders>
            <w:vAlign w:val="center"/>
          </w:tcPr>
          <w:p>
            <w:pPr>
              <w:spacing w:line="240" w:lineRule="auto"/>
              <w:ind w:firstLine="0" w:firstLineChars="0"/>
              <w:jc w:val="center"/>
              <w:rPr>
                <w:sz w:val="21"/>
                <w:szCs w:val="21"/>
              </w:rPr>
            </w:pPr>
            <w:r>
              <w:rPr>
                <w:sz w:val="21"/>
                <w:szCs w:val="21"/>
              </w:rPr>
              <w:t>COD</w:t>
            </w:r>
            <w:r>
              <w:rPr>
                <w:sz w:val="21"/>
                <w:szCs w:val="21"/>
                <w:vertAlign w:val="subscript"/>
              </w:rPr>
              <w:t>Cr</w:t>
            </w:r>
            <w:r>
              <w:rPr>
                <w:rFonts w:hint="eastAsia"/>
                <w:sz w:val="21"/>
                <w:szCs w:val="21"/>
              </w:rPr>
              <w:t>/（mg/L）</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≤200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6</w:t>
            </w:r>
          </w:p>
        </w:tc>
        <w:tc>
          <w:tcPr>
            <w:tcW w:w="1504" w:type="pct"/>
            <w:tcBorders>
              <w:tl2br w:val="nil"/>
              <w:tr2bl w:val="nil"/>
            </w:tcBorders>
            <w:vAlign w:val="center"/>
          </w:tcPr>
          <w:p>
            <w:pPr>
              <w:spacing w:line="240" w:lineRule="auto"/>
              <w:ind w:firstLine="0" w:firstLineChars="0"/>
              <w:jc w:val="center"/>
              <w:rPr>
                <w:sz w:val="21"/>
                <w:szCs w:val="21"/>
              </w:rPr>
            </w:pPr>
            <w:r>
              <w:rPr>
                <w:sz w:val="21"/>
                <w:szCs w:val="21"/>
              </w:rPr>
              <w:t>阴离子表面活性剂</w:t>
            </w:r>
            <w:r>
              <w:rPr>
                <w:rFonts w:hint="eastAsia"/>
                <w:sz w:val="21"/>
                <w:szCs w:val="21"/>
              </w:rPr>
              <w:t>/（mg/L）</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7</w:t>
            </w:r>
          </w:p>
        </w:tc>
        <w:tc>
          <w:tcPr>
            <w:tcW w:w="1353" w:type="pct"/>
            <w:tcBorders>
              <w:tl2br w:val="nil"/>
              <w:tr2bl w:val="nil"/>
            </w:tcBorders>
            <w:vAlign w:val="center"/>
          </w:tcPr>
          <w:p>
            <w:pPr>
              <w:spacing w:line="240" w:lineRule="auto"/>
              <w:ind w:firstLine="0" w:firstLineChars="0"/>
              <w:jc w:val="center"/>
              <w:rPr>
                <w:sz w:val="21"/>
                <w:szCs w:val="21"/>
              </w:rPr>
            </w:pPr>
            <w:r>
              <w:rPr>
                <w:sz w:val="21"/>
                <w:szCs w:val="21"/>
              </w:rPr>
              <w:t>氯化物</w:t>
            </w:r>
            <w:r>
              <w:rPr>
                <w:rFonts w:hint="eastAsia"/>
                <w:sz w:val="21"/>
                <w:szCs w:val="21"/>
              </w:rPr>
              <w:t>（以Cl</w:t>
            </w:r>
            <w:r>
              <w:rPr>
                <w:rFonts w:hint="eastAsia"/>
                <w:sz w:val="21"/>
                <w:szCs w:val="21"/>
                <w:vertAlign w:val="superscript"/>
              </w:rPr>
              <w:t>−</w:t>
            </w:r>
            <w:r>
              <w:rPr>
                <w:rFonts w:hint="eastAsia"/>
                <w:sz w:val="21"/>
                <w:szCs w:val="21"/>
              </w:rPr>
              <w:t>计）/（mg/L）</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≤350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8</w:t>
            </w:r>
          </w:p>
        </w:tc>
        <w:tc>
          <w:tcPr>
            <w:tcW w:w="1504" w:type="pct"/>
            <w:tcBorders>
              <w:tl2br w:val="nil"/>
              <w:tr2bl w:val="nil"/>
            </w:tcBorders>
            <w:vAlign w:val="center"/>
          </w:tcPr>
          <w:p>
            <w:pPr>
              <w:spacing w:line="240" w:lineRule="auto"/>
              <w:ind w:firstLine="0" w:firstLineChars="0"/>
              <w:jc w:val="center"/>
              <w:rPr>
                <w:sz w:val="21"/>
                <w:szCs w:val="21"/>
              </w:rPr>
            </w:pPr>
            <w:r>
              <w:rPr>
                <w:sz w:val="21"/>
                <w:szCs w:val="21"/>
              </w:rPr>
              <w:t>硫化物（以S</w:t>
            </w:r>
            <w:r>
              <w:rPr>
                <w:sz w:val="21"/>
                <w:szCs w:val="21"/>
                <w:vertAlign w:val="superscript"/>
              </w:rPr>
              <w:t>2−</w:t>
            </w:r>
            <w:r>
              <w:rPr>
                <w:sz w:val="21"/>
                <w:szCs w:val="21"/>
              </w:rPr>
              <w:t>计）/（mg/L）</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9</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全盐量</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r>
              <w:rPr>
                <w:sz w:val="21"/>
                <w:szCs w:val="21"/>
              </w:rPr>
              <w:t>2000（盐碱土地区）</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总铅</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11</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总镉</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12</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铬（六价）</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13</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总汞</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14</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总砷</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15</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粪大肠菌群数</w:t>
            </w:r>
            <w:r>
              <w:rPr>
                <w:sz w:val="21"/>
                <w:szCs w:val="21"/>
              </w:rPr>
              <w:t>/</w:t>
            </w:r>
            <w:r>
              <w:rPr>
                <w:rFonts w:hint="eastAsia"/>
                <w:sz w:val="21"/>
                <w:szCs w:val="21"/>
              </w:rPr>
              <w:t>（</w:t>
            </w:r>
            <w:r>
              <w:rPr>
                <w:sz w:val="21"/>
                <w:szCs w:val="21"/>
              </w:rPr>
              <w:t>MPN/L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≤40000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16</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蛔虫卵数</w:t>
            </w:r>
            <w:r>
              <w:rPr>
                <w:sz w:val="21"/>
                <w:szCs w:val="21"/>
              </w:rPr>
              <w:t>/</w:t>
            </w:r>
            <w:r>
              <w:rPr>
                <w:rFonts w:hint="eastAsia"/>
                <w:sz w:val="21"/>
                <w:szCs w:val="21"/>
              </w:rPr>
              <w:t>（个</w:t>
            </w:r>
            <w:r>
              <w:rPr>
                <w:sz w:val="21"/>
                <w:szCs w:val="21"/>
              </w:rPr>
              <w:t>/10L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l2br w:val="nil"/>
              <w:tr2bl w:val="nil"/>
            </w:tcBorders>
            <w:vAlign w:val="center"/>
          </w:tcPr>
          <w:p>
            <w:pPr>
              <w:spacing w:line="240" w:lineRule="auto"/>
              <w:ind w:firstLine="0" w:firstLineChars="0"/>
              <w:jc w:val="center"/>
              <w:rPr>
                <w:sz w:val="21"/>
                <w:szCs w:val="21"/>
              </w:rPr>
            </w:pPr>
            <w:r>
              <w:rPr>
                <w:rFonts w:hint="eastAsia"/>
                <w:b/>
                <w:bCs/>
                <w:sz w:val="21"/>
                <w:szCs w:val="21"/>
              </w:rPr>
              <w:t>二、选择控制项目限值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b/>
                <w:bCs/>
                <w:sz w:val="21"/>
                <w:szCs w:val="21"/>
              </w:rPr>
              <w:t>序号</w:t>
            </w:r>
          </w:p>
        </w:tc>
        <w:tc>
          <w:tcPr>
            <w:tcW w:w="1353" w:type="pct"/>
            <w:tcBorders>
              <w:tl2br w:val="nil"/>
              <w:tr2bl w:val="nil"/>
            </w:tcBorders>
            <w:vAlign w:val="center"/>
          </w:tcPr>
          <w:p>
            <w:pPr>
              <w:spacing w:line="240" w:lineRule="auto"/>
              <w:ind w:firstLine="0" w:firstLineChars="0"/>
              <w:jc w:val="center"/>
              <w:rPr>
                <w:sz w:val="21"/>
                <w:szCs w:val="21"/>
              </w:rPr>
            </w:pPr>
            <w:r>
              <w:rPr>
                <w:b/>
                <w:bCs/>
                <w:sz w:val="21"/>
                <w:szCs w:val="21"/>
              </w:rPr>
              <w:t>项目类别</w:t>
            </w:r>
          </w:p>
        </w:tc>
        <w:tc>
          <w:tcPr>
            <w:tcW w:w="668" w:type="pct"/>
            <w:tcBorders>
              <w:tl2br w:val="nil"/>
              <w:tr2bl w:val="nil"/>
            </w:tcBorders>
            <w:vAlign w:val="center"/>
          </w:tcPr>
          <w:p>
            <w:pPr>
              <w:spacing w:line="240" w:lineRule="auto"/>
              <w:ind w:firstLine="0" w:firstLineChars="0"/>
              <w:jc w:val="center"/>
              <w:rPr>
                <w:sz w:val="21"/>
                <w:szCs w:val="21"/>
              </w:rPr>
            </w:pPr>
            <w:r>
              <w:rPr>
                <w:rFonts w:hint="eastAsia"/>
                <w:b/>
                <w:bCs/>
                <w:sz w:val="21"/>
                <w:szCs w:val="21"/>
              </w:rPr>
              <w:t>旱地作物</w:t>
            </w:r>
          </w:p>
        </w:tc>
        <w:tc>
          <w:tcPr>
            <w:tcW w:w="358" w:type="pct"/>
            <w:tcBorders>
              <w:tl2br w:val="nil"/>
              <w:tr2bl w:val="nil"/>
            </w:tcBorders>
            <w:vAlign w:val="center"/>
          </w:tcPr>
          <w:p>
            <w:pPr>
              <w:spacing w:line="240" w:lineRule="auto"/>
              <w:ind w:firstLine="0" w:firstLineChars="0"/>
              <w:jc w:val="center"/>
              <w:rPr>
                <w:sz w:val="21"/>
                <w:szCs w:val="21"/>
              </w:rPr>
            </w:pPr>
            <w:r>
              <w:rPr>
                <w:b/>
                <w:bCs/>
                <w:sz w:val="21"/>
                <w:szCs w:val="21"/>
              </w:rPr>
              <w:t>序号</w:t>
            </w:r>
          </w:p>
        </w:tc>
        <w:tc>
          <w:tcPr>
            <w:tcW w:w="1504" w:type="pct"/>
            <w:tcBorders>
              <w:tl2br w:val="nil"/>
              <w:tr2bl w:val="nil"/>
            </w:tcBorders>
            <w:vAlign w:val="center"/>
          </w:tcPr>
          <w:p>
            <w:pPr>
              <w:spacing w:line="240" w:lineRule="auto"/>
              <w:ind w:firstLine="0" w:firstLineChars="0"/>
              <w:jc w:val="center"/>
              <w:rPr>
                <w:sz w:val="21"/>
                <w:szCs w:val="21"/>
              </w:rPr>
            </w:pPr>
            <w:r>
              <w:rPr>
                <w:b/>
                <w:bCs/>
                <w:sz w:val="21"/>
                <w:szCs w:val="21"/>
              </w:rPr>
              <w:t>项目类别</w:t>
            </w:r>
          </w:p>
        </w:tc>
        <w:tc>
          <w:tcPr>
            <w:tcW w:w="763" w:type="pct"/>
            <w:tcBorders>
              <w:tl2br w:val="nil"/>
              <w:tr2bl w:val="nil"/>
            </w:tcBorders>
            <w:vAlign w:val="center"/>
          </w:tcPr>
          <w:p>
            <w:pPr>
              <w:spacing w:line="240" w:lineRule="auto"/>
              <w:ind w:firstLine="0" w:firstLineChars="0"/>
              <w:jc w:val="center"/>
              <w:rPr>
                <w:sz w:val="21"/>
                <w:szCs w:val="21"/>
              </w:rPr>
            </w:pPr>
            <w:r>
              <w:rPr>
                <w:rFonts w:hint="eastAsia"/>
                <w:b/>
                <w:bCs/>
                <w:sz w:val="21"/>
                <w:szCs w:val="21"/>
              </w:rPr>
              <w:t>旱地作物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氰化物（以</w:t>
            </w:r>
            <w:r>
              <w:rPr>
                <w:sz w:val="21"/>
                <w:szCs w:val="21"/>
              </w:rPr>
              <w:t>CN</w:t>
            </w:r>
            <w:r>
              <w:rPr>
                <w:sz w:val="21"/>
                <w:szCs w:val="21"/>
                <w:vertAlign w:val="superscript"/>
              </w:rPr>
              <w:t>−</w:t>
            </w:r>
            <w:r>
              <w:rPr>
                <w:rFonts w:hint="eastAsia"/>
                <w:sz w:val="21"/>
                <w:szCs w:val="21"/>
              </w:rPr>
              <w:t>计）</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2</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氟化物（以</w:t>
            </w:r>
            <w:r>
              <w:rPr>
                <w:sz w:val="21"/>
                <w:szCs w:val="21"/>
              </w:rPr>
              <w:t>F</w:t>
            </w:r>
            <w:r>
              <w:rPr>
                <w:sz w:val="21"/>
                <w:szCs w:val="21"/>
                <w:vertAlign w:val="superscript"/>
              </w:rPr>
              <w:t>−</w:t>
            </w:r>
            <w:r>
              <w:rPr>
                <w:rFonts w:hint="eastAsia"/>
                <w:sz w:val="21"/>
                <w:szCs w:val="21"/>
              </w:rPr>
              <w:t>计）</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≤2（一般地区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石油类</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4</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挥发酚</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5</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总铜</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6</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总锌</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7</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总镍</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8</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硒</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9</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硼</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≤2.0</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苯</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11</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甲苯</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≤0.7</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12</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二甲苯</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13</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异丙苯</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14</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苯胺</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15</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三氯乙醛</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16</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丙烯醛</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17</w:t>
            </w:r>
          </w:p>
        </w:tc>
        <w:tc>
          <w:tcPr>
            <w:tcW w:w="1353" w:type="pct"/>
            <w:tcBorders>
              <w:tl2br w:val="nil"/>
              <w:tr2bl w:val="nil"/>
            </w:tcBorders>
            <w:vAlign w:val="center"/>
          </w:tcPr>
          <w:p>
            <w:pPr>
              <w:spacing w:line="240" w:lineRule="auto"/>
              <w:ind w:firstLine="0" w:firstLineChars="0"/>
              <w:jc w:val="center"/>
              <w:rPr>
                <w:sz w:val="21"/>
                <w:szCs w:val="21"/>
              </w:rPr>
            </w:pPr>
            <w:r>
              <w:rPr>
                <w:rFonts w:hint="eastAsia"/>
                <w:sz w:val="21"/>
                <w:szCs w:val="21"/>
              </w:rPr>
              <w:t>氯苯</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≤0.3</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18</w:t>
            </w:r>
          </w:p>
        </w:tc>
        <w:tc>
          <w:tcPr>
            <w:tcW w:w="1504" w:type="pct"/>
            <w:tcBorders>
              <w:tl2br w:val="nil"/>
              <w:tr2bl w:val="nil"/>
            </w:tcBorders>
            <w:vAlign w:val="center"/>
          </w:tcPr>
          <w:p>
            <w:pPr>
              <w:spacing w:line="240" w:lineRule="auto"/>
              <w:ind w:firstLine="0" w:firstLineChars="0"/>
              <w:jc w:val="center"/>
              <w:rPr>
                <w:sz w:val="21"/>
                <w:szCs w:val="21"/>
              </w:rPr>
            </w:pPr>
            <w:r>
              <w:rPr>
                <w:sz w:val="21"/>
                <w:szCs w:val="21"/>
              </w:rPr>
              <w:t>1,2-</w:t>
            </w:r>
            <w:r>
              <w:rPr>
                <w:rFonts w:hint="eastAsia"/>
                <w:sz w:val="21"/>
                <w:szCs w:val="21"/>
              </w:rPr>
              <w:t>二氯苯</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1" w:type="pct"/>
            <w:tcBorders>
              <w:tl2br w:val="nil"/>
              <w:tr2bl w:val="nil"/>
            </w:tcBorders>
            <w:vAlign w:val="center"/>
          </w:tcPr>
          <w:p>
            <w:pPr>
              <w:spacing w:line="240" w:lineRule="auto"/>
              <w:ind w:firstLine="0" w:firstLineChars="0"/>
              <w:jc w:val="center"/>
              <w:rPr>
                <w:sz w:val="21"/>
                <w:szCs w:val="21"/>
              </w:rPr>
            </w:pPr>
            <w:r>
              <w:rPr>
                <w:rFonts w:hint="eastAsia"/>
                <w:sz w:val="21"/>
                <w:szCs w:val="21"/>
              </w:rPr>
              <w:t>19</w:t>
            </w:r>
          </w:p>
        </w:tc>
        <w:tc>
          <w:tcPr>
            <w:tcW w:w="1353" w:type="pct"/>
            <w:tcBorders>
              <w:tl2br w:val="nil"/>
              <w:tr2bl w:val="nil"/>
            </w:tcBorders>
            <w:vAlign w:val="center"/>
          </w:tcPr>
          <w:p>
            <w:pPr>
              <w:spacing w:line="240" w:lineRule="auto"/>
              <w:ind w:firstLine="0" w:firstLineChars="0"/>
              <w:jc w:val="center"/>
              <w:rPr>
                <w:sz w:val="21"/>
                <w:szCs w:val="21"/>
              </w:rPr>
            </w:pPr>
            <w:r>
              <w:rPr>
                <w:sz w:val="21"/>
                <w:szCs w:val="21"/>
              </w:rPr>
              <w:t>1,4-</w:t>
            </w:r>
            <w:r>
              <w:rPr>
                <w:rFonts w:hint="eastAsia"/>
                <w:sz w:val="21"/>
                <w:szCs w:val="21"/>
              </w:rPr>
              <w:t>二氯苯</w:t>
            </w:r>
            <w:r>
              <w:rPr>
                <w:sz w:val="21"/>
                <w:szCs w:val="21"/>
              </w:rPr>
              <w:t>/</w:t>
            </w:r>
            <w:r>
              <w:rPr>
                <w:rFonts w:hint="eastAsia"/>
                <w:sz w:val="21"/>
                <w:szCs w:val="21"/>
              </w:rPr>
              <w:t>（</w:t>
            </w:r>
            <w:r>
              <w:rPr>
                <w:sz w:val="21"/>
                <w:szCs w:val="21"/>
              </w:rPr>
              <w:t>mg/L</w:t>
            </w:r>
            <w:r>
              <w:rPr>
                <w:rFonts w:hint="eastAsia"/>
                <w:sz w:val="21"/>
                <w:szCs w:val="21"/>
              </w:rPr>
              <w:t>）</w:t>
            </w:r>
          </w:p>
        </w:tc>
        <w:tc>
          <w:tcPr>
            <w:tcW w:w="668" w:type="pct"/>
            <w:tcBorders>
              <w:tl2br w:val="nil"/>
              <w:tr2bl w:val="nil"/>
            </w:tcBorders>
            <w:vAlign w:val="center"/>
          </w:tcPr>
          <w:p>
            <w:pPr>
              <w:spacing w:line="240" w:lineRule="auto"/>
              <w:ind w:firstLine="0" w:firstLineChars="0"/>
              <w:jc w:val="center"/>
              <w:rPr>
                <w:sz w:val="21"/>
                <w:szCs w:val="21"/>
              </w:rPr>
            </w:pPr>
            <w:r>
              <w:rPr>
                <w:rFonts w:hint="eastAsia"/>
                <w:sz w:val="21"/>
                <w:szCs w:val="21"/>
              </w:rPr>
              <w:t>≤0.4</w:t>
            </w:r>
          </w:p>
        </w:tc>
        <w:tc>
          <w:tcPr>
            <w:tcW w:w="358" w:type="pct"/>
            <w:tcBorders>
              <w:tl2br w:val="nil"/>
              <w:tr2bl w:val="nil"/>
            </w:tcBorders>
            <w:vAlign w:val="center"/>
          </w:tcPr>
          <w:p>
            <w:pPr>
              <w:spacing w:line="240" w:lineRule="auto"/>
              <w:ind w:firstLine="0" w:firstLineChars="0"/>
              <w:jc w:val="center"/>
              <w:rPr>
                <w:sz w:val="21"/>
                <w:szCs w:val="21"/>
              </w:rPr>
            </w:pPr>
            <w:r>
              <w:rPr>
                <w:rFonts w:hint="eastAsia"/>
                <w:sz w:val="21"/>
                <w:szCs w:val="21"/>
              </w:rPr>
              <w:t>20</w:t>
            </w:r>
          </w:p>
        </w:tc>
        <w:tc>
          <w:tcPr>
            <w:tcW w:w="1504" w:type="pct"/>
            <w:tcBorders>
              <w:tl2br w:val="nil"/>
              <w:tr2bl w:val="nil"/>
            </w:tcBorders>
            <w:vAlign w:val="center"/>
          </w:tcPr>
          <w:p>
            <w:pPr>
              <w:spacing w:line="240" w:lineRule="auto"/>
              <w:ind w:firstLine="0" w:firstLineChars="0"/>
              <w:jc w:val="center"/>
              <w:rPr>
                <w:sz w:val="21"/>
                <w:szCs w:val="21"/>
              </w:rPr>
            </w:pPr>
            <w:r>
              <w:rPr>
                <w:rFonts w:hint="eastAsia"/>
                <w:sz w:val="21"/>
                <w:szCs w:val="21"/>
              </w:rPr>
              <w:t>硝基苯</w:t>
            </w:r>
            <w:r>
              <w:rPr>
                <w:sz w:val="21"/>
                <w:szCs w:val="21"/>
              </w:rPr>
              <w:t>/</w:t>
            </w:r>
            <w:r>
              <w:rPr>
                <w:rFonts w:hint="eastAsia"/>
                <w:sz w:val="21"/>
                <w:szCs w:val="21"/>
              </w:rPr>
              <w:t>（</w:t>
            </w:r>
            <w:r>
              <w:rPr>
                <w:sz w:val="21"/>
                <w:szCs w:val="21"/>
              </w:rPr>
              <w:t>mg/L</w:t>
            </w:r>
            <w:r>
              <w:rPr>
                <w:rFonts w:hint="eastAsia"/>
                <w:sz w:val="21"/>
                <w:szCs w:val="21"/>
              </w:rPr>
              <w:t>）</w:t>
            </w:r>
          </w:p>
        </w:tc>
        <w:tc>
          <w:tcPr>
            <w:tcW w:w="763" w:type="pct"/>
            <w:tcBorders>
              <w:tl2br w:val="nil"/>
              <w:tr2bl w:val="nil"/>
            </w:tcBorders>
            <w:vAlign w:val="center"/>
          </w:tcPr>
          <w:p>
            <w:pPr>
              <w:spacing w:line="240" w:lineRule="auto"/>
              <w:ind w:firstLine="0" w:firstLineChars="0"/>
              <w:jc w:val="center"/>
              <w:rPr>
                <w:sz w:val="21"/>
                <w:szCs w:val="21"/>
              </w:rPr>
            </w:pPr>
            <w:r>
              <w:rPr>
                <w:rFonts w:hint="eastAsia"/>
                <w:sz w:val="21"/>
                <w:szCs w:val="21"/>
              </w:rPr>
              <w:t>≤2.0</w:t>
            </w:r>
          </w:p>
        </w:tc>
      </w:tr>
    </w:tbl>
    <w:p>
      <w:pPr>
        <w:ind w:firstLine="482"/>
        <w:rPr>
          <w:b/>
          <w:bCs/>
        </w:rPr>
      </w:pPr>
      <w:r>
        <w:rPr>
          <w:rFonts w:hint="eastAsia"/>
          <w:b/>
          <w:bCs/>
        </w:rPr>
        <w:t>3、</w:t>
      </w:r>
      <w:r>
        <w:rPr>
          <w:b/>
          <w:bCs/>
        </w:rPr>
        <w:t>噪声</w:t>
      </w:r>
    </w:p>
    <w:p>
      <w:pPr>
        <w:ind w:firstLine="482"/>
        <w:rPr>
          <w:b/>
          <w:bCs/>
        </w:rPr>
      </w:pPr>
      <w:r>
        <w:rPr>
          <w:rFonts w:hint="eastAsia"/>
          <w:b/>
          <w:bCs/>
        </w:rPr>
        <w:t>（1）</w:t>
      </w:r>
      <w:r>
        <w:rPr>
          <w:b/>
          <w:bCs/>
        </w:rPr>
        <w:t>施工期噪声</w:t>
      </w:r>
    </w:p>
    <w:p>
      <w:pPr>
        <w:ind w:firstLine="480"/>
      </w:pPr>
      <w:r>
        <w:t>施工期建筑施工噪声排放执行《建筑施工场界环境噪声排放标准》</w:t>
      </w:r>
      <w:r>
        <w:rPr>
          <w:rFonts w:hint="eastAsia"/>
        </w:rPr>
        <w:t>（</w:t>
      </w:r>
      <w:r>
        <w:t>GB12523-2011</w:t>
      </w:r>
      <w:r>
        <w:rPr>
          <w:rFonts w:hint="eastAsia"/>
        </w:rPr>
        <w:t>）</w:t>
      </w:r>
      <w:r>
        <w:t>，见表</w:t>
      </w:r>
      <w:r>
        <w:rPr>
          <w:rFonts w:hint="eastAsia"/>
        </w:rPr>
        <w:t>1.1</w:t>
      </w:r>
      <w:r>
        <w:rPr>
          <w:rFonts w:hint="eastAsia"/>
          <w:lang w:val="en-US" w:eastAsia="zh-CN"/>
        </w:rPr>
        <w:t>4</w:t>
      </w:r>
      <w:r>
        <w:t>。</w:t>
      </w:r>
    </w:p>
    <w:p>
      <w:pPr>
        <w:spacing w:line="240" w:lineRule="auto"/>
        <w:ind w:firstLine="482"/>
        <w:jc w:val="center"/>
        <w:rPr>
          <w:b/>
          <w:bCs/>
        </w:rPr>
      </w:pPr>
      <w:r>
        <w:rPr>
          <w:b/>
          <w:bCs/>
        </w:rPr>
        <w:t>表</w:t>
      </w:r>
      <w:r>
        <w:rPr>
          <w:rFonts w:hint="eastAsia"/>
          <w:b/>
          <w:bCs/>
        </w:rPr>
        <w:t>1.1</w:t>
      </w:r>
      <w:r>
        <w:rPr>
          <w:rFonts w:hint="eastAsia"/>
          <w:b/>
          <w:bCs/>
          <w:lang w:val="en-US" w:eastAsia="zh-CN"/>
        </w:rPr>
        <w:t>4</w:t>
      </w:r>
      <w:r>
        <w:rPr>
          <w:b/>
          <w:bCs/>
        </w:rPr>
        <w:t xml:space="preserve">    建筑施工厂界环境噪声排放标准</w:t>
      </w:r>
      <w:bookmarkStart w:id="298" w:name="_Toc12864_WPSOffice_Level2"/>
      <w:bookmarkStart w:id="299" w:name="_Toc31177_WPSOffice_Level2"/>
      <w:r>
        <w:rPr>
          <w:rFonts w:hint="eastAsia"/>
          <w:b/>
          <w:bCs/>
        </w:rPr>
        <w:t xml:space="preserve">  </w:t>
      </w:r>
      <w:r>
        <w:rPr>
          <w:b/>
          <w:bCs/>
        </w:rPr>
        <w:t>单位：dB</w:t>
      </w:r>
      <w:r>
        <w:rPr>
          <w:rFonts w:hint="eastAsia"/>
          <w:b/>
          <w:bCs/>
        </w:rPr>
        <w:t>（</w:t>
      </w:r>
      <w:r>
        <w:rPr>
          <w:b/>
          <w:bCs/>
        </w:rPr>
        <w:t>A</w:t>
      </w:r>
      <w:r>
        <w:rPr>
          <w:rFonts w:hint="eastAsia"/>
          <w:b/>
          <w:bCs/>
        </w:rPr>
        <w:t>）</w:t>
      </w:r>
      <w:bookmarkEnd w:id="298"/>
      <w:bookmarkEnd w:id="299"/>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1"/>
        <w:gridCol w:w="4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vAlign w:val="center"/>
          </w:tcPr>
          <w:p>
            <w:pPr>
              <w:spacing w:line="240" w:lineRule="auto"/>
              <w:ind w:firstLine="0" w:firstLineChars="0"/>
              <w:jc w:val="center"/>
              <w:rPr>
                <w:b/>
                <w:bCs/>
                <w:sz w:val="21"/>
                <w:szCs w:val="21"/>
              </w:rPr>
            </w:pPr>
            <w:r>
              <w:rPr>
                <w:b/>
                <w:bCs/>
                <w:sz w:val="21"/>
                <w:szCs w:val="21"/>
              </w:rPr>
              <w:t>昼间</w:t>
            </w:r>
          </w:p>
        </w:tc>
        <w:tc>
          <w:tcPr>
            <w:tcW w:w="2500" w:type="pct"/>
            <w:tcBorders>
              <w:tl2br w:val="nil"/>
              <w:tr2bl w:val="nil"/>
            </w:tcBorders>
            <w:vAlign w:val="center"/>
          </w:tcPr>
          <w:p>
            <w:pPr>
              <w:spacing w:line="240" w:lineRule="auto"/>
              <w:ind w:firstLine="0" w:firstLineChars="0"/>
              <w:jc w:val="center"/>
              <w:rPr>
                <w:b/>
                <w:bCs/>
                <w:sz w:val="21"/>
                <w:szCs w:val="21"/>
              </w:rPr>
            </w:pPr>
            <w:r>
              <w:rPr>
                <w:b/>
                <w:bCs/>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vAlign w:val="center"/>
          </w:tcPr>
          <w:p>
            <w:pPr>
              <w:spacing w:line="240" w:lineRule="auto"/>
              <w:ind w:firstLine="0" w:firstLineChars="0"/>
              <w:jc w:val="center"/>
              <w:rPr>
                <w:sz w:val="21"/>
                <w:szCs w:val="21"/>
              </w:rPr>
            </w:pPr>
            <w:r>
              <w:rPr>
                <w:sz w:val="21"/>
                <w:szCs w:val="21"/>
              </w:rPr>
              <w:t>70</w:t>
            </w:r>
          </w:p>
        </w:tc>
        <w:tc>
          <w:tcPr>
            <w:tcW w:w="2500" w:type="pct"/>
            <w:tcBorders>
              <w:tl2br w:val="nil"/>
              <w:tr2bl w:val="nil"/>
            </w:tcBorders>
            <w:vAlign w:val="center"/>
          </w:tcPr>
          <w:p>
            <w:pPr>
              <w:spacing w:line="240" w:lineRule="auto"/>
              <w:ind w:firstLine="0" w:firstLineChars="0"/>
              <w:jc w:val="center"/>
              <w:rPr>
                <w:sz w:val="21"/>
                <w:szCs w:val="21"/>
              </w:rPr>
            </w:pPr>
            <w:r>
              <w:rPr>
                <w:sz w:val="21"/>
                <w:szCs w:val="21"/>
              </w:rPr>
              <w:t>55</w:t>
            </w:r>
          </w:p>
        </w:tc>
      </w:tr>
    </w:tbl>
    <w:p>
      <w:pPr>
        <w:ind w:firstLine="482"/>
        <w:rPr>
          <w:b/>
          <w:bCs/>
        </w:rPr>
      </w:pPr>
      <w:r>
        <w:rPr>
          <w:rFonts w:hint="eastAsia"/>
          <w:b/>
          <w:bCs/>
        </w:rPr>
        <w:t>（2）</w:t>
      </w:r>
      <w:r>
        <w:rPr>
          <w:b/>
          <w:bCs/>
        </w:rPr>
        <w:t>运营期噪声</w:t>
      </w:r>
    </w:p>
    <w:p>
      <w:pPr>
        <w:ind w:firstLine="480"/>
      </w:pPr>
      <w:r>
        <w:t>运营期厂界噪声执行《工业企业厂界环境噪声排放标准》（GB12348-2008）中的3类标准，具体见表</w:t>
      </w:r>
      <w:r>
        <w:rPr>
          <w:rFonts w:hint="eastAsia"/>
        </w:rPr>
        <w:t>1.1</w:t>
      </w:r>
      <w:r>
        <w:rPr>
          <w:rFonts w:hint="eastAsia"/>
          <w:lang w:val="en-US" w:eastAsia="zh-CN"/>
        </w:rPr>
        <w:t>5</w:t>
      </w:r>
      <w:r>
        <w:t>。</w:t>
      </w:r>
    </w:p>
    <w:p>
      <w:pPr>
        <w:spacing w:line="240" w:lineRule="auto"/>
        <w:ind w:firstLine="482"/>
        <w:jc w:val="center"/>
      </w:pPr>
      <w:r>
        <w:rPr>
          <w:b/>
          <w:bCs/>
        </w:rPr>
        <w:t>表</w:t>
      </w:r>
      <w:r>
        <w:rPr>
          <w:rFonts w:hint="eastAsia"/>
          <w:b/>
          <w:bCs/>
        </w:rPr>
        <w:t>1.1</w:t>
      </w:r>
      <w:r>
        <w:rPr>
          <w:rFonts w:hint="eastAsia"/>
          <w:b/>
          <w:bCs/>
          <w:lang w:val="en-US" w:eastAsia="zh-CN"/>
        </w:rPr>
        <w:t xml:space="preserve">5 </w:t>
      </w:r>
      <w:r>
        <w:rPr>
          <w:b/>
          <w:bCs/>
        </w:rPr>
        <w:t xml:space="preserve">   工业企业厂界环境噪声排放标准</w:t>
      </w:r>
      <w:bookmarkStart w:id="300" w:name="_Toc28755_WPSOffice_Level2"/>
      <w:bookmarkStart w:id="301" w:name="_Toc9213_WPSOffice_Level2"/>
      <w:r>
        <w:rPr>
          <w:rFonts w:hint="eastAsia"/>
          <w:b/>
          <w:bCs/>
        </w:rPr>
        <w:t xml:space="preserve">  </w:t>
      </w:r>
      <w:r>
        <w:rPr>
          <w:b/>
          <w:bCs/>
        </w:rPr>
        <w:t>单位：dB</w:t>
      </w:r>
      <w:bookmarkEnd w:id="300"/>
      <w:bookmarkEnd w:id="301"/>
      <w:r>
        <w:rPr>
          <w:rFonts w:hint="eastAsia"/>
          <w:b/>
          <w:bCs/>
        </w:rPr>
        <w:t>（</w:t>
      </w:r>
      <w:r>
        <w:rPr>
          <w:b/>
          <w:bCs/>
        </w:rPr>
        <w:t>A</w:t>
      </w:r>
      <w:r>
        <w:rPr>
          <w:rFonts w:hint="eastAsia"/>
          <w:b/>
          <w:bCs/>
        </w:rPr>
        <w:t>）</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6"/>
        <w:gridCol w:w="1941"/>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17"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tc>
        <w:tc>
          <w:tcPr>
            <w:tcW w:w="974" w:type="pct"/>
            <w:tcBorders>
              <w:tl2br w:val="nil"/>
              <w:tr2bl w:val="nil"/>
            </w:tcBorders>
            <w:vAlign w:val="center"/>
          </w:tcPr>
          <w:p>
            <w:pPr>
              <w:spacing w:line="240" w:lineRule="auto"/>
              <w:ind w:firstLine="0" w:firstLineChars="0"/>
              <w:jc w:val="center"/>
              <w:rPr>
                <w:b/>
                <w:bCs/>
                <w:sz w:val="21"/>
                <w:szCs w:val="21"/>
              </w:rPr>
            </w:pPr>
            <w:r>
              <w:rPr>
                <w:b/>
                <w:bCs/>
                <w:sz w:val="21"/>
                <w:szCs w:val="21"/>
              </w:rPr>
              <w:t>昼间</w:t>
            </w:r>
          </w:p>
        </w:tc>
        <w:tc>
          <w:tcPr>
            <w:tcW w:w="407" w:type="pct"/>
            <w:tcBorders>
              <w:tl2br w:val="nil"/>
              <w:tr2bl w:val="nil"/>
            </w:tcBorders>
            <w:vAlign w:val="center"/>
          </w:tcPr>
          <w:p>
            <w:pPr>
              <w:spacing w:line="240" w:lineRule="auto"/>
              <w:ind w:firstLine="0" w:firstLineChars="0"/>
              <w:jc w:val="center"/>
              <w:rPr>
                <w:b/>
                <w:bCs/>
                <w:sz w:val="21"/>
                <w:szCs w:val="21"/>
              </w:rPr>
            </w:pPr>
            <w:r>
              <w:rPr>
                <w:b/>
                <w:bCs/>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617" w:type="pct"/>
            <w:tcBorders>
              <w:tl2br w:val="nil"/>
              <w:tr2bl w:val="nil"/>
            </w:tcBorders>
            <w:vAlign w:val="center"/>
          </w:tcPr>
          <w:p>
            <w:pPr>
              <w:spacing w:line="240" w:lineRule="auto"/>
              <w:ind w:firstLine="0" w:firstLineChars="0"/>
              <w:jc w:val="center"/>
              <w:rPr>
                <w:sz w:val="21"/>
                <w:szCs w:val="21"/>
              </w:rPr>
            </w:pPr>
            <w:r>
              <w:rPr>
                <w:sz w:val="21"/>
                <w:szCs w:val="21"/>
              </w:rPr>
              <w:t>《工业企业厂界环境噪声排放标准》（GB12348-2008）3类标准</w:t>
            </w:r>
          </w:p>
        </w:tc>
        <w:tc>
          <w:tcPr>
            <w:tcW w:w="974" w:type="pct"/>
            <w:tcBorders>
              <w:tl2br w:val="nil"/>
              <w:tr2bl w:val="nil"/>
            </w:tcBorders>
            <w:vAlign w:val="center"/>
          </w:tcPr>
          <w:p>
            <w:pPr>
              <w:spacing w:line="240" w:lineRule="auto"/>
              <w:ind w:firstLine="0" w:firstLineChars="0"/>
              <w:jc w:val="center"/>
              <w:rPr>
                <w:sz w:val="21"/>
                <w:szCs w:val="21"/>
              </w:rPr>
            </w:pPr>
            <w:r>
              <w:rPr>
                <w:sz w:val="21"/>
                <w:szCs w:val="21"/>
              </w:rPr>
              <w:t>65</w:t>
            </w:r>
          </w:p>
        </w:tc>
        <w:tc>
          <w:tcPr>
            <w:tcW w:w="407" w:type="pct"/>
            <w:tcBorders>
              <w:tl2br w:val="nil"/>
              <w:tr2bl w:val="nil"/>
            </w:tcBorders>
            <w:vAlign w:val="center"/>
          </w:tcPr>
          <w:p>
            <w:pPr>
              <w:spacing w:line="240" w:lineRule="auto"/>
              <w:ind w:firstLine="0" w:firstLineChars="0"/>
              <w:jc w:val="center"/>
              <w:rPr>
                <w:sz w:val="21"/>
                <w:szCs w:val="21"/>
              </w:rPr>
            </w:pPr>
            <w:r>
              <w:rPr>
                <w:sz w:val="21"/>
                <w:szCs w:val="21"/>
              </w:rPr>
              <w:t>55</w:t>
            </w:r>
          </w:p>
        </w:tc>
      </w:tr>
    </w:tbl>
    <w:p>
      <w:pPr>
        <w:ind w:firstLine="482"/>
        <w:rPr>
          <w:b/>
          <w:bCs/>
        </w:rPr>
      </w:pPr>
      <w:r>
        <w:rPr>
          <w:rFonts w:hint="eastAsia"/>
          <w:b/>
          <w:bCs/>
        </w:rPr>
        <w:t>4、</w:t>
      </w:r>
      <w:r>
        <w:rPr>
          <w:b/>
          <w:bCs/>
        </w:rPr>
        <w:t>固废</w:t>
      </w:r>
    </w:p>
    <w:p>
      <w:pPr>
        <w:ind w:firstLine="480"/>
      </w:pPr>
      <w:r>
        <w:t>项目运营</w:t>
      </w:r>
      <w:r>
        <w:rPr>
          <w:rFonts w:hint="eastAsia"/>
        </w:rPr>
        <w:t>期</w:t>
      </w:r>
      <w:r>
        <w:t>一般固废</w:t>
      </w:r>
      <w:r>
        <w:rPr>
          <w:rFonts w:hint="eastAsia"/>
        </w:rPr>
        <w:t>执行</w:t>
      </w:r>
      <w:r>
        <w:t>《一般工业固体废物贮存和填埋污染控制标准》（GB18599-2020）中的相关要求</w:t>
      </w:r>
      <w:r>
        <w:rPr>
          <w:rFonts w:hint="eastAsia"/>
        </w:rPr>
        <w:t>；</w:t>
      </w:r>
      <w:r>
        <w:t>危险废物处理和处置按照《危险废物贮存污染控制标准》（</w:t>
      </w:r>
      <w:r>
        <w:rPr>
          <w:rFonts w:hint="eastAsia"/>
        </w:rPr>
        <w:t>GB18597</w:t>
      </w:r>
      <w:r>
        <w:t>-</w:t>
      </w:r>
      <w:r>
        <w:rPr>
          <w:rFonts w:hint="eastAsia"/>
        </w:rPr>
        <w:t>2023</w:t>
      </w:r>
      <w:r>
        <w:t>）和《危险废物收集、贮存、运输技术规范》（HJ2025-2012）中的有关规定，进行妥善处理、贮存。</w:t>
      </w:r>
    </w:p>
    <w:p>
      <w:pPr>
        <w:pStyle w:val="5"/>
        <w:spacing w:before="78" w:after="78"/>
        <w:ind w:firstLine="562"/>
      </w:pPr>
      <w:bookmarkStart w:id="302" w:name="_Toc32168"/>
      <w:bookmarkStart w:id="303" w:name="_Toc325719860"/>
      <w:bookmarkStart w:id="304" w:name="_Toc347242866"/>
      <w:bookmarkStart w:id="305" w:name="_Toc1936"/>
      <w:bookmarkStart w:id="306" w:name="_Toc8843_WPSOffice_Level1"/>
      <w:bookmarkStart w:id="307" w:name="_Toc21959"/>
      <w:bookmarkStart w:id="308" w:name="_Toc23803"/>
      <w:bookmarkStart w:id="309" w:name="_Toc28174"/>
      <w:bookmarkStart w:id="310" w:name="_Toc32176"/>
      <w:bookmarkStart w:id="311" w:name="_Toc15736"/>
      <w:r>
        <w:t>1.6</w:t>
      </w:r>
      <w:r>
        <w:rPr>
          <w:rFonts w:hint="eastAsia"/>
        </w:rPr>
        <w:t>、</w:t>
      </w:r>
      <w:r>
        <w:t>评级工作等级及评价范围</w:t>
      </w:r>
      <w:bookmarkEnd w:id="302"/>
      <w:bookmarkEnd w:id="303"/>
      <w:bookmarkEnd w:id="304"/>
      <w:bookmarkEnd w:id="305"/>
      <w:bookmarkEnd w:id="306"/>
      <w:bookmarkEnd w:id="307"/>
      <w:bookmarkEnd w:id="308"/>
      <w:bookmarkEnd w:id="309"/>
      <w:bookmarkEnd w:id="310"/>
      <w:bookmarkEnd w:id="311"/>
    </w:p>
    <w:p>
      <w:pPr>
        <w:pStyle w:val="6"/>
        <w:ind w:firstLine="482"/>
      </w:pPr>
      <w:bookmarkStart w:id="312" w:name="_Toc27936"/>
      <w:bookmarkStart w:id="313" w:name="_Toc32627"/>
      <w:bookmarkStart w:id="314" w:name="_Toc31362_WPSOffice_Level2"/>
      <w:bookmarkStart w:id="315" w:name="_Toc32259"/>
      <w:bookmarkStart w:id="316" w:name="_Toc5887_WPSOffice_Level2"/>
      <w:r>
        <w:t>1.6.1</w:t>
      </w:r>
      <w:bookmarkEnd w:id="312"/>
      <w:r>
        <w:rPr>
          <w:rFonts w:hint="eastAsia"/>
        </w:rPr>
        <w:t>、</w:t>
      </w:r>
      <w:r>
        <w:t>评价等级</w:t>
      </w:r>
      <w:bookmarkEnd w:id="313"/>
      <w:bookmarkEnd w:id="314"/>
      <w:bookmarkEnd w:id="315"/>
      <w:bookmarkEnd w:id="316"/>
    </w:p>
    <w:p>
      <w:pPr>
        <w:pStyle w:val="7"/>
        <w:ind w:firstLine="482"/>
      </w:pPr>
      <w:bookmarkStart w:id="317" w:name="_Toc10459_WPSOffice_Level3"/>
      <w:bookmarkStart w:id="318" w:name="_Toc14014_WPSOffice_Level3"/>
      <w:bookmarkStart w:id="319" w:name="_Toc16823_WPSOffice_Level3"/>
      <w:bookmarkStart w:id="320" w:name="_Toc9184_WPSOffice_Level3"/>
      <w:bookmarkStart w:id="321" w:name="_Toc27526_WPSOffice_Level3"/>
      <w:bookmarkStart w:id="322" w:name="_Toc19364_WPSOffice_Level3"/>
      <w:bookmarkStart w:id="323" w:name="_Toc30082_WPSOffice_Level3"/>
      <w:bookmarkStart w:id="324" w:name="_Toc17729_WPSOffice_Level3"/>
      <w:r>
        <w:t>1.6.1.1</w:t>
      </w:r>
      <w:r>
        <w:rPr>
          <w:rFonts w:hint="eastAsia"/>
        </w:rPr>
        <w:t>、</w:t>
      </w:r>
      <w:r>
        <w:t>大气环境影响评价等级</w:t>
      </w:r>
      <w:bookmarkEnd w:id="317"/>
      <w:bookmarkEnd w:id="318"/>
      <w:bookmarkEnd w:id="319"/>
      <w:bookmarkEnd w:id="320"/>
      <w:bookmarkEnd w:id="321"/>
      <w:bookmarkEnd w:id="322"/>
      <w:bookmarkEnd w:id="323"/>
      <w:bookmarkEnd w:id="324"/>
    </w:p>
    <w:p>
      <w:pPr>
        <w:bidi w:val="0"/>
        <w:rPr>
          <w:rFonts w:hint="eastAsia"/>
          <w:b/>
          <w:bCs/>
          <w:lang w:val="en-US" w:eastAsia="zh-CN"/>
        </w:rPr>
      </w:pPr>
      <w:r>
        <w:rPr>
          <w:rFonts w:hint="eastAsia"/>
          <w:b/>
          <w:bCs/>
          <w:lang w:val="en-US" w:eastAsia="zh-CN"/>
        </w:rPr>
        <w:t>1、</w:t>
      </w:r>
      <w:r>
        <w:rPr>
          <w:rFonts w:hint="eastAsia"/>
          <w:b/>
          <w:bCs/>
        </w:rPr>
        <w:t>评价等级</w:t>
      </w:r>
    </w:p>
    <w:p>
      <w:pPr>
        <w:ind w:firstLine="480"/>
      </w:pPr>
      <w:r>
        <w:t>依据《环境影响评价技术导则-大气环境》</w:t>
      </w:r>
      <w:r>
        <w:rPr>
          <w:rFonts w:hint="eastAsia"/>
        </w:rPr>
        <w:t>（</w:t>
      </w:r>
      <w:r>
        <w:t>HJ2.2-2018</w:t>
      </w:r>
      <w:r>
        <w:rPr>
          <w:rFonts w:hint="eastAsia"/>
        </w:rPr>
        <w:t>）</w:t>
      </w:r>
      <w:r>
        <w:t>中5.3节工作等级的确定方法，结合项目工程分析结果，选择正常排放的主要污染物及排放参数，采用附录A推荐模型中的AERSCREEN模式计算项目污染源的最大环境影响，然后按评价工作分级判据进行分级。</w:t>
      </w:r>
    </w:p>
    <w:p>
      <w:pPr>
        <w:ind w:firstLine="482"/>
        <w:rPr>
          <w:b/>
          <w:bCs/>
        </w:rPr>
      </w:pPr>
      <w:r>
        <w:rPr>
          <w:rFonts w:hint="eastAsia"/>
          <w:b/>
          <w:bCs/>
          <w:lang w:val="en-US" w:eastAsia="zh-CN"/>
        </w:rPr>
        <w:t>2</w:t>
      </w:r>
      <w:r>
        <w:rPr>
          <w:rFonts w:hint="eastAsia"/>
          <w:b/>
          <w:bCs/>
        </w:rPr>
        <w:t>、</w:t>
      </w:r>
      <w:r>
        <w:rPr>
          <w:b/>
          <w:bCs/>
        </w:rPr>
        <w:t>Pmax及D10%的确定</w:t>
      </w:r>
    </w:p>
    <w:p>
      <w:pPr>
        <w:ind w:firstLine="480"/>
      </w:pPr>
      <w:r>
        <w:t>依据《环境影响评价技术导则 大气环境》</w:t>
      </w:r>
      <w:r>
        <w:rPr>
          <w:rFonts w:hint="eastAsia"/>
        </w:rPr>
        <w:t>（</w:t>
      </w:r>
      <w:r>
        <w:t>HJ2.2-2018</w:t>
      </w:r>
      <w:r>
        <w:rPr>
          <w:rFonts w:hint="eastAsia"/>
        </w:rPr>
        <w:t>）</w:t>
      </w:r>
      <w:r>
        <w:t>中最大地面浓度占标率P</w:t>
      </w:r>
      <w:r>
        <w:rPr>
          <w:vertAlign w:val="subscript"/>
        </w:rPr>
        <w:t>i</w:t>
      </w:r>
      <w:r>
        <w:t>定义如下：</w:t>
      </w:r>
    </w:p>
    <w:p>
      <w:pPr>
        <w:ind w:firstLine="480"/>
      </w:pPr>
      <m:oMathPara>
        <m:oMath>
          <m:sSub>
            <m:sSubPr>
              <m:ctrlPr>
                <w:rPr>
                  <w:rFonts w:ascii="Cambria Math" w:hAnsi="Cambria Math"/>
                </w:rPr>
              </m:ctrlPr>
            </m:sSubPr>
            <m:e>
              <m:r>
                <m:rPr>
                  <m:sty m:val="p"/>
                </m:rPr>
                <w:rPr>
                  <w:rFonts w:ascii="Cambria Math" w:hAnsi="Cambria Math"/>
                </w:rPr>
                <m:t>P</m:t>
              </m:r>
              <m:ctrlPr>
                <w:rPr>
                  <w:rFonts w:ascii="Cambria Math" w:hAnsi="Cambria Math"/>
                </w:rPr>
              </m:ctrlPr>
            </m:e>
            <m:sub>
              <m:r>
                <m:rPr>
                  <m:sty m:val="p"/>
                </m:rPr>
                <w:rPr>
                  <w:rFonts w:ascii="Cambria Math" w:hAnsi="Cambria Math"/>
                </w:rPr>
                <m:t>i</m:t>
              </m:r>
              <m:ctrlPr>
                <w:rPr>
                  <w:rFonts w:ascii="Cambria Math" w:hAnsi="Cambria Math"/>
                </w:rPr>
              </m:ctrlP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i</m:t>
                  </m:r>
                  <m:ctrlPr>
                    <w:rPr>
                      <w:rFonts w:ascii="Cambria Math" w:hAnsi="Cambria Math"/>
                    </w:rPr>
                  </m:ctrlPr>
                </m:sub>
              </m:sSub>
              <m:ctrlPr>
                <w:rPr>
                  <w:rFonts w:ascii="Cambria Math" w:hAnsi="Cambria Math"/>
                </w:rPr>
              </m:ctrlPr>
            </m:num>
            <m:den>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0i</m:t>
                  </m:r>
                  <m:ctrlPr>
                    <w:rPr>
                      <w:rFonts w:ascii="Cambria Math" w:hAnsi="Cambria Math"/>
                    </w:rPr>
                  </m:ctrlPr>
                </m:sub>
              </m:sSub>
              <m:ctrlPr>
                <w:rPr>
                  <w:rFonts w:ascii="Cambria Math" w:hAnsi="Cambria Math"/>
                </w:rPr>
              </m:ctrlPr>
            </m:den>
          </m:f>
          <m:r>
            <m:rPr>
              <m:sty m:val="p"/>
            </m:rPr>
            <w:rPr>
              <w:rFonts w:ascii="Cambria Math" w:hAnsi="Cambria Math"/>
            </w:rPr>
            <m:t>×100%</m:t>
          </m:r>
        </m:oMath>
      </m:oMathPara>
    </w:p>
    <w:p>
      <w:pPr>
        <w:ind w:firstLine="480"/>
      </w:pPr>
      <m:oMath>
        <m:sSub>
          <m:sSubPr>
            <m:ctrlPr>
              <w:rPr>
                <w:rFonts w:ascii="Cambria Math" w:hAnsi="Cambria Math"/>
              </w:rPr>
            </m:ctrlPr>
          </m:sSubPr>
          <m:e>
            <m:r>
              <m:rPr>
                <m:sty m:val="p"/>
              </m:rPr>
              <w:rPr>
                <w:rFonts w:ascii="Cambria Math" w:hAnsi="Cambria Math"/>
              </w:rPr>
              <m:t>P</m:t>
            </m:r>
            <m:ctrlPr>
              <w:rPr>
                <w:rFonts w:ascii="Cambria Math" w:hAnsi="Cambria Math"/>
              </w:rPr>
            </m:ctrlPr>
          </m:e>
          <m:sub>
            <m:r>
              <m:rPr>
                <m:sty m:val="p"/>
              </m:rPr>
              <w:rPr>
                <w:rFonts w:ascii="Cambria Math" w:hAnsi="Cambria Math"/>
              </w:rPr>
              <m:t>i</m:t>
            </m:r>
            <m:ctrlPr>
              <w:rPr>
                <w:rFonts w:ascii="Cambria Math" w:hAnsi="Cambria Math"/>
              </w:rPr>
            </m:ctrlPr>
          </m:sub>
        </m:sSub>
      </m:oMath>
      <w:r>
        <w:t>——第i个污染物的最大地面空气质量浓度占标率，%；</w:t>
      </w:r>
    </w:p>
    <w:p>
      <w:pPr>
        <w:ind w:firstLine="480"/>
      </w:pPr>
      <m:oMath>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i</m:t>
            </m:r>
            <m:ctrlPr>
              <w:rPr>
                <w:rFonts w:ascii="Cambria Math" w:hAnsi="Cambria Math"/>
              </w:rPr>
            </m:ctrlPr>
          </m:sub>
        </m:sSub>
      </m:oMath>
      <w:r>
        <w:t>——采用估算模型计算出的第i个污染物的最大1h地面空气质量浓度，μg/m</w:t>
      </w:r>
      <w:r>
        <w:rPr>
          <w:vertAlign w:val="superscript"/>
        </w:rPr>
        <w:t>3</w:t>
      </w:r>
      <w:r>
        <w:t>；</w:t>
      </w:r>
    </w:p>
    <w:p>
      <w:pPr>
        <w:ind w:firstLine="480"/>
      </w:pPr>
      <m:oMath>
        <m:sSub>
          <m:sSubPr>
            <m:ctrlPr>
              <w:rPr>
                <w:rFonts w:ascii="Cambria Math" w:hAnsi="Cambria Math"/>
              </w:rPr>
            </m:ctrlPr>
          </m:sSubPr>
          <m:e>
            <m:r>
              <m:rPr>
                <m:sty m:val="p"/>
              </m:rPr>
              <w:rPr>
                <w:rFonts w:ascii="Cambria Math" w:hAnsi="Cambria Math"/>
              </w:rPr>
              <m:t>C</m:t>
            </m:r>
            <m:ctrlPr>
              <w:rPr>
                <w:rFonts w:ascii="Cambria Math" w:hAnsi="Cambria Math"/>
              </w:rPr>
            </m:ctrlPr>
          </m:e>
          <m:sub>
            <m:r>
              <m:rPr>
                <m:sty m:val="p"/>
              </m:rPr>
              <w:rPr>
                <w:rFonts w:ascii="Cambria Math" w:hAnsi="Cambria Math"/>
              </w:rPr>
              <m:t>0i</m:t>
            </m:r>
            <m:ctrlPr>
              <w:rPr>
                <w:rFonts w:ascii="Cambria Math" w:hAnsi="Cambria Math"/>
              </w:rPr>
            </m:ctrlPr>
          </m:sub>
        </m:sSub>
      </m:oMath>
      <w:r>
        <w:t>——第i个污染物的环境空气质量浓度标准，μg/m</w:t>
      </w:r>
      <w:r>
        <w:rPr>
          <w:vertAlign w:val="superscript"/>
        </w:rPr>
        <w:t>3</w:t>
      </w:r>
      <w:r>
        <w:t>。</w:t>
      </w:r>
    </w:p>
    <w:p>
      <w:pPr>
        <w:ind w:firstLine="482"/>
        <w:rPr>
          <w:b/>
          <w:bCs/>
        </w:rPr>
      </w:pPr>
      <w:r>
        <w:rPr>
          <w:rFonts w:hint="eastAsia"/>
          <w:b/>
          <w:bCs/>
          <w:lang w:val="en-US" w:eastAsia="zh-CN"/>
        </w:rPr>
        <w:t>3</w:t>
      </w:r>
      <w:r>
        <w:rPr>
          <w:rFonts w:hint="eastAsia"/>
          <w:b/>
          <w:bCs/>
        </w:rPr>
        <w:t>、</w:t>
      </w:r>
      <w:r>
        <w:rPr>
          <w:b/>
          <w:bCs/>
        </w:rPr>
        <w:t>评价等级判别表</w:t>
      </w:r>
    </w:p>
    <w:p>
      <w:pPr>
        <w:ind w:firstLine="480"/>
      </w:pPr>
      <w:r>
        <w:t>评价等级按下表的分级判据进行划分</w:t>
      </w:r>
    </w:p>
    <w:p>
      <w:pPr>
        <w:spacing w:line="240" w:lineRule="auto"/>
        <w:ind w:firstLine="482"/>
        <w:jc w:val="center"/>
        <w:rPr>
          <w:b/>
          <w:bCs/>
        </w:rPr>
      </w:pPr>
      <w:r>
        <w:rPr>
          <w:b/>
          <w:bCs/>
        </w:rPr>
        <w:t>表</w:t>
      </w:r>
      <w:r>
        <w:rPr>
          <w:rFonts w:hint="eastAsia"/>
          <w:b/>
          <w:bCs/>
        </w:rPr>
        <w:t>1.1</w:t>
      </w:r>
      <w:r>
        <w:rPr>
          <w:rFonts w:hint="eastAsia"/>
          <w:b/>
          <w:bCs/>
          <w:lang w:val="en-US" w:eastAsia="zh-CN"/>
        </w:rPr>
        <w:t>6</w:t>
      </w:r>
      <w:r>
        <w:rPr>
          <w:rFonts w:hint="eastAsia"/>
          <w:b/>
          <w:bCs/>
        </w:rPr>
        <w:t xml:space="preserve">    </w:t>
      </w:r>
      <w:r>
        <w:rPr>
          <w:b/>
          <w:bCs/>
        </w:rPr>
        <w:t>评价等级判别表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1"/>
        <w:gridCol w:w="4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vAlign w:val="center"/>
          </w:tcPr>
          <w:p>
            <w:pPr>
              <w:spacing w:line="240" w:lineRule="auto"/>
              <w:ind w:firstLine="0" w:firstLineChars="0"/>
              <w:jc w:val="center"/>
              <w:rPr>
                <w:b/>
                <w:bCs/>
                <w:sz w:val="21"/>
                <w:szCs w:val="21"/>
              </w:rPr>
            </w:pPr>
            <w:r>
              <w:rPr>
                <w:b/>
                <w:bCs/>
                <w:sz w:val="21"/>
                <w:szCs w:val="21"/>
              </w:rPr>
              <w:t>评价工作等级</w:t>
            </w:r>
          </w:p>
        </w:tc>
        <w:tc>
          <w:tcPr>
            <w:tcW w:w="2500" w:type="pct"/>
            <w:tcBorders>
              <w:tl2br w:val="nil"/>
              <w:tr2bl w:val="nil"/>
            </w:tcBorders>
            <w:vAlign w:val="center"/>
          </w:tcPr>
          <w:p>
            <w:pPr>
              <w:spacing w:line="240" w:lineRule="auto"/>
              <w:ind w:firstLine="0" w:firstLineChars="0"/>
              <w:jc w:val="center"/>
              <w:rPr>
                <w:b/>
                <w:bCs/>
                <w:sz w:val="21"/>
                <w:szCs w:val="21"/>
              </w:rPr>
            </w:pPr>
            <w:r>
              <w:rPr>
                <w:b/>
                <w:bCs/>
                <w:sz w:val="21"/>
                <w:szCs w:val="21"/>
              </w:rPr>
              <w:t>评价工作分级判据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vAlign w:val="center"/>
          </w:tcPr>
          <w:p>
            <w:pPr>
              <w:spacing w:line="240" w:lineRule="auto"/>
              <w:ind w:firstLine="0" w:firstLineChars="0"/>
              <w:jc w:val="center"/>
              <w:rPr>
                <w:sz w:val="21"/>
                <w:szCs w:val="21"/>
              </w:rPr>
            </w:pPr>
            <w:r>
              <w:rPr>
                <w:sz w:val="21"/>
                <w:szCs w:val="21"/>
              </w:rPr>
              <w:t>一级评价</w:t>
            </w:r>
          </w:p>
        </w:tc>
        <w:tc>
          <w:tcPr>
            <w:tcW w:w="2500" w:type="pct"/>
            <w:tcBorders>
              <w:tl2br w:val="nil"/>
              <w:tr2bl w:val="nil"/>
            </w:tcBorders>
            <w:vAlign w:val="center"/>
          </w:tcPr>
          <w:p>
            <w:pPr>
              <w:spacing w:line="240" w:lineRule="auto"/>
              <w:ind w:firstLine="0" w:firstLineChars="0"/>
              <w:jc w:val="center"/>
              <w:rPr>
                <w:sz w:val="21"/>
                <w:szCs w:val="21"/>
              </w:rPr>
            </w:pPr>
            <w:r>
              <w:rPr>
                <w:sz w:val="21"/>
                <w:szCs w:val="21"/>
              </w:rPr>
              <w:t>Pmax≧10%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vAlign w:val="center"/>
          </w:tcPr>
          <w:p>
            <w:pPr>
              <w:spacing w:line="240" w:lineRule="auto"/>
              <w:ind w:firstLine="0" w:firstLineChars="0"/>
              <w:jc w:val="center"/>
              <w:rPr>
                <w:sz w:val="21"/>
                <w:szCs w:val="21"/>
              </w:rPr>
            </w:pPr>
            <w:r>
              <w:rPr>
                <w:sz w:val="21"/>
                <w:szCs w:val="21"/>
              </w:rPr>
              <w:t>二级评价</w:t>
            </w:r>
          </w:p>
        </w:tc>
        <w:tc>
          <w:tcPr>
            <w:tcW w:w="2500" w:type="pct"/>
            <w:tcBorders>
              <w:tl2br w:val="nil"/>
              <w:tr2bl w:val="nil"/>
            </w:tcBorders>
            <w:vAlign w:val="center"/>
          </w:tcPr>
          <w:p>
            <w:pPr>
              <w:spacing w:line="240" w:lineRule="auto"/>
              <w:ind w:firstLine="0" w:firstLineChars="0"/>
              <w:jc w:val="center"/>
              <w:rPr>
                <w:sz w:val="21"/>
                <w:szCs w:val="21"/>
              </w:rPr>
            </w:pPr>
            <w:r>
              <w:rPr>
                <w:sz w:val="21"/>
                <w:szCs w:val="21"/>
              </w:rPr>
              <w:t>1%≦Pmax&lt;10%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l2br w:val="nil"/>
              <w:tr2bl w:val="nil"/>
            </w:tcBorders>
            <w:vAlign w:val="center"/>
          </w:tcPr>
          <w:p>
            <w:pPr>
              <w:spacing w:line="240" w:lineRule="auto"/>
              <w:ind w:firstLine="0" w:firstLineChars="0"/>
              <w:jc w:val="center"/>
              <w:rPr>
                <w:sz w:val="21"/>
                <w:szCs w:val="21"/>
              </w:rPr>
            </w:pPr>
            <w:r>
              <w:rPr>
                <w:sz w:val="21"/>
                <w:szCs w:val="21"/>
              </w:rPr>
              <w:t>三级评价</w:t>
            </w:r>
          </w:p>
        </w:tc>
        <w:tc>
          <w:tcPr>
            <w:tcW w:w="2500" w:type="pct"/>
            <w:tcBorders>
              <w:tl2br w:val="nil"/>
              <w:tr2bl w:val="nil"/>
            </w:tcBorders>
            <w:vAlign w:val="center"/>
          </w:tcPr>
          <w:p>
            <w:pPr>
              <w:spacing w:line="240" w:lineRule="auto"/>
              <w:ind w:firstLine="0" w:firstLineChars="0"/>
              <w:jc w:val="center"/>
              <w:rPr>
                <w:sz w:val="21"/>
                <w:szCs w:val="21"/>
              </w:rPr>
            </w:pPr>
            <w:r>
              <w:rPr>
                <w:sz w:val="21"/>
                <w:szCs w:val="21"/>
              </w:rPr>
              <w:t>Pmax&lt;1%</w:t>
            </w:r>
          </w:p>
        </w:tc>
      </w:tr>
    </w:tbl>
    <w:p>
      <w:pPr>
        <w:ind w:firstLine="482"/>
      </w:pPr>
      <w:r>
        <w:rPr>
          <w:rFonts w:hint="eastAsia"/>
          <w:b/>
          <w:bCs/>
          <w:lang w:val="en-US" w:eastAsia="zh-CN"/>
        </w:rPr>
        <w:t>4</w:t>
      </w:r>
      <w:r>
        <w:rPr>
          <w:rFonts w:hint="eastAsia"/>
          <w:b/>
          <w:bCs/>
        </w:rPr>
        <w:t>、</w:t>
      </w:r>
      <w:r>
        <w:rPr>
          <w:b/>
          <w:bCs/>
        </w:rPr>
        <w:t>污染物评价标准</w:t>
      </w:r>
    </w:p>
    <w:p>
      <w:pPr>
        <w:ind w:firstLine="480"/>
      </w:pPr>
      <w:r>
        <w:t>污染物评价标准和来源见下表。</w:t>
      </w:r>
    </w:p>
    <w:p>
      <w:pPr>
        <w:spacing w:line="240" w:lineRule="auto"/>
        <w:ind w:firstLine="482"/>
        <w:jc w:val="center"/>
      </w:pPr>
      <w:r>
        <w:rPr>
          <w:b/>
          <w:bCs/>
        </w:rPr>
        <w:t>表</w:t>
      </w:r>
      <w:r>
        <w:rPr>
          <w:rFonts w:hint="eastAsia"/>
          <w:b/>
          <w:bCs/>
        </w:rPr>
        <w:t>1.1</w:t>
      </w:r>
      <w:r>
        <w:rPr>
          <w:rFonts w:hint="eastAsia"/>
          <w:b/>
          <w:bCs/>
          <w:lang w:val="en-US" w:eastAsia="zh-CN"/>
        </w:rPr>
        <w:t>7</w:t>
      </w:r>
      <w:r>
        <w:rPr>
          <w:rFonts w:hint="eastAsia"/>
          <w:b/>
          <w:bCs/>
        </w:rPr>
        <w:t xml:space="preserve">    </w:t>
      </w:r>
      <w:r>
        <w:rPr>
          <w:b/>
          <w:bCs/>
        </w:rPr>
        <w:t>污染物评价标准</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1349"/>
        <w:gridCol w:w="1506"/>
        <w:gridCol w:w="2026"/>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tcBorders>
              <w:tl2br w:val="nil"/>
              <w:tr2bl w:val="nil"/>
            </w:tcBorders>
            <w:vAlign w:val="center"/>
          </w:tcPr>
          <w:p>
            <w:pPr>
              <w:spacing w:line="240" w:lineRule="auto"/>
              <w:ind w:firstLine="0" w:firstLineChars="0"/>
              <w:jc w:val="center"/>
              <w:rPr>
                <w:b/>
                <w:bCs/>
                <w:sz w:val="21"/>
                <w:szCs w:val="21"/>
              </w:rPr>
            </w:pPr>
            <w:r>
              <w:rPr>
                <w:b/>
                <w:bCs/>
                <w:sz w:val="21"/>
                <w:szCs w:val="21"/>
              </w:rPr>
              <w:t>污染物名称</w:t>
            </w:r>
          </w:p>
        </w:tc>
        <w:tc>
          <w:tcPr>
            <w:tcW w:w="677" w:type="pct"/>
            <w:tcBorders>
              <w:tl2br w:val="nil"/>
              <w:tr2bl w:val="nil"/>
            </w:tcBorders>
            <w:vAlign w:val="center"/>
          </w:tcPr>
          <w:p>
            <w:pPr>
              <w:spacing w:line="240" w:lineRule="auto"/>
              <w:ind w:firstLine="0" w:firstLineChars="0"/>
              <w:jc w:val="center"/>
              <w:rPr>
                <w:b/>
                <w:bCs/>
                <w:sz w:val="21"/>
                <w:szCs w:val="21"/>
              </w:rPr>
            </w:pPr>
            <w:r>
              <w:rPr>
                <w:b/>
                <w:bCs/>
                <w:sz w:val="21"/>
                <w:szCs w:val="21"/>
              </w:rPr>
              <w:t>功能区</w:t>
            </w:r>
          </w:p>
        </w:tc>
        <w:tc>
          <w:tcPr>
            <w:tcW w:w="756" w:type="pct"/>
            <w:tcBorders>
              <w:tl2br w:val="nil"/>
              <w:tr2bl w:val="nil"/>
            </w:tcBorders>
            <w:vAlign w:val="center"/>
          </w:tcPr>
          <w:p>
            <w:pPr>
              <w:spacing w:line="240" w:lineRule="auto"/>
              <w:ind w:firstLine="0" w:firstLineChars="0"/>
              <w:jc w:val="center"/>
              <w:rPr>
                <w:b/>
                <w:bCs/>
                <w:sz w:val="21"/>
                <w:szCs w:val="21"/>
              </w:rPr>
            </w:pPr>
            <w:r>
              <w:rPr>
                <w:b/>
                <w:bCs/>
                <w:sz w:val="21"/>
                <w:szCs w:val="21"/>
              </w:rPr>
              <w:t>取值时间</w:t>
            </w:r>
          </w:p>
        </w:tc>
        <w:tc>
          <w:tcPr>
            <w:tcW w:w="1017" w:type="pct"/>
            <w:tcBorders>
              <w:tl2br w:val="nil"/>
              <w:tr2bl w:val="nil"/>
            </w:tcBorders>
            <w:vAlign w:val="center"/>
          </w:tcPr>
          <w:p>
            <w:pPr>
              <w:spacing w:line="240" w:lineRule="auto"/>
              <w:ind w:firstLine="0" w:firstLineChars="0"/>
              <w:jc w:val="center"/>
              <w:rPr>
                <w:b/>
                <w:bCs/>
                <w:sz w:val="21"/>
                <w:szCs w:val="21"/>
              </w:rPr>
            </w:pPr>
            <w:bookmarkStart w:id="325" w:name="OLE_LINK4"/>
            <w:bookmarkStart w:id="326" w:name="OLE_LINK5"/>
            <w:r>
              <w:rPr>
                <w:b/>
                <w:bCs/>
                <w:sz w:val="21"/>
                <w:szCs w:val="21"/>
              </w:rPr>
              <w:t>标准值</w:t>
            </w:r>
            <w:bookmarkEnd w:id="325"/>
            <w:bookmarkEnd w:id="326"/>
            <w:bookmarkStart w:id="327" w:name="OLE_LINK15"/>
            <w:bookmarkStart w:id="328" w:name="OLE_LINK14"/>
            <w:r>
              <w:rPr>
                <w:rFonts w:hint="eastAsia"/>
                <w:b/>
                <w:bCs/>
                <w:sz w:val="21"/>
                <w:szCs w:val="21"/>
              </w:rPr>
              <w:t>（</w:t>
            </w:r>
            <w:r>
              <w:rPr>
                <w:b/>
                <w:bCs/>
                <w:sz w:val="21"/>
                <w:szCs w:val="21"/>
              </w:rPr>
              <w:t>μg/m</w:t>
            </w:r>
            <w:r>
              <w:rPr>
                <w:b/>
                <w:bCs/>
                <w:sz w:val="21"/>
                <w:szCs w:val="21"/>
                <w:vertAlign w:val="superscript"/>
              </w:rPr>
              <w:t>3</w:t>
            </w:r>
            <w:r>
              <w:rPr>
                <w:rFonts w:hint="eastAsia"/>
                <w:b/>
                <w:bCs/>
                <w:sz w:val="21"/>
                <w:szCs w:val="21"/>
              </w:rPr>
              <w:t>）</w:t>
            </w:r>
            <w:bookmarkEnd w:id="327"/>
            <w:bookmarkEnd w:id="328"/>
          </w:p>
        </w:tc>
        <w:tc>
          <w:tcPr>
            <w:tcW w:w="1779" w:type="pct"/>
            <w:tcBorders>
              <w:tl2br w:val="nil"/>
              <w:tr2bl w:val="nil"/>
            </w:tcBorders>
            <w:vAlign w:val="center"/>
          </w:tcPr>
          <w:p>
            <w:pPr>
              <w:spacing w:line="240" w:lineRule="auto"/>
              <w:ind w:firstLine="0" w:firstLineChars="0"/>
              <w:jc w:val="center"/>
              <w:rPr>
                <w:b/>
                <w:bCs/>
                <w:sz w:val="21"/>
                <w:szCs w:val="21"/>
              </w:rPr>
            </w:pPr>
            <w:r>
              <w:rPr>
                <w:b/>
                <w:bCs/>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677" w:type="pct"/>
            <w:tcBorders>
              <w:tl2br w:val="nil"/>
              <w:tr2bl w:val="nil"/>
            </w:tcBorders>
            <w:vAlign w:val="center"/>
          </w:tcPr>
          <w:p>
            <w:pPr>
              <w:spacing w:line="240" w:lineRule="auto"/>
              <w:ind w:firstLine="0" w:firstLineChars="0"/>
              <w:jc w:val="center"/>
              <w:rPr>
                <w:sz w:val="21"/>
                <w:szCs w:val="21"/>
              </w:rPr>
            </w:pPr>
            <w:r>
              <w:rPr>
                <w:sz w:val="21"/>
                <w:szCs w:val="21"/>
              </w:rPr>
              <w:t>二类限区</w:t>
            </w:r>
          </w:p>
        </w:tc>
        <w:tc>
          <w:tcPr>
            <w:tcW w:w="756" w:type="pct"/>
            <w:tcBorders>
              <w:tl2br w:val="nil"/>
              <w:tr2bl w:val="nil"/>
            </w:tcBorders>
            <w:vAlign w:val="center"/>
          </w:tcPr>
          <w:p>
            <w:pPr>
              <w:spacing w:line="240" w:lineRule="auto"/>
              <w:ind w:firstLine="0" w:firstLineChars="0"/>
              <w:jc w:val="center"/>
              <w:rPr>
                <w:sz w:val="21"/>
                <w:szCs w:val="21"/>
              </w:rPr>
            </w:pPr>
            <w:r>
              <w:rPr>
                <w:sz w:val="21"/>
                <w:szCs w:val="21"/>
              </w:rPr>
              <w:t>一小时</w:t>
            </w:r>
          </w:p>
        </w:tc>
        <w:tc>
          <w:tcPr>
            <w:tcW w:w="1017" w:type="pct"/>
            <w:tcBorders>
              <w:tl2br w:val="nil"/>
              <w:tr2bl w:val="nil"/>
            </w:tcBorders>
            <w:vAlign w:val="center"/>
          </w:tcPr>
          <w:p>
            <w:pPr>
              <w:spacing w:line="240" w:lineRule="auto"/>
              <w:ind w:firstLine="0" w:firstLineChars="0"/>
              <w:jc w:val="center"/>
              <w:rPr>
                <w:sz w:val="21"/>
                <w:szCs w:val="21"/>
              </w:rPr>
            </w:pPr>
            <w:r>
              <w:rPr>
                <w:sz w:val="21"/>
                <w:szCs w:val="21"/>
              </w:rPr>
              <w:t>200.0</w:t>
            </w:r>
          </w:p>
        </w:tc>
        <w:tc>
          <w:tcPr>
            <w:tcW w:w="1779" w:type="pct"/>
            <w:vMerge w:val="restart"/>
            <w:tcBorders>
              <w:tl2br w:val="nil"/>
              <w:tr2bl w:val="nil"/>
            </w:tcBorders>
            <w:vAlign w:val="center"/>
          </w:tcPr>
          <w:p>
            <w:pPr>
              <w:spacing w:line="240" w:lineRule="auto"/>
              <w:ind w:firstLine="0" w:firstLineChars="0"/>
              <w:rPr>
                <w:sz w:val="21"/>
                <w:szCs w:val="21"/>
              </w:rPr>
            </w:pPr>
            <w:r>
              <w:rPr>
                <w:sz w:val="21"/>
                <w:szCs w:val="21"/>
              </w:rPr>
              <w:t>《环境影响评价技术导则-大气环境》（HJ2.2-2018）附录D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9" w:type="pct"/>
            <w:tcBorders>
              <w:tl2br w:val="nil"/>
              <w:tr2bl w:val="nil"/>
            </w:tcBorders>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677" w:type="pct"/>
            <w:tcBorders>
              <w:tl2br w:val="nil"/>
              <w:tr2bl w:val="nil"/>
            </w:tcBorders>
            <w:vAlign w:val="center"/>
          </w:tcPr>
          <w:p>
            <w:pPr>
              <w:spacing w:line="240" w:lineRule="auto"/>
              <w:ind w:firstLine="0" w:firstLineChars="0"/>
              <w:jc w:val="center"/>
              <w:rPr>
                <w:sz w:val="21"/>
                <w:szCs w:val="21"/>
              </w:rPr>
            </w:pPr>
            <w:r>
              <w:rPr>
                <w:sz w:val="21"/>
                <w:szCs w:val="21"/>
              </w:rPr>
              <w:t>二类限区</w:t>
            </w:r>
          </w:p>
        </w:tc>
        <w:tc>
          <w:tcPr>
            <w:tcW w:w="756" w:type="pct"/>
            <w:tcBorders>
              <w:tl2br w:val="nil"/>
              <w:tr2bl w:val="nil"/>
            </w:tcBorders>
            <w:vAlign w:val="center"/>
          </w:tcPr>
          <w:p>
            <w:pPr>
              <w:spacing w:line="240" w:lineRule="auto"/>
              <w:ind w:firstLine="0" w:firstLineChars="0"/>
              <w:jc w:val="center"/>
              <w:rPr>
                <w:sz w:val="21"/>
                <w:szCs w:val="21"/>
              </w:rPr>
            </w:pPr>
            <w:r>
              <w:rPr>
                <w:sz w:val="21"/>
                <w:szCs w:val="21"/>
              </w:rPr>
              <w:t>一小时</w:t>
            </w:r>
          </w:p>
        </w:tc>
        <w:tc>
          <w:tcPr>
            <w:tcW w:w="1017" w:type="pct"/>
            <w:tcBorders>
              <w:tl2br w:val="nil"/>
              <w:tr2bl w:val="nil"/>
            </w:tcBorders>
            <w:vAlign w:val="center"/>
          </w:tcPr>
          <w:p>
            <w:pPr>
              <w:spacing w:line="240" w:lineRule="auto"/>
              <w:ind w:firstLine="0" w:firstLineChars="0"/>
              <w:jc w:val="center"/>
              <w:rPr>
                <w:sz w:val="21"/>
                <w:szCs w:val="21"/>
              </w:rPr>
            </w:pPr>
            <w:r>
              <w:rPr>
                <w:sz w:val="21"/>
                <w:szCs w:val="21"/>
              </w:rPr>
              <w:t>10.0</w:t>
            </w:r>
          </w:p>
        </w:tc>
        <w:tc>
          <w:tcPr>
            <w:tcW w:w="1779" w:type="pct"/>
            <w:vMerge w:val="continue"/>
            <w:tcBorders>
              <w:tl2br w:val="nil"/>
              <w:tr2bl w:val="nil"/>
            </w:tcBorders>
            <w:vAlign w:val="center"/>
          </w:tcPr>
          <w:p>
            <w:pPr>
              <w:spacing w:line="240" w:lineRule="auto"/>
              <w:rPr>
                <w:sz w:val="21"/>
                <w:szCs w:val="21"/>
              </w:rPr>
            </w:pPr>
          </w:p>
        </w:tc>
      </w:tr>
    </w:tbl>
    <w:p>
      <w:pPr>
        <w:bidi w:val="0"/>
        <w:rPr>
          <w:rFonts w:hint="eastAsia"/>
          <w:lang w:val="en-US" w:eastAsia="zh-CN"/>
        </w:rPr>
      </w:pPr>
      <w:r>
        <w:rPr>
          <w:rFonts w:hint="eastAsia"/>
          <w:b/>
          <w:bCs/>
          <w:lang w:val="en-US" w:eastAsia="zh-CN"/>
        </w:rPr>
        <w:t>5、污染源参数</w:t>
      </w:r>
    </w:p>
    <w:p>
      <w:pPr>
        <w:ind w:firstLine="482"/>
      </w:pPr>
      <w:r>
        <w:rPr>
          <w:b/>
          <w:bCs/>
        </w:rPr>
        <w:t>①</w:t>
      </w:r>
      <w:r>
        <w:rPr>
          <w:rFonts w:hint="eastAsia"/>
          <w:b/>
          <w:bCs/>
        </w:rPr>
        <w:t>有组织废气</w:t>
      </w:r>
    </w:p>
    <w:p>
      <w:pPr>
        <w:ind w:firstLine="480"/>
      </w:pPr>
      <w:r>
        <w:t>本项目</w:t>
      </w:r>
      <w:r>
        <w:rPr>
          <w:rFonts w:hint="eastAsia"/>
        </w:rPr>
        <w:t>有</w:t>
      </w:r>
      <w:r>
        <w:t>组织废气污染源强和排放参数见表</w:t>
      </w:r>
      <w:r>
        <w:rPr>
          <w:rFonts w:hint="eastAsia"/>
          <w:lang w:val="en-US" w:eastAsia="zh-CN"/>
        </w:rPr>
        <w:t>1.18</w:t>
      </w:r>
      <w:r>
        <w:rPr>
          <w:rFonts w:hint="eastAsia"/>
        </w:rPr>
        <w:t>。</w:t>
      </w:r>
    </w:p>
    <w:p>
      <w:pPr>
        <w:spacing w:line="240" w:lineRule="auto"/>
        <w:ind w:firstLine="0" w:firstLineChars="0"/>
        <w:jc w:val="center"/>
        <w:rPr>
          <w:b/>
          <w:bCs/>
        </w:rPr>
      </w:pPr>
      <w:r>
        <w:rPr>
          <w:b/>
          <w:bCs/>
        </w:rPr>
        <w:t>表</w:t>
      </w:r>
      <w:r>
        <w:rPr>
          <w:rFonts w:hint="eastAsia"/>
          <w:b/>
          <w:bCs/>
          <w:lang w:val="en-US" w:eastAsia="zh-CN"/>
        </w:rPr>
        <w:t>1.18</w:t>
      </w:r>
      <w:r>
        <w:rPr>
          <w:b/>
          <w:bCs/>
        </w:rPr>
        <w:t xml:space="preserve">  </w:t>
      </w:r>
      <w:r>
        <w:rPr>
          <w:rFonts w:hint="eastAsia"/>
          <w:b/>
          <w:bCs/>
        </w:rPr>
        <w:t xml:space="preserve"> </w:t>
      </w:r>
      <w:r>
        <w:rPr>
          <w:b/>
          <w:bCs/>
        </w:rPr>
        <w:t xml:space="preserve"> </w:t>
      </w:r>
      <w:r>
        <w:rPr>
          <w:rFonts w:hint="eastAsia"/>
          <w:b/>
          <w:bCs/>
        </w:rPr>
        <w:t>有组织</w:t>
      </w:r>
      <w:r>
        <w:rPr>
          <w:b/>
          <w:bCs/>
        </w:rPr>
        <w:t>废气污染源参数一览表</w:t>
      </w:r>
      <w:r>
        <w:rPr>
          <w:rFonts w:hint="eastAsia"/>
          <w:b/>
          <w:bCs/>
        </w:rPr>
        <w:t>（肉羊精深加工车间</w:t>
      </w:r>
      <w:r>
        <w:rPr>
          <w:b/>
          <w:bCs/>
        </w:rPr>
        <w:t>排气筒</w:t>
      </w:r>
      <w:r>
        <w:rPr>
          <w:rFonts w:hint="eastAsia"/>
          <w:b/>
          <w:bCs/>
        </w:rPr>
        <w:t>，</w:t>
      </w:r>
      <w:r>
        <w:rPr>
          <w:b/>
          <w:bCs/>
        </w:rPr>
        <w:t>点源</w:t>
      </w:r>
      <w:r>
        <w:rPr>
          <w:rFonts w:hint="eastAsia"/>
          <w:b/>
          <w:bCs/>
        </w:rPr>
        <w:t>）</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99"/>
        <w:gridCol w:w="851"/>
        <w:gridCol w:w="660"/>
        <w:gridCol w:w="1132"/>
        <w:gridCol w:w="660"/>
        <w:gridCol w:w="900"/>
        <w:gridCol w:w="930"/>
        <w:gridCol w:w="980"/>
        <w:gridCol w:w="870"/>
        <w:gridCol w:w="540"/>
        <w:gridCol w:w="580"/>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8"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污染源名称</w:t>
            </w:r>
          </w:p>
        </w:tc>
        <w:tc>
          <w:tcPr>
            <w:tcW w:w="771" w:type="pct"/>
            <w:gridSpan w:val="2"/>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排气筒底部中心坐标（°）</w:t>
            </w:r>
          </w:p>
        </w:tc>
        <w:tc>
          <w:tcPr>
            <w:tcW w:w="578"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排气筒底部海拔高度(m)</w:t>
            </w:r>
          </w:p>
        </w:tc>
        <w:tc>
          <w:tcPr>
            <w:tcW w:w="1770" w:type="pct"/>
            <w:gridSpan w:val="4"/>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排气筒参数</w:t>
            </w:r>
          </w:p>
        </w:tc>
        <w:tc>
          <w:tcPr>
            <w:tcW w:w="444"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年排放小时数/h</w:t>
            </w:r>
          </w:p>
        </w:tc>
        <w:tc>
          <w:tcPr>
            <w:tcW w:w="275"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排放</w:t>
            </w:r>
          </w:p>
          <w:p>
            <w:pPr>
              <w:spacing w:line="240" w:lineRule="auto"/>
              <w:ind w:firstLine="0" w:firstLineChars="0"/>
              <w:jc w:val="center"/>
              <w:rPr>
                <w:b/>
                <w:bCs/>
                <w:sz w:val="21"/>
                <w:szCs w:val="21"/>
              </w:rPr>
            </w:pPr>
            <w:r>
              <w:rPr>
                <w:b/>
                <w:bCs/>
                <w:sz w:val="21"/>
                <w:szCs w:val="21"/>
              </w:rPr>
              <w:t>工况</w:t>
            </w:r>
          </w:p>
        </w:tc>
        <w:tc>
          <w:tcPr>
            <w:tcW w:w="701" w:type="pct"/>
            <w:gridSpan w:val="2"/>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污染物排放速率/（kg/h）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458" w:type="pct"/>
            <w:vMerge w:val="continue"/>
            <w:tcBorders>
              <w:tl2br w:val="nil"/>
              <w:tr2bl w:val="nil"/>
            </w:tcBorders>
            <w:shd w:val="clear" w:color="auto" w:fill="auto"/>
            <w:vAlign w:val="center"/>
          </w:tcPr>
          <w:p>
            <w:pPr>
              <w:spacing w:line="240" w:lineRule="auto"/>
              <w:rPr>
                <w:sz w:val="21"/>
                <w:szCs w:val="21"/>
              </w:rPr>
            </w:pPr>
          </w:p>
        </w:tc>
        <w:tc>
          <w:tcPr>
            <w:tcW w:w="434"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X</w:t>
            </w:r>
          </w:p>
        </w:tc>
        <w:tc>
          <w:tcPr>
            <w:tcW w:w="336"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Y</w:t>
            </w:r>
          </w:p>
        </w:tc>
        <w:tc>
          <w:tcPr>
            <w:tcW w:w="578" w:type="pct"/>
            <w:vMerge w:val="continue"/>
            <w:tcBorders>
              <w:tl2br w:val="nil"/>
              <w:tr2bl w:val="nil"/>
            </w:tcBorders>
            <w:shd w:val="clear" w:color="auto" w:fill="auto"/>
            <w:vAlign w:val="center"/>
          </w:tcPr>
          <w:p>
            <w:pPr>
              <w:spacing w:line="240" w:lineRule="auto"/>
              <w:ind w:firstLine="422"/>
              <w:jc w:val="center"/>
              <w:rPr>
                <w:b/>
                <w:bCs/>
                <w:sz w:val="21"/>
                <w:szCs w:val="21"/>
              </w:rPr>
            </w:pPr>
          </w:p>
        </w:tc>
        <w:tc>
          <w:tcPr>
            <w:tcW w:w="336"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高度</w:t>
            </w:r>
          </w:p>
          <w:p>
            <w:pPr>
              <w:spacing w:line="240" w:lineRule="auto"/>
              <w:ind w:firstLine="0" w:firstLineChars="0"/>
              <w:jc w:val="center"/>
              <w:rPr>
                <w:b/>
                <w:bCs/>
                <w:sz w:val="21"/>
                <w:szCs w:val="21"/>
              </w:rPr>
            </w:pPr>
            <w:r>
              <w:rPr>
                <w:b/>
                <w:bCs/>
                <w:sz w:val="21"/>
                <w:szCs w:val="21"/>
              </w:rPr>
              <w:t>(m)</w:t>
            </w:r>
          </w:p>
        </w:tc>
        <w:tc>
          <w:tcPr>
            <w:tcW w:w="459"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内径</w:t>
            </w:r>
          </w:p>
          <w:p>
            <w:pPr>
              <w:spacing w:line="240" w:lineRule="auto"/>
              <w:ind w:firstLine="0" w:firstLineChars="0"/>
              <w:jc w:val="center"/>
              <w:rPr>
                <w:b/>
                <w:bCs/>
                <w:sz w:val="21"/>
                <w:szCs w:val="21"/>
              </w:rPr>
            </w:pPr>
            <w:r>
              <w:rPr>
                <w:b/>
                <w:bCs/>
                <w:sz w:val="21"/>
                <w:szCs w:val="21"/>
              </w:rPr>
              <w:t>(m)</w:t>
            </w:r>
          </w:p>
        </w:tc>
        <w:tc>
          <w:tcPr>
            <w:tcW w:w="474"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烟气温度</w:t>
            </w:r>
          </w:p>
          <w:p>
            <w:pPr>
              <w:spacing w:line="240" w:lineRule="auto"/>
              <w:ind w:firstLine="0" w:firstLineChars="0"/>
              <w:jc w:val="center"/>
              <w:rPr>
                <w:b/>
                <w:bCs/>
                <w:sz w:val="21"/>
                <w:szCs w:val="21"/>
              </w:rPr>
            </w:pPr>
            <w:r>
              <w:rPr>
                <w:rFonts w:hint="eastAsia"/>
                <w:b/>
                <w:bCs/>
                <w:sz w:val="21"/>
                <w:szCs w:val="21"/>
              </w:rPr>
              <w:t>（</w:t>
            </w:r>
            <w:r>
              <w:rPr>
                <w:b/>
                <w:bCs/>
                <w:sz w:val="21"/>
                <w:szCs w:val="21"/>
              </w:rPr>
              <w:t>℃</w:t>
            </w:r>
            <w:r>
              <w:rPr>
                <w:rFonts w:hint="eastAsia"/>
                <w:b/>
                <w:bCs/>
                <w:sz w:val="21"/>
                <w:szCs w:val="21"/>
              </w:rPr>
              <w:t>）</w:t>
            </w:r>
          </w:p>
        </w:tc>
        <w:tc>
          <w:tcPr>
            <w:tcW w:w="500"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烟气流速</w:t>
            </w:r>
          </w:p>
          <w:p>
            <w:pPr>
              <w:spacing w:line="240" w:lineRule="auto"/>
              <w:ind w:firstLine="0" w:firstLineChars="0"/>
              <w:jc w:val="center"/>
              <w:rPr>
                <w:b/>
                <w:bCs/>
                <w:sz w:val="21"/>
                <w:szCs w:val="21"/>
              </w:rPr>
            </w:pPr>
            <w:r>
              <w:rPr>
                <w:rFonts w:hint="eastAsia"/>
                <w:b/>
                <w:bCs/>
                <w:sz w:val="21"/>
                <w:szCs w:val="21"/>
              </w:rPr>
              <w:t>（</w:t>
            </w:r>
            <w:r>
              <w:rPr>
                <w:b/>
                <w:bCs/>
                <w:sz w:val="21"/>
                <w:szCs w:val="21"/>
              </w:rPr>
              <w:t>m/s</w:t>
            </w:r>
            <w:r>
              <w:rPr>
                <w:rFonts w:hint="eastAsia"/>
                <w:b/>
                <w:bCs/>
                <w:sz w:val="21"/>
                <w:szCs w:val="21"/>
              </w:rPr>
              <w:t>）</w:t>
            </w:r>
          </w:p>
        </w:tc>
        <w:tc>
          <w:tcPr>
            <w:tcW w:w="444" w:type="pct"/>
            <w:vMerge w:val="continue"/>
            <w:tcBorders>
              <w:tl2br w:val="nil"/>
              <w:tr2bl w:val="nil"/>
            </w:tcBorders>
            <w:shd w:val="clear" w:color="auto" w:fill="auto"/>
            <w:vAlign w:val="center"/>
          </w:tcPr>
          <w:p>
            <w:pPr>
              <w:spacing w:line="240" w:lineRule="auto"/>
              <w:rPr>
                <w:sz w:val="21"/>
                <w:szCs w:val="21"/>
              </w:rPr>
            </w:pPr>
          </w:p>
        </w:tc>
        <w:tc>
          <w:tcPr>
            <w:tcW w:w="275" w:type="pct"/>
            <w:vMerge w:val="continue"/>
            <w:tcBorders>
              <w:tl2br w:val="nil"/>
              <w:tr2bl w:val="nil"/>
            </w:tcBorders>
            <w:vAlign w:val="center"/>
          </w:tcPr>
          <w:p>
            <w:pPr>
              <w:spacing w:line="240" w:lineRule="auto"/>
              <w:rPr>
                <w:sz w:val="21"/>
                <w:szCs w:val="21"/>
              </w:rPr>
            </w:pPr>
          </w:p>
        </w:tc>
        <w:tc>
          <w:tcPr>
            <w:tcW w:w="701" w:type="pct"/>
            <w:gridSpan w:val="2"/>
            <w:vMerge w:val="continue"/>
            <w:tcBorders>
              <w:tl2br w:val="nil"/>
              <w:tr2bl w:val="nil"/>
            </w:tcBorders>
            <w:vAlign w:val="center"/>
          </w:tcPr>
          <w:p>
            <w:pPr>
              <w:spacing w:line="240" w:lineRule="auto"/>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4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肉羊精深加工车间</w:t>
            </w:r>
            <w:r>
              <w:rPr>
                <w:sz w:val="21"/>
                <w:szCs w:val="21"/>
              </w:rPr>
              <w:t>排气筒</w:t>
            </w:r>
          </w:p>
        </w:tc>
        <w:tc>
          <w:tcPr>
            <w:tcW w:w="434" w:type="pct"/>
            <w:vMerge w:val="restart"/>
            <w:tcBorders>
              <w:tl2br w:val="nil"/>
              <w:tr2bl w:val="nil"/>
            </w:tcBorders>
            <w:vAlign w:val="center"/>
          </w:tcPr>
          <w:p>
            <w:pPr>
              <w:spacing w:line="240" w:lineRule="auto"/>
              <w:ind w:firstLine="0" w:firstLineChars="0"/>
              <w:jc w:val="center"/>
              <w:rPr>
                <w:sz w:val="21"/>
                <w:szCs w:val="21"/>
              </w:rPr>
            </w:pPr>
            <w:r>
              <w:rPr>
                <w:sz w:val="21"/>
                <w:szCs w:val="21"/>
              </w:rPr>
              <w:t>100.259458</w:t>
            </w:r>
          </w:p>
        </w:tc>
        <w:tc>
          <w:tcPr>
            <w:tcW w:w="336" w:type="pct"/>
            <w:vMerge w:val="restart"/>
            <w:tcBorders>
              <w:tl2br w:val="nil"/>
              <w:tr2bl w:val="nil"/>
            </w:tcBorders>
            <w:vAlign w:val="center"/>
          </w:tcPr>
          <w:p>
            <w:pPr>
              <w:spacing w:line="240" w:lineRule="auto"/>
              <w:ind w:firstLine="0" w:firstLineChars="0"/>
              <w:jc w:val="center"/>
              <w:rPr>
                <w:sz w:val="21"/>
                <w:szCs w:val="21"/>
              </w:rPr>
            </w:pPr>
            <w:r>
              <w:rPr>
                <w:sz w:val="21"/>
                <w:szCs w:val="21"/>
              </w:rPr>
              <w:t>38.954929</w:t>
            </w:r>
          </w:p>
        </w:tc>
        <w:tc>
          <w:tcPr>
            <w:tcW w:w="578" w:type="pct"/>
            <w:vMerge w:val="restart"/>
            <w:tcBorders>
              <w:tl2br w:val="nil"/>
              <w:tr2bl w:val="nil"/>
            </w:tcBorders>
            <w:vAlign w:val="center"/>
          </w:tcPr>
          <w:p>
            <w:pPr>
              <w:spacing w:line="240" w:lineRule="auto"/>
              <w:ind w:firstLine="0" w:firstLineChars="0"/>
              <w:jc w:val="center"/>
              <w:rPr>
                <w:sz w:val="21"/>
                <w:szCs w:val="21"/>
              </w:rPr>
            </w:pPr>
            <w:r>
              <w:rPr>
                <w:sz w:val="21"/>
                <w:szCs w:val="21"/>
              </w:rPr>
              <w:t>1547.9</w:t>
            </w:r>
            <w:r>
              <w:rPr>
                <w:rFonts w:hint="eastAsia"/>
                <w:sz w:val="21"/>
                <w:szCs w:val="21"/>
              </w:rPr>
              <w:t>4</w:t>
            </w:r>
          </w:p>
        </w:tc>
        <w:tc>
          <w:tcPr>
            <w:tcW w:w="336" w:type="pct"/>
            <w:vMerge w:val="restart"/>
            <w:tcBorders>
              <w:tl2br w:val="nil"/>
              <w:tr2bl w:val="nil"/>
            </w:tcBorders>
            <w:vAlign w:val="center"/>
          </w:tcPr>
          <w:p>
            <w:pPr>
              <w:spacing w:line="240" w:lineRule="auto"/>
              <w:ind w:firstLine="0" w:firstLineChars="0"/>
              <w:jc w:val="center"/>
              <w:rPr>
                <w:sz w:val="21"/>
                <w:szCs w:val="21"/>
              </w:rPr>
            </w:pPr>
            <w:r>
              <w:rPr>
                <w:sz w:val="21"/>
                <w:szCs w:val="21"/>
              </w:rPr>
              <w:t>15.0</w:t>
            </w:r>
          </w:p>
        </w:tc>
        <w:tc>
          <w:tcPr>
            <w:tcW w:w="459" w:type="pct"/>
            <w:vMerge w:val="restart"/>
            <w:tcBorders>
              <w:tl2br w:val="nil"/>
              <w:tr2bl w:val="nil"/>
            </w:tcBorders>
            <w:vAlign w:val="center"/>
          </w:tcPr>
          <w:p>
            <w:pPr>
              <w:spacing w:line="240" w:lineRule="auto"/>
              <w:ind w:firstLine="0" w:firstLineChars="0"/>
              <w:jc w:val="center"/>
              <w:rPr>
                <w:sz w:val="21"/>
                <w:szCs w:val="21"/>
              </w:rPr>
            </w:pPr>
            <w:r>
              <w:rPr>
                <w:sz w:val="21"/>
                <w:szCs w:val="21"/>
              </w:rPr>
              <w:t>0.8</w:t>
            </w:r>
            <w:r>
              <w:rPr>
                <w:rFonts w:hint="eastAsia"/>
                <w:sz w:val="21"/>
                <w:szCs w:val="21"/>
              </w:rPr>
              <w:t>0</w:t>
            </w:r>
          </w:p>
        </w:tc>
        <w:tc>
          <w:tcPr>
            <w:tcW w:w="474" w:type="pct"/>
            <w:vMerge w:val="restart"/>
            <w:tcBorders>
              <w:tl2br w:val="nil"/>
              <w:tr2bl w:val="nil"/>
            </w:tcBorders>
            <w:vAlign w:val="center"/>
          </w:tcPr>
          <w:p>
            <w:pPr>
              <w:spacing w:line="240" w:lineRule="auto"/>
              <w:ind w:firstLine="0" w:firstLineChars="0"/>
              <w:jc w:val="center"/>
              <w:rPr>
                <w:sz w:val="21"/>
                <w:szCs w:val="21"/>
              </w:rPr>
            </w:pPr>
            <w:r>
              <w:rPr>
                <w:sz w:val="21"/>
                <w:szCs w:val="21"/>
              </w:rPr>
              <w:t>25.0</w:t>
            </w:r>
          </w:p>
        </w:tc>
        <w:tc>
          <w:tcPr>
            <w:tcW w:w="500" w:type="pct"/>
            <w:vMerge w:val="restart"/>
            <w:tcBorders>
              <w:tl2br w:val="nil"/>
              <w:tr2bl w:val="nil"/>
            </w:tcBorders>
            <w:vAlign w:val="center"/>
          </w:tcPr>
          <w:p>
            <w:pPr>
              <w:spacing w:line="240" w:lineRule="auto"/>
              <w:ind w:firstLine="0" w:firstLineChars="0"/>
              <w:jc w:val="center"/>
              <w:rPr>
                <w:sz w:val="21"/>
                <w:szCs w:val="21"/>
              </w:rPr>
            </w:pPr>
            <w:r>
              <w:rPr>
                <w:sz w:val="21"/>
                <w:szCs w:val="21"/>
              </w:rPr>
              <w:t>9.92</w:t>
            </w:r>
          </w:p>
        </w:tc>
        <w:tc>
          <w:tcPr>
            <w:tcW w:w="44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3650</w:t>
            </w:r>
          </w:p>
        </w:tc>
        <w:tc>
          <w:tcPr>
            <w:tcW w:w="275" w:type="pct"/>
            <w:vMerge w:val="restart"/>
            <w:tcBorders>
              <w:tl2br w:val="nil"/>
              <w:tr2bl w:val="nil"/>
            </w:tcBorders>
            <w:vAlign w:val="center"/>
          </w:tcPr>
          <w:p>
            <w:pPr>
              <w:spacing w:line="240" w:lineRule="auto"/>
              <w:ind w:firstLine="0" w:firstLineChars="0"/>
              <w:jc w:val="center"/>
              <w:rPr>
                <w:sz w:val="21"/>
                <w:szCs w:val="21"/>
              </w:rPr>
            </w:pPr>
            <w:r>
              <w:rPr>
                <w:sz w:val="21"/>
                <w:szCs w:val="21"/>
              </w:rPr>
              <w:t>正常</w:t>
            </w:r>
          </w:p>
          <w:p>
            <w:pPr>
              <w:spacing w:line="240" w:lineRule="auto"/>
              <w:ind w:firstLine="0" w:firstLineChars="0"/>
              <w:jc w:val="center"/>
              <w:rPr>
                <w:sz w:val="21"/>
                <w:szCs w:val="21"/>
              </w:rPr>
            </w:pPr>
            <w:r>
              <w:rPr>
                <w:sz w:val="21"/>
                <w:szCs w:val="21"/>
              </w:rPr>
              <w:t>工况</w:t>
            </w:r>
          </w:p>
        </w:tc>
        <w:tc>
          <w:tcPr>
            <w:tcW w:w="296"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405" w:type="pct"/>
            <w:tcBorders>
              <w:tl2br w:val="nil"/>
              <w:tr2bl w:val="nil"/>
            </w:tcBorders>
            <w:vAlign w:val="center"/>
          </w:tcPr>
          <w:p>
            <w:pPr>
              <w:spacing w:line="240" w:lineRule="auto"/>
              <w:ind w:firstLine="0" w:firstLineChars="0"/>
              <w:jc w:val="center"/>
              <w:rPr>
                <w:sz w:val="21"/>
                <w:szCs w:val="21"/>
              </w:rPr>
            </w:pPr>
            <w:r>
              <w:rPr>
                <w:sz w:val="21"/>
                <w:szCs w:val="21"/>
              </w:rPr>
              <w:t>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58" w:type="pct"/>
            <w:vMerge w:val="continue"/>
            <w:tcBorders>
              <w:tl2br w:val="nil"/>
              <w:tr2bl w:val="nil"/>
            </w:tcBorders>
            <w:vAlign w:val="center"/>
          </w:tcPr>
          <w:p>
            <w:pPr>
              <w:spacing w:line="240" w:lineRule="auto"/>
              <w:ind w:firstLine="0" w:firstLineChars="0"/>
              <w:jc w:val="center"/>
            </w:pPr>
          </w:p>
        </w:tc>
        <w:tc>
          <w:tcPr>
            <w:tcW w:w="434" w:type="pct"/>
            <w:vMerge w:val="continue"/>
            <w:tcBorders>
              <w:tl2br w:val="nil"/>
              <w:tr2bl w:val="nil"/>
            </w:tcBorders>
            <w:vAlign w:val="center"/>
          </w:tcPr>
          <w:p>
            <w:pPr>
              <w:spacing w:line="240" w:lineRule="auto"/>
              <w:ind w:firstLine="0" w:firstLineChars="0"/>
              <w:jc w:val="center"/>
            </w:pPr>
          </w:p>
        </w:tc>
        <w:tc>
          <w:tcPr>
            <w:tcW w:w="336" w:type="pct"/>
            <w:vMerge w:val="continue"/>
            <w:tcBorders>
              <w:tl2br w:val="nil"/>
              <w:tr2bl w:val="nil"/>
            </w:tcBorders>
            <w:vAlign w:val="center"/>
          </w:tcPr>
          <w:p>
            <w:pPr>
              <w:spacing w:line="240" w:lineRule="auto"/>
              <w:ind w:firstLine="0" w:firstLineChars="0"/>
              <w:jc w:val="center"/>
            </w:pPr>
          </w:p>
        </w:tc>
        <w:tc>
          <w:tcPr>
            <w:tcW w:w="578" w:type="pct"/>
            <w:vMerge w:val="continue"/>
            <w:tcBorders>
              <w:tl2br w:val="nil"/>
              <w:tr2bl w:val="nil"/>
            </w:tcBorders>
            <w:vAlign w:val="center"/>
          </w:tcPr>
          <w:p>
            <w:pPr>
              <w:spacing w:line="240" w:lineRule="auto"/>
              <w:ind w:firstLine="0" w:firstLineChars="0"/>
              <w:jc w:val="center"/>
            </w:pPr>
          </w:p>
        </w:tc>
        <w:tc>
          <w:tcPr>
            <w:tcW w:w="336" w:type="pct"/>
            <w:vMerge w:val="continue"/>
            <w:tcBorders>
              <w:tl2br w:val="nil"/>
              <w:tr2bl w:val="nil"/>
            </w:tcBorders>
            <w:vAlign w:val="center"/>
          </w:tcPr>
          <w:p>
            <w:pPr>
              <w:spacing w:line="240" w:lineRule="auto"/>
              <w:ind w:firstLine="0" w:firstLineChars="0"/>
              <w:jc w:val="center"/>
            </w:pPr>
          </w:p>
        </w:tc>
        <w:tc>
          <w:tcPr>
            <w:tcW w:w="459" w:type="pct"/>
            <w:vMerge w:val="continue"/>
            <w:tcBorders>
              <w:tl2br w:val="nil"/>
              <w:tr2bl w:val="nil"/>
            </w:tcBorders>
            <w:vAlign w:val="center"/>
          </w:tcPr>
          <w:p>
            <w:pPr>
              <w:spacing w:line="240" w:lineRule="auto"/>
              <w:ind w:firstLine="0" w:firstLineChars="0"/>
              <w:jc w:val="center"/>
            </w:pPr>
          </w:p>
        </w:tc>
        <w:tc>
          <w:tcPr>
            <w:tcW w:w="474" w:type="pct"/>
            <w:vMerge w:val="continue"/>
            <w:tcBorders>
              <w:tl2br w:val="nil"/>
              <w:tr2bl w:val="nil"/>
            </w:tcBorders>
            <w:vAlign w:val="center"/>
          </w:tcPr>
          <w:p>
            <w:pPr>
              <w:spacing w:line="240" w:lineRule="auto"/>
              <w:ind w:firstLine="0" w:firstLineChars="0"/>
              <w:jc w:val="center"/>
            </w:pPr>
          </w:p>
        </w:tc>
        <w:tc>
          <w:tcPr>
            <w:tcW w:w="500" w:type="pct"/>
            <w:vMerge w:val="continue"/>
            <w:tcBorders>
              <w:tl2br w:val="nil"/>
              <w:tr2bl w:val="nil"/>
            </w:tcBorders>
            <w:vAlign w:val="center"/>
          </w:tcPr>
          <w:p>
            <w:pPr>
              <w:spacing w:line="240" w:lineRule="auto"/>
              <w:ind w:firstLine="0" w:firstLineChars="0"/>
              <w:jc w:val="center"/>
            </w:pPr>
          </w:p>
        </w:tc>
        <w:tc>
          <w:tcPr>
            <w:tcW w:w="444" w:type="pct"/>
            <w:vMerge w:val="continue"/>
            <w:tcBorders>
              <w:tl2br w:val="nil"/>
              <w:tr2bl w:val="nil"/>
            </w:tcBorders>
            <w:vAlign w:val="center"/>
          </w:tcPr>
          <w:p>
            <w:pPr>
              <w:spacing w:line="240" w:lineRule="auto"/>
              <w:ind w:firstLine="0" w:firstLineChars="0"/>
              <w:jc w:val="center"/>
            </w:pPr>
          </w:p>
        </w:tc>
        <w:tc>
          <w:tcPr>
            <w:tcW w:w="275" w:type="pct"/>
            <w:vMerge w:val="continue"/>
            <w:tcBorders>
              <w:tl2br w:val="nil"/>
              <w:tr2bl w:val="nil"/>
            </w:tcBorders>
            <w:vAlign w:val="center"/>
          </w:tcPr>
          <w:p>
            <w:pPr>
              <w:spacing w:line="240" w:lineRule="auto"/>
              <w:ind w:firstLine="0" w:firstLineChars="0"/>
              <w:jc w:val="center"/>
            </w:pPr>
          </w:p>
        </w:tc>
        <w:tc>
          <w:tcPr>
            <w:tcW w:w="296" w:type="pct"/>
            <w:tcBorders>
              <w:tl2br w:val="nil"/>
              <w:tr2bl w:val="nil"/>
            </w:tcBorders>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405" w:type="pct"/>
            <w:tcBorders>
              <w:tl2br w:val="nil"/>
              <w:tr2bl w:val="nil"/>
            </w:tcBorders>
            <w:vAlign w:val="center"/>
          </w:tcPr>
          <w:p>
            <w:pPr>
              <w:spacing w:line="240" w:lineRule="auto"/>
              <w:ind w:firstLine="0" w:firstLineChars="0"/>
              <w:jc w:val="center"/>
              <w:rPr>
                <w:sz w:val="21"/>
                <w:szCs w:val="21"/>
              </w:rPr>
            </w:pPr>
            <w:r>
              <w:rPr>
                <w:sz w:val="21"/>
                <w:szCs w:val="21"/>
              </w:rPr>
              <w:t>0.00</w:t>
            </w:r>
            <w:r>
              <w:rPr>
                <w:rFonts w:hint="eastAsia"/>
                <w:sz w:val="21"/>
                <w:szCs w:val="21"/>
              </w:rPr>
              <w:t>0</w:t>
            </w:r>
            <w:r>
              <w:rPr>
                <w:sz w:val="21"/>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2" w:hRule="atLeast"/>
          <w:jc w:val="center"/>
        </w:trPr>
        <w:tc>
          <w:tcPr>
            <w:tcW w:w="5000" w:type="pct"/>
            <w:gridSpan w:val="12"/>
            <w:tcBorders>
              <w:tl2br w:val="nil"/>
              <w:tr2bl w:val="nil"/>
            </w:tcBorders>
            <w:vAlign w:val="center"/>
          </w:tcPr>
          <w:p>
            <w:pPr>
              <w:spacing w:line="240" w:lineRule="auto"/>
              <w:ind w:firstLine="0" w:firstLineChars="0"/>
              <w:rPr>
                <w:sz w:val="21"/>
                <w:szCs w:val="21"/>
              </w:rPr>
            </w:pPr>
            <w:r>
              <w:rPr>
                <w:rFonts w:hint="eastAsia"/>
                <w:sz w:val="21"/>
                <w:szCs w:val="21"/>
              </w:rPr>
              <w:t>注：年运行365d，每天10h</w:t>
            </w:r>
          </w:p>
        </w:tc>
      </w:tr>
    </w:tbl>
    <w:p>
      <w:pPr>
        <w:ind w:firstLine="482"/>
      </w:pPr>
      <w:r>
        <w:rPr>
          <w:b/>
          <w:bCs/>
        </w:rPr>
        <w:t>②</w:t>
      </w:r>
      <w:r>
        <w:rPr>
          <w:rFonts w:hint="eastAsia"/>
          <w:b/>
          <w:bCs/>
        </w:rPr>
        <w:t>无组织废气</w:t>
      </w:r>
    </w:p>
    <w:p>
      <w:pPr>
        <w:ind w:firstLine="480"/>
        <w:rPr>
          <w:b/>
          <w:bCs/>
        </w:rPr>
      </w:pPr>
      <w:r>
        <w:rPr>
          <w:rFonts w:hint="eastAsia"/>
        </w:rPr>
        <w:t>无</w:t>
      </w:r>
      <w:r>
        <w:t>组织废气污染源强和排放参数见表</w:t>
      </w:r>
      <w:r>
        <w:rPr>
          <w:rFonts w:hint="eastAsia"/>
          <w:lang w:val="en-US" w:eastAsia="zh-CN"/>
        </w:rPr>
        <w:t>1.19</w:t>
      </w:r>
      <w:r>
        <w:t>。</w:t>
      </w:r>
    </w:p>
    <w:p>
      <w:pPr>
        <w:spacing w:line="240" w:lineRule="auto"/>
        <w:ind w:firstLine="482"/>
        <w:jc w:val="center"/>
        <w:rPr>
          <w:b/>
          <w:bCs/>
        </w:rPr>
      </w:pPr>
    </w:p>
    <w:p>
      <w:pPr>
        <w:spacing w:line="240" w:lineRule="auto"/>
        <w:ind w:firstLine="482"/>
        <w:jc w:val="center"/>
        <w:rPr>
          <w:b/>
          <w:bCs/>
        </w:rPr>
      </w:pPr>
    </w:p>
    <w:p>
      <w:pPr>
        <w:spacing w:line="240" w:lineRule="auto"/>
        <w:ind w:firstLine="482"/>
        <w:jc w:val="center"/>
        <w:rPr>
          <w:b/>
          <w:bCs/>
        </w:rPr>
      </w:pPr>
    </w:p>
    <w:p>
      <w:pPr>
        <w:spacing w:line="240" w:lineRule="auto"/>
        <w:ind w:firstLine="482"/>
        <w:jc w:val="center"/>
        <w:rPr>
          <w:b/>
          <w:bCs/>
        </w:rPr>
      </w:pPr>
      <w:r>
        <w:rPr>
          <w:b/>
          <w:bCs/>
        </w:rPr>
        <w:t>表</w:t>
      </w:r>
      <w:r>
        <w:rPr>
          <w:rFonts w:hint="eastAsia"/>
          <w:b/>
          <w:bCs/>
          <w:lang w:val="en-US" w:eastAsia="zh-CN"/>
        </w:rPr>
        <w:t>1.19</w:t>
      </w:r>
      <w:r>
        <w:rPr>
          <w:b/>
          <w:bCs/>
        </w:rPr>
        <w:t xml:space="preserve">  </w:t>
      </w:r>
      <w:r>
        <w:rPr>
          <w:rFonts w:hint="eastAsia"/>
          <w:b/>
          <w:bCs/>
        </w:rPr>
        <w:t xml:space="preserve"> </w:t>
      </w:r>
      <w:r>
        <w:rPr>
          <w:b/>
          <w:bCs/>
        </w:rPr>
        <w:t xml:space="preserve"> </w:t>
      </w:r>
      <w:r>
        <w:rPr>
          <w:rFonts w:hint="eastAsia"/>
          <w:b/>
          <w:bCs/>
        </w:rPr>
        <w:t>无组织</w:t>
      </w:r>
      <w:r>
        <w:rPr>
          <w:b/>
          <w:bCs/>
        </w:rPr>
        <w:t>废气污染源参数一览表</w:t>
      </w:r>
      <w:r>
        <w:rPr>
          <w:rFonts w:hint="eastAsia"/>
          <w:b/>
          <w:bCs/>
        </w:rPr>
        <w:t>（待宰圈，</w:t>
      </w:r>
      <w:r>
        <w:rPr>
          <w:b/>
          <w:bCs/>
        </w:rPr>
        <w:t>矩形面源</w:t>
      </w:r>
      <w:r>
        <w:rPr>
          <w:rFonts w:hint="eastAsia"/>
          <w:b/>
          <w:bCs/>
        </w:rPr>
        <w:t>）</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886"/>
        <w:gridCol w:w="863"/>
        <w:gridCol w:w="1047"/>
        <w:gridCol w:w="690"/>
        <w:gridCol w:w="690"/>
        <w:gridCol w:w="1030"/>
        <w:gridCol w:w="860"/>
        <w:gridCol w:w="860"/>
        <w:gridCol w:w="670"/>
        <w:gridCol w:w="590"/>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污染源名称</w:t>
            </w:r>
          </w:p>
        </w:tc>
        <w:tc>
          <w:tcPr>
            <w:tcW w:w="878" w:type="pct"/>
            <w:gridSpan w:val="2"/>
            <w:tcBorders>
              <w:tl2br w:val="nil"/>
              <w:tr2bl w:val="nil"/>
            </w:tcBorders>
            <w:shd w:val="clear" w:color="auto" w:fill="auto"/>
            <w:vAlign w:val="center"/>
          </w:tcPr>
          <w:p>
            <w:pPr>
              <w:spacing w:line="240" w:lineRule="auto"/>
              <w:ind w:firstLine="0" w:firstLineChars="0"/>
              <w:jc w:val="center"/>
              <w:rPr>
                <w:b/>
                <w:bCs/>
                <w:sz w:val="21"/>
                <w:szCs w:val="21"/>
              </w:rPr>
            </w:pPr>
            <w:r>
              <w:rPr>
                <w:rFonts w:hint="eastAsia"/>
                <w:b/>
                <w:bCs/>
                <w:sz w:val="21"/>
                <w:szCs w:val="21"/>
              </w:rPr>
              <w:t>面源坐标</w:t>
            </w:r>
          </w:p>
        </w:tc>
        <w:tc>
          <w:tcPr>
            <w:tcW w:w="526"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面源海拔高度/m</w:t>
            </w:r>
          </w:p>
        </w:tc>
        <w:tc>
          <w:tcPr>
            <w:tcW w:w="1642" w:type="pct"/>
            <w:gridSpan w:val="4"/>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矩形面源</w:t>
            </w:r>
          </w:p>
        </w:tc>
        <w:tc>
          <w:tcPr>
            <w:tcW w:w="431"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年排放小时数/h</w:t>
            </w:r>
          </w:p>
        </w:tc>
        <w:tc>
          <w:tcPr>
            <w:tcW w:w="336"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排放工况</w:t>
            </w:r>
          </w:p>
        </w:tc>
        <w:tc>
          <w:tcPr>
            <w:tcW w:w="774" w:type="pct"/>
            <w:gridSpan w:val="2"/>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排放速率</w:t>
            </w:r>
          </w:p>
          <w:p>
            <w:pPr>
              <w:pStyle w:val="2"/>
              <w:jc w:val="center"/>
              <w:rPr>
                <w:b/>
                <w:bCs/>
                <w:sz w:val="21"/>
                <w:szCs w:val="21"/>
              </w:rPr>
            </w:pPr>
            <w:r>
              <w:rPr>
                <w:rFonts w:hint="eastAsia"/>
                <w:b/>
                <w:bCs/>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Merge w:val="continue"/>
            <w:tcBorders>
              <w:tl2br w:val="nil"/>
              <w:tr2bl w:val="nil"/>
            </w:tcBorders>
            <w:shd w:val="clear" w:color="auto" w:fill="auto"/>
            <w:vAlign w:val="center"/>
          </w:tcPr>
          <w:p>
            <w:pPr>
              <w:spacing w:line="240" w:lineRule="auto"/>
              <w:rPr>
                <w:sz w:val="21"/>
                <w:szCs w:val="21"/>
              </w:rPr>
            </w:pPr>
          </w:p>
        </w:tc>
        <w:tc>
          <w:tcPr>
            <w:tcW w:w="445"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X</w:t>
            </w:r>
          </w:p>
        </w:tc>
        <w:tc>
          <w:tcPr>
            <w:tcW w:w="433"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Y</w:t>
            </w:r>
          </w:p>
        </w:tc>
        <w:tc>
          <w:tcPr>
            <w:tcW w:w="526" w:type="pct"/>
            <w:vMerge w:val="continue"/>
            <w:tcBorders>
              <w:tl2br w:val="nil"/>
              <w:tr2bl w:val="nil"/>
            </w:tcBorders>
            <w:shd w:val="clear" w:color="auto" w:fill="auto"/>
            <w:vAlign w:val="center"/>
          </w:tcPr>
          <w:p>
            <w:pPr>
              <w:spacing w:line="240" w:lineRule="auto"/>
              <w:ind w:firstLine="422"/>
              <w:jc w:val="center"/>
              <w:rPr>
                <w:b/>
                <w:bCs/>
                <w:sz w:val="21"/>
                <w:szCs w:val="21"/>
              </w:rPr>
            </w:pPr>
          </w:p>
        </w:tc>
        <w:tc>
          <w:tcPr>
            <w:tcW w:w="346"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长度/m</w:t>
            </w:r>
          </w:p>
        </w:tc>
        <w:tc>
          <w:tcPr>
            <w:tcW w:w="346"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宽度/m</w:t>
            </w:r>
          </w:p>
        </w:tc>
        <w:tc>
          <w:tcPr>
            <w:tcW w:w="517"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与正北向夹角/°</w:t>
            </w:r>
          </w:p>
        </w:tc>
        <w:tc>
          <w:tcPr>
            <w:tcW w:w="431"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有效高度/m</w:t>
            </w:r>
          </w:p>
        </w:tc>
        <w:tc>
          <w:tcPr>
            <w:tcW w:w="431" w:type="pct"/>
            <w:vMerge w:val="continue"/>
            <w:tcBorders>
              <w:tl2br w:val="nil"/>
              <w:tr2bl w:val="nil"/>
            </w:tcBorders>
            <w:vAlign w:val="center"/>
          </w:tcPr>
          <w:p>
            <w:pPr>
              <w:spacing w:line="240" w:lineRule="auto"/>
              <w:rPr>
                <w:sz w:val="21"/>
                <w:szCs w:val="21"/>
              </w:rPr>
            </w:pPr>
          </w:p>
        </w:tc>
        <w:tc>
          <w:tcPr>
            <w:tcW w:w="336" w:type="pct"/>
            <w:vMerge w:val="continue"/>
            <w:tcBorders>
              <w:tl2br w:val="nil"/>
              <w:tr2bl w:val="nil"/>
            </w:tcBorders>
            <w:vAlign w:val="center"/>
          </w:tcPr>
          <w:p>
            <w:pPr>
              <w:spacing w:line="240" w:lineRule="auto"/>
              <w:rPr>
                <w:sz w:val="21"/>
                <w:szCs w:val="21"/>
              </w:rPr>
            </w:pPr>
          </w:p>
        </w:tc>
        <w:tc>
          <w:tcPr>
            <w:tcW w:w="774" w:type="pct"/>
            <w:gridSpan w:val="2"/>
            <w:vMerge w:val="continue"/>
            <w:tcBorders>
              <w:tl2br w:val="nil"/>
              <w:tr2bl w:val="nil"/>
            </w:tcBorders>
            <w:vAlign w:val="center"/>
          </w:tcPr>
          <w:p>
            <w:pPr>
              <w:spacing w:line="240" w:lineRule="auto"/>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409"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445" w:type="pct"/>
            <w:vMerge w:val="restart"/>
            <w:tcBorders>
              <w:tl2br w:val="nil"/>
              <w:tr2bl w:val="nil"/>
            </w:tcBorders>
            <w:vAlign w:val="center"/>
          </w:tcPr>
          <w:p>
            <w:pPr>
              <w:spacing w:line="240" w:lineRule="auto"/>
              <w:ind w:firstLine="0" w:firstLineChars="0"/>
              <w:jc w:val="center"/>
              <w:rPr>
                <w:sz w:val="21"/>
                <w:szCs w:val="21"/>
              </w:rPr>
            </w:pPr>
            <w:r>
              <w:rPr>
                <w:sz w:val="21"/>
                <w:szCs w:val="21"/>
              </w:rPr>
              <w:t>100.259842</w:t>
            </w:r>
          </w:p>
        </w:tc>
        <w:tc>
          <w:tcPr>
            <w:tcW w:w="433" w:type="pct"/>
            <w:vMerge w:val="restart"/>
            <w:tcBorders>
              <w:tl2br w:val="nil"/>
              <w:tr2bl w:val="nil"/>
            </w:tcBorders>
            <w:vAlign w:val="center"/>
          </w:tcPr>
          <w:p>
            <w:pPr>
              <w:spacing w:line="240" w:lineRule="auto"/>
              <w:ind w:firstLine="0" w:firstLineChars="0"/>
              <w:jc w:val="center"/>
              <w:rPr>
                <w:sz w:val="21"/>
                <w:szCs w:val="21"/>
              </w:rPr>
            </w:pPr>
            <w:r>
              <w:rPr>
                <w:sz w:val="21"/>
                <w:szCs w:val="21"/>
              </w:rPr>
              <w:t>38.954524</w:t>
            </w:r>
          </w:p>
        </w:tc>
        <w:tc>
          <w:tcPr>
            <w:tcW w:w="526" w:type="pct"/>
            <w:vMerge w:val="restart"/>
            <w:tcBorders>
              <w:tl2br w:val="nil"/>
              <w:tr2bl w:val="nil"/>
            </w:tcBorders>
            <w:vAlign w:val="center"/>
          </w:tcPr>
          <w:p>
            <w:pPr>
              <w:spacing w:line="240" w:lineRule="auto"/>
              <w:ind w:firstLine="0" w:firstLineChars="0"/>
              <w:jc w:val="center"/>
              <w:rPr>
                <w:sz w:val="21"/>
                <w:szCs w:val="21"/>
              </w:rPr>
            </w:pPr>
            <w:r>
              <w:rPr>
                <w:sz w:val="21"/>
                <w:szCs w:val="21"/>
              </w:rPr>
              <w:t>1548.43</w:t>
            </w:r>
          </w:p>
        </w:tc>
        <w:tc>
          <w:tcPr>
            <w:tcW w:w="346"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200</w:t>
            </w:r>
          </w:p>
        </w:tc>
        <w:tc>
          <w:tcPr>
            <w:tcW w:w="346"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517" w:type="pct"/>
            <w:vMerge w:val="restart"/>
            <w:tcBorders>
              <w:tl2br w:val="nil"/>
              <w:tr2bl w:val="nil"/>
            </w:tcBorders>
            <w:vAlign w:val="center"/>
          </w:tcPr>
          <w:p>
            <w:pPr>
              <w:spacing w:line="240" w:lineRule="auto"/>
              <w:ind w:firstLine="0" w:firstLineChars="0"/>
              <w:jc w:val="center"/>
              <w:rPr>
                <w:sz w:val="21"/>
                <w:szCs w:val="21"/>
              </w:rPr>
            </w:pPr>
            <w:r>
              <w:rPr>
                <w:sz w:val="21"/>
                <w:szCs w:val="21"/>
              </w:rPr>
              <w:t>34</w:t>
            </w:r>
            <w:r>
              <w:rPr>
                <w:rFonts w:hint="eastAsia"/>
                <w:sz w:val="21"/>
                <w:szCs w:val="21"/>
              </w:rPr>
              <w:t>.</w:t>
            </w:r>
            <w:r>
              <w:rPr>
                <w:sz w:val="21"/>
                <w:szCs w:val="21"/>
              </w:rPr>
              <w:t>5</w:t>
            </w:r>
          </w:p>
        </w:tc>
        <w:tc>
          <w:tcPr>
            <w:tcW w:w="431"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2.0</w:t>
            </w:r>
          </w:p>
        </w:tc>
        <w:tc>
          <w:tcPr>
            <w:tcW w:w="431"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8760</w:t>
            </w:r>
          </w:p>
        </w:tc>
        <w:tc>
          <w:tcPr>
            <w:tcW w:w="336" w:type="pct"/>
            <w:vMerge w:val="restart"/>
            <w:tcBorders>
              <w:tl2br w:val="nil"/>
              <w:tr2bl w:val="nil"/>
            </w:tcBorders>
            <w:vAlign w:val="center"/>
          </w:tcPr>
          <w:p>
            <w:pPr>
              <w:spacing w:line="240" w:lineRule="auto"/>
              <w:ind w:firstLine="0" w:firstLineChars="0"/>
              <w:jc w:val="center"/>
              <w:rPr>
                <w:sz w:val="21"/>
                <w:szCs w:val="21"/>
              </w:rPr>
            </w:pPr>
            <w:r>
              <w:rPr>
                <w:sz w:val="21"/>
                <w:szCs w:val="21"/>
              </w:rPr>
              <w:t>正常工况</w:t>
            </w:r>
          </w:p>
        </w:tc>
        <w:tc>
          <w:tcPr>
            <w:tcW w:w="296"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478" w:type="pct"/>
            <w:tcBorders>
              <w:tl2br w:val="nil"/>
              <w:tr2bl w:val="nil"/>
            </w:tcBorders>
            <w:vAlign w:val="center"/>
          </w:tcPr>
          <w:p>
            <w:pPr>
              <w:spacing w:line="240" w:lineRule="auto"/>
              <w:ind w:firstLine="0" w:firstLineChars="0"/>
              <w:jc w:val="center"/>
              <w:rPr>
                <w:sz w:val="21"/>
                <w:szCs w:val="21"/>
              </w:rPr>
            </w:pPr>
            <w:r>
              <w:rPr>
                <w:rFonts w:hint="eastAsia"/>
                <w:sz w:val="21"/>
                <w:szCs w:val="21"/>
              </w:rPr>
              <w:t>0.0009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409" w:type="pct"/>
            <w:vMerge w:val="continue"/>
            <w:tcBorders>
              <w:tl2br w:val="nil"/>
              <w:tr2bl w:val="nil"/>
            </w:tcBorders>
            <w:vAlign w:val="center"/>
          </w:tcPr>
          <w:p>
            <w:pPr>
              <w:spacing w:line="240" w:lineRule="auto"/>
              <w:ind w:firstLine="0" w:firstLineChars="0"/>
              <w:jc w:val="center"/>
            </w:pPr>
          </w:p>
        </w:tc>
        <w:tc>
          <w:tcPr>
            <w:tcW w:w="445" w:type="pct"/>
            <w:vMerge w:val="continue"/>
            <w:tcBorders>
              <w:tl2br w:val="nil"/>
              <w:tr2bl w:val="nil"/>
            </w:tcBorders>
            <w:vAlign w:val="center"/>
          </w:tcPr>
          <w:p>
            <w:pPr>
              <w:spacing w:line="240" w:lineRule="auto"/>
              <w:ind w:firstLine="0" w:firstLineChars="0"/>
              <w:jc w:val="center"/>
            </w:pPr>
          </w:p>
        </w:tc>
        <w:tc>
          <w:tcPr>
            <w:tcW w:w="433" w:type="pct"/>
            <w:vMerge w:val="continue"/>
            <w:tcBorders>
              <w:tl2br w:val="nil"/>
              <w:tr2bl w:val="nil"/>
            </w:tcBorders>
            <w:vAlign w:val="center"/>
          </w:tcPr>
          <w:p>
            <w:pPr>
              <w:spacing w:line="240" w:lineRule="auto"/>
              <w:ind w:firstLine="0" w:firstLineChars="0"/>
              <w:jc w:val="center"/>
            </w:pPr>
          </w:p>
        </w:tc>
        <w:tc>
          <w:tcPr>
            <w:tcW w:w="526" w:type="pct"/>
            <w:vMerge w:val="continue"/>
            <w:tcBorders>
              <w:tl2br w:val="nil"/>
              <w:tr2bl w:val="nil"/>
            </w:tcBorders>
            <w:vAlign w:val="center"/>
          </w:tcPr>
          <w:p>
            <w:pPr>
              <w:spacing w:line="240" w:lineRule="auto"/>
              <w:ind w:firstLine="0" w:firstLineChars="0"/>
              <w:jc w:val="center"/>
            </w:pPr>
          </w:p>
        </w:tc>
        <w:tc>
          <w:tcPr>
            <w:tcW w:w="346" w:type="pct"/>
            <w:vMerge w:val="continue"/>
            <w:tcBorders>
              <w:tl2br w:val="nil"/>
              <w:tr2bl w:val="nil"/>
            </w:tcBorders>
            <w:vAlign w:val="center"/>
          </w:tcPr>
          <w:p>
            <w:pPr>
              <w:spacing w:line="240" w:lineRule="auto"/>
              <w:ind w:firstLine="0" w:firstLineChars="0"/>
              <w:jc w:val="center"/>
            </w:pPr>
          </w:p>
        </w:tc>
        <w:tc>
          <w:tcPr>
            <w:tcW w:w="346" w:type="pct"/>
            <w:vMerge w:val="continue"/>
            <w:tcBorders>
              <w:tl2br w:val="nil"/>
              <w:tr2bl w:val="nil"/>
            </w:tcBorders>
            <w:vAlign w:val="center"/>
          </w:tcPr>
          <w:p>
            <w:pPr>
              <w:spacing w:line="240" w:lineRule="auto"/>
              <w:ind w:firstLine="0" w:firstLineChars="0"/>
              <w:jc w:val="center"/>
            </w:pPr>
          </w:p>
        </w:tc>
        <w:tc>
          <w:tcPr>
            <w:tcW w:w="517" w:type="pct"/>
            <w:vMerge w:val="continue"/>
            <w:tcBorders>
              <w:tl2br w:val="nil"/>
              <w:tr2bl w:val="nil"/>
            </w:tcBorders>
            <w:vAlign w:val="center"/>
          </w:tcPr>
          <w:p>
            <w:pPr>
              <w:spacing w:line="240" w:lineRule="auto"/>
              <w:ind w:firstLine="0" w:firstLineChars="0"/>
              <w:jc w:val="center"/>
            </w:pPr>
          </w:p>
        </w:tc>
        <w:tc>
          <w:tcPr>
            <w:tcW w:w="431" w:type="pct"/>
            <w:vMerge w:val="continue"/>
            <w:tcBorders>
              <w:tl2br w:val="nil"/>
              <w:tr2bl w:val="nil"/>
            </w:tcBorders>
            <w:vAlign w:val="center"/>
          </w:tcPr>
          <w:p>
            <w:pPr>
              <w:spacing w:line="240" w:lineRule="auto"/>
              <w:ind w:firstLine="0" w:firstLineChars="0"/>
              <w:jc w:val="center"/>
            </w:pPr>
          </w:p>
        </w:tc>
        <w:tc>
          <w:tcPr>
            <w:tcW w:w="431" w:type="pct"/>
            <w:vMerge w:val="continue"/>
            <w:tcBorders>
              <w:tl2br w:val="nil"/>
              <w:tr2bl w:val="nil"/>
            </w:tcBorders>
            <w:vAlign w:val="center"/>
          </w:tcPr>
          <w:p>
            <w:pPr>
              <w:spacing w:line="240" w:lineRule="auto"/>
              <w:ind w:firstLine="0" w:firstLineChars="0"/>
              <w:jc w:val="center"/>
            </w:pPr>
          </w:p>
        </w:tc>
        <w:tc>
          <w:tcPr>
            <w:tcW w:w="336" w:type="pct"/>
            <w:vMerge w:val="continue"/>
            <w:tcBorders>
              <w:tl2br w:val="nil"/>
              <w:tr2bl w:val="nil"/>
            </w:tcBorders>
            <w:vAlign w:val="center"/>
          </w:tcPr>
          <w:p>
            <w:pPr>
              <w:spacing w:line="240" w:lineRule="auto"/>
              <w:ind w:firstLine="0" w:firstLineChars="0"/>
              <w:jc w:val="center"/>
            </w:pPr>
          </w:p>
        </w:tc>
        <w:tc>
          <w:tcPr>
            <w:tcW w:w="296" w:type="pct"/>
            <w:tcBorders>
              <w:tl2br w:val="nil"/>
              <w:tr2bl w:val="nil"/>
            </w:tcBorders>
            <w:vAlign w:val="center"/>
          </w:tcPr>
          <w:p>
            <w:pPr>
              <w:spacing w:line="240" w:lineRule="auto"/>
              <w:ind w:firstLine="0" w:firstLineChars="0"/>
              <w:jc w:val="center"/>
            </w:pPr>
            <w:r>
              <w:rPr>
                <w:sz w:val="21"/>
                <w:szCs w:val="21"/>
              </w:rPr>
              <w:t>H</w:t>
            </w:r>
            <w:r>
              <w:rPr>
                <w:sz w:val="21"/>
                <w:szCs w:val="21"/>
                <w:vertAlign w:val="subscript"/>
              </w:rPr>
              <w:t>2</w:t>
            </w:r>
            <w:r>
              <w:rPr>
                <w:sz w:val="21"/>
                <w:szCs w:val="21"/>
              </w:rPr>
              <w:t>S</w:t>
            </w:r>
          </w:p>
        </w:tc>
        <w:tc>
          <w:tcPr>
            <w:tcW w:w="478" w:type="pct"/>
            <w:tcBorders>
              <w:tl2br w:val="nil"/>
              <w:tr2bl w:val="nil"/>
            </w:tcBorders>
            <w:vAlign w:val="center"/>
          </w:tcPr>
          <w:p>
            <w:pPr>
              <w:spacing w:line="240" w:lineRule="auto"/>
              <w:ind w:firstLine="0" w:firstLineChars="0"/>
              <w:jc w:val="center"/>
              <w:rPr>
                <w:sz w:val="21"/>
                <w:szCs w:val="21"/>
              </w:rPr>
            </w:pPr>
            <w:r>
              <w:rPr>
                <w:rFonts w:hint="eastAsia"/>
                <w:sz w:val="21"/>
                <w:szCs w:val="21"/>
              </w:rPr>
              <w:t>0.00009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2"/>
            <w:tcBorders>
              <w:tl2br w:val="nil"/>
              <w:tr2bl w:val="nil"/>
            </w:tcBorders>
            <w:vAlign w:val="center"/>
          </w:tcPr>
          <w:p>
            <w:pPr>
              <w:spacing w:line="240" w:lineRule="auto"/>
              <w:ind w:firstLine="0" w:firstLineChars="0"/>
              <w:rPr>
                <w:sz w:val="21"/>
                <w:szCs w:val="21"/>
              </w:rPr>
            </w:pPr>
            <w:r>
              <w:rPr>
                <w:rFonts w:hint="eastAsia"/>
                <w:sz w:val="21"/>
                <w:szCs w:val="21"/>
              </w:rPr>
              <w:t>注：年运行365d，每天24h</w:t>
            </w:r>
          </w:p>
        </w:tc>
      </w:tr>
    </w:tbl>
    <w:p>
      <w:pPr>
        <w:bidi w:val="0"/>
        <w:rPr>
          <w:rFonts w:hint="default"/>
          <w:b/>
          <w:bCs/>
          <w:lang w:val="en-US" w:eastAsia="zh-CN"/>
        </w:rPr>
      </w:pPr>
      <w:r>
        <w:rPr>
          <w:rFonts w:hint="eastAsia"/>
          <w:b/>
          <w:bCs/>
          <w:lang w:val="en-US" w:eastAsia="zh-CN"/>
        </w:rPr>
        <w:t>6、项目参数</w:t>
      </w:r>
    </w:p>
    <w:p>
      <w:pPr>
        <w:ind w:firstLine="480"/>
      </w:pPr>
      <w:r>
        <w:t>本项目选用导则中推荐的AERSCREEN估算模式对大气污染物进行估算，估算参数详见表</w:t>
      </w:r>
      <w:r>
        <w:rPr>
          <w:rFonts w:hint="eastAsia"/>
          <w:lang w:val="en-US" w:eastAsia="zh-CN"/>
        </w:rPr>
        <w:t>1.20</w:t>
      </w:r>
      <w:r>
        <w:t>。</w:t>
      </w:r>
    </w:p>
    <w:p>
      <w:pPr>
        <w:spacing w:line="240" w:lineRule="auto"/>
        <w:ind w:firstLine="482"/>
        <w:jc w:val="center"/>
        <w:rPr>
          <w:b/>
          <w:bCs/>
        </w:rPr>
      </w:pPr>
      <w:r>
        <w:rPr>
          <w:b/>
          <w:bCs/>
        </w:rPr>
        <w:t>表</w:t>
      </w:r>
      <w:r>
        <w:rPr>
          <w:rFonts w:hint="eastAsia"/>
          <w:b/>
          <w:bCs/>
          <w:lang w:val="en-US" w:eastAsia="zh-CN"/>
        </w:rPr>
        <w:t>1.20</w:t>
      </w:r>
      <w:r>
        <w:rPr>
          <w:rFonts w:hint="eastAsia"/>
          <w:b/>
          <w:bCs/>
        </w:rPr>
        <w:t xml:space="preserve"> </w:t>
      </w:r>
      <w:r>
        <w:rPr>
          <w:b/>
          <w:bCs/>
        </w:rPr>
        <w:t xml:space="preserve"> </w:t>
      </w:r>
      <w:r>
        <w:rPr>
          <w:rFonts w:hint="eastAsia"/>
          <w:b/>
          <w:bCs/>
        </w:rPr>
        <w:t xml:space="preserve"> </w:t>
      </w:r>
      <w:r>
        <w:rPr>
          <w:b/>
          <w:bCs/>
        </w:rPr>
        <w:t xml:space="preserve"> 估算模型参数表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9"/>
        <w:gridCol w:w="3485"/>
        <w:gridCol w:w="3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b/>
                <w:bCs/>
                <w:szCs w:val="21"/>
              </w:rPr>
            </w:pPr>
            <w:r>
              <w:rPr>
                <w:b/>
                <w:bCs/>
                <w:szCs w:val="21"/>
              </w:rPr>
              <w:t>参数</w:t>
            </w:r>
          </w:p>
        </w:tc>
        <w:tc>
          <w:tcPr>
            <w:tcW w:w="1976" w:type="pct"/>
            <w:tcBorders>
              <w:tl2br w:val="nil"/>
              <w:tr2bl w:val="nil"/>
            </w:tcBorders>
            <w:vAlign w:val="center"/>
          </w:tcPr>
          <w:p>
            <w:pPr>
              <w:pStyle w:val="85"/>
              <w:rPr>
                <w:b/>
                <w:bCs/>
                <w:szCs w:val="21"/>
              </w:rPr>
            </w:pPr>
            <w:r>
              <w:rPr>
                <w:b/>
                <w:bCs/>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restart"/>
            <w:tcBorders>
              <w:tl2br w:val="nil"/>
              <w:tr2bl w:val="nil"/>
            </w:tcBorders>
            <w:vAlign w:val="center"/>
          </w:tcPr>
          <w:p>
            <w:pPr>
              <w:pStyle w:val="85"/>
              <w:rPr>
                <w:szCs w:val="21"/>
              </w:rPr>
            </w:pPr>
            <w:r>
              <w:rPr>
                <w:szCs w:val="21"/>
              </w:rPr>
              <w:t>城市农村/选项</w:t>
            </w:r>
          </w:p>
        </w:tc>
        <w:tc>
          <w:tcPr>
            <w:tcW w:w="1749" w:type="pct"/>
            <w:tcBorders>
              <w:tl2br w:val="nil"/>
              <w:tr2bl w:val="nil"/>
            </w:tcBorders>
            <w:vAlign w:val="center"/>
          </w:tcPr>
          <w:p>
            <w:pPr>
              <w:pStyle w:val="85"/>
              <w:rPr>
                <w:szCs w:val="21"/>
              </w:rPr>
            </w:pPr>
            <w:r>
              <w:rPr>
                <w:szCs w:val="21"/>
              </w:rPr>
              <w:t>城市/农村</w:t>
            </w:r>
          </w:p>
        </w:tc>
        <w:tc>
          <w:tcPr>
            <w:tcW w:w="1976" w:type="pct"/>
            <w:tcBorders>
              <w:tl2br w:val="nil"/>
              <w:tr2bl w:val="nil"/>
            </w:tcBorders>
            <w:vAlign w:val="center"/>
          </w:tcPr>
          <w:p>
            <w:pPr>
              <w:pStyle w:val="85"/>
              <w:rPr>
                <w:rFonts w:hint="eastAsia" w:eastAsia="宋体"/>
                <w:szCs w:val="21"/>
                <w:lang w:val="en-US" w:eastAsia="zh-CN"/>
              </w:rPr>
            </w:pPr>
            <w:r>
              <w:rPr>
                <w:rFonts w:hint="eastAsia"/>
                <w:szCs w:val="21"/>
                <w:lang w:val="en-US" w:eastAsia="zh-CN"/>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人口数</w:t>
            </w:r>
            <w:r>
              <w:rPr>
                <w:rFonts w:hint="eastAsia"/>
                <w:szCs w:val="21"/>
                <w:lang w:eastAsia="zh-CN"/>
              </w:rPr>
              <w:t>（</w:t>
            </w:r>
            <w:r>
              <w:rPr>
                <w:szCs w:val="21"/>
              </w:rPr>
              <w:t>城市人口数</w:t>
            </w:r>
            <w:r>
              <w:rPr>
                <w:rFonts w:hint="eastAsia"/>
                <w:szCs w:val="21"/>
                <w:lang w:eastAsia="zh-CN"/>
              </w:rPr>
              <w:t>）</w:t>
            </w:r>
          </w:p>
        </w:tc>
        <w:tc>
          <w:tcPr>
            <w:tcW w:w="1976" w:type="pct"/>
            <w:tcBorders>
              <w:tl2br w:val="nil"/>
              <w:tr2bl w:val="nil"/>
            </w:tcBorders>
            <w:vAlign w:val="center"/>
          </w:tcPr>
          <w:p>
            <w:pPr>
              <w:pStyle w:val="85"/>
              <w:rPr>
                <w:szCs w:val="21"/>
              </w:rPr>
            </w:pPr>
            <w:r>
              <w:rPr>
                <w:szCs w:val="21"/>
              </w:rPr>
              <w:t>58.67万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最高环境温度</w:t>
            </w:r>
          </w:p>
        </w:tc>
        <w:tc>
          <w:tcPr>
            <w:tcW w:w="1976" w:type="pct"/>
            <w:tcBorders>
              <w:tl2br w:val="nil"/>
              <w:tr2bl w:val="nil"/>
            </w:tcBorders>
            <w:vAlign w:val="center"/>
          </w:tcPr>
          <w:p>
            <w:pPr>
              <w:pStyle w:val="85"/>
              <w:rPr>
                <w:szCs w:val="21"/>
              </w:rPr>
            </w:pPr>
            <w:r>
              <w:rPr>
                <w:szCs w:val="21"/>
              </w:rPr>
              <w:t>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最低环境温度</w:t>
            </w:r>
          </w:p>
        </w:tc>
        <w:tc>
          <w:tcPr>
            <w:tcW w:w="1976" w:type="pct"/>
            <w:tcBorders>
              <w:tl2br w:val="nil"/>
              <w:tr2bl w:val="nil"/>
            </w:tcBorders>
            <w:vAlign w:val="center"/>
          </w:tcPr>
          <w:p>
            <w:pPr>
              <w:pStyle w:val="85"/>
              <w:rPr>
                <w:szCs w:val="21"/>
              </w:rPr>
            </w:pPr>
            <w:r>
              <w:rPr>
                <w:szCs w:val="21"/>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土地利用类型</w:t>
            </w:r>
          </w:p>
        </w:tc>
        <w:tc>
          <w:tcPr>
            <w:tcW w:w="1976" w:type="pct"/>
            <w:tcBorders>
              <w:tl2br w:val="nil"/>
              <w:tr2bl w:val="nil"/>
            </w:tcBorders>
            <w:vAlign w:val="center"/>
          </w:tcPr>
          <w:p>
            <w:pPr>
              <w:pStyle w:val="85"/>
              <w:rPr>
                <w:szCs w:val="21"/>
              </w:rPr>
            </w:pPr>
            <w:r>
              <w:rPr>
                <w:szCs w:val="21"/>
              </w:rPr>
              <w:t>荒漠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区域湿度条件</w:t>
            </w:r>
          </w:p>
        </w:tc>
        <w:tc>
          <w:tcPr>
            <w:tcW w:w="1976" w:type="pct"/>
            <w:tcBorders>
              <w:tl2br w:val="nil"/>
              <w:tr2bl w:val="nil"/>
            </w:tcBorders>
            <w:vAlign w:val="center"/>
          </w:tcPr>
          <w:p>
            <w:pPr>
              <w:pStyle w:val="85"/>
              <w:rPr>
                <w:szCs w:val="21"/>
              </w:rPr>
            </w:pPr>
            <w:r>
              <w:rPr>
                <w:szCs w:val="21"/>
              </w:rPr>
              <w:t>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restart"/>
            <w:tcBorders>
              <w:tl2br w:val="nil"/>
              <w:tr2bl w:val="nil"/>
            </w:tcBorders>
            <w:vAlign w:val="center"/>
          </w:tcPr>
          <w:p>
            <w:pPr>
              <w:pStyle w:val="85"/>
              <w:rPr>
                <w:szCs w:val="21"/>
              </w:rPr>
            </w:pPr>
            <w:r>
              <w:rPr>
                <w:szCs w:val="21"/>
              </w:rPr>
              <w:t>是否考虑地形</w:t>
            </w:r>
          </w:p>
        </w:tc>
        <w:tc>
          <w:tcPr>
            <w:tcW w:w="1749" w:type="pct"/>
            <w:tcBorders>
              <w:tl2br w:val="nil"/>
              <w:tr2bl w:val="nil"/>
            </w:tcBorders>
            <w:vAlign w:val="center"/>
          </w:tcPr>
          <w:p>
            <w:pPr>
              <w:pStyle w:val="85"/>
              <w:rPr>
                <w:szCs w:val="21"/>
              </w:rPr>
            </w:pPr>
            <w:r>
              <w:rPr>
                <w:szCs w:val="21"/>
              </w:rPr>
              <w:t>考虑地形</w:t>
            </w:r>
          </w:p>
        </w:tc>
        <w:tc>
          <w:tcPr>
            <w:tcW w:w="1976" w:type="pct"/>
            <w:tcBorders>
              <w:tl2br w:val="nil"/>
              <w:tr2bl w:val="nil"/>
            </w:tcBorders>
            <w:vAlign w:val="center"/>
          </w:tcPr>
          <w:p>
            <w:pPr>
              <w:pStyle w:val="85"/>
              <w:rPr>
                <w:szCs w:val="21"/>
              </w:rPr>
            </w:pPr>
            <w:r>
              <w:rPr>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地形数据分辨率</w:t>
            </w:r>
            <w:r>
              <w:rPr>
                <w:rFonts w:hint="eastAsia"/>
                <w:szCs w:val="21"/>
              </w:rPr>
              <w:t>（</w:t>
            </w:r>
            <w:r>
              <w:rPr>
                <w:szCs w:val="21"/>
              </w:rPr>
              <w:t>m</w:t>
            </w:r>
            <w:r>
              <w:rPr>
                <w:rFonts w:hint="eastAsia"/>
                <w:szCs w:val="21"/>
              </w:rPr>
              <w:t>）</w:t>
            </w:r>
          </w:p>
        </w:tc>
        <w:tc>
          <w:tcPr>
            <w:tcW w:w="1976" w:type="pct"/>
            <w:tcBorders>
              <w:tl2br w:val="nil"/>
              <w:tr2bl w:val="nil"/>
            </w:tcBorders>
            <w:vAlign w:val="center"/>
          </w:tcPr>
          <w:p>
            <w:pPr>
              <w:pStyle w:val="85"/>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restart"/>
            <w:tcBorders>
              <w:tl2br w:val="nil"/>
              <w:tr2bl w:val="nil"/>
            </w:tcBorders>
            <w:vAlign w:val="center"/>
          </w:tcPr>
          <w:p>
            <w:pPr>
              <w:pStyle w:val="85"/>
              <w:rPr>
                <w:szCs w:val="21"/>
              </w:rPr>
            </w:pPr>
            <w:r>
              <w:rPr>
                <w:szCs w:val="21"/>
              </w:rPr>
              <w:t>是否考虑海岸线熏烟</w:t>
            </w:r>
          </w:p>
        </w:tc>
        <w:tc>
          <w:tcPr>
            <w:tcW w:w="1749" w:type="pct"/>
            <w:tcBorders>
              <w:tl2br w:val="nil"/>
              <w:tr2bl w:val="nil"/>
            </w:tcBorders>
            <w:vAlign w:val="center"/>
          </w:tcPr>
          <w:p>
            <w:pPr>
              <w:pStyle w:val="85"/>
              <w:rPr>
                <w:szCs w:val="21"/>
              </w:rPr>
            </w:pPr>
            <w:r>
              <w:rPr>
                <w:szCs w:val="21"/>
              </w:rPr>
              <w:t>考虑海岸线熏烟</w:t>
            </w:r>
          </w:p>
        </w:tc>
        <w:tc>
          <w:tcPr>
            <w:tcW w:w="1976" w:type="pct"/>
            <w:tcBorders>
              <w:tl2br w:val="nil"/>
              <w:tr2bl w:val="nil"/>
            </w:tcBorders>
            <w:vAlign w:val="center"/>
          </w:tcPr>
          <w:p>
            <w:pPr>
              <w:pStyle w:val="85"/>
              <w:rPr>
                <w:szCs w:val="21"/>
              </w:rPr>
            </w:pP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海岸线距离/km</w:t>
            </w:r>
          </w:p>
        </w:tc>
        <w:tc>
          <w:tcPr>
            <w:tcW w:w="1976" w:type="pct"/>
            <w:tcBorders>
              <w:tl2br w:val="nil"/>
              <w:tr2bl w:val="nil"/>
            </w:tcBorders>
            <w:vAlign w:val="center"/>
          </w:tcPr>
          <w:p>
            <w:pPr>
              <w:pStyle w:val="85"/>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海岸线方向/</w:t>
            </w:r>
            <w:r>
              <w:rPr>
                <w:szCs w:val="21"/>
                <w:vertAlign w:val="superscript"/>
              </w:rPr>
              <w:t>o</w:t>
            </w:r>
          </w:p>
        </w:tc>
        <w:tc>
          <w:tcPr>
            <w:tcW w:w="1976" w:type="pct"/>
            <w:tcBorders>
              <w:tl2br w:val="nil"/>
              <w:tr2bl w:val="nil"/>
            </w:tcBorders>
            <w:vAlign w:val="center"/>
          </w:tcPr>
          <w:p>
            <w:pPr>
              <w:pStyle w:val="85"/>
              <w:rPr>
                <w:szCs w:val="21"/>
              </w:rPr>
            </w:pPr>
            <w:r>
              <w:rPr>
                <w:szCs w:val="21"/>
              </w:rPr>
              <w:t>/</w:t>
            </w:r>
          </w:p>
        </w:tc>
      </w:tr>
    </w:tbl>
    <w:p>
      <w:pPr>
        <w:ind w:firstLine="482"/>
        <w:rPr>
          <w:b/>
          <w:bCs/>
        </w:rPr>
      </w:pPr>
      <w:r>
        <w:rPr>
          <w:rFonts w:hint="eastAsia"/>
          <w:b/>
          <w:bCs/>
          <w:lang w:val="en-US" w:eastAsia="zh-CN"/>
        </w:rPr>
        <w:t>7</w:t>
      </w:r>
      <w:r>
        <w:rPr>
          <w:rFonts w:hint="eastAsia"/>
          <w:b/>
          <w:bCs/>
        </w:rPr>
        <w:t>、</w:t>
      </w:r>
      <w:r>
        <w:rPr>
          <w:b/>
          <w:bCs/>
        </w:rPr>
        <w:t>评级工作等级确定</w:t>
      </w:r>
    </w:p>
    <w:p>
      <w:pPr>
        <w:ind w:firstLine="480"/>
      </w:pPr>
      <w:r>
        <w:t>根据《环境影响评价技术导则—大气环境》（HJ2.2-2018）的规定，本次评价选择正常排放的</w:t>
      </w:r>
      <w:r>
        <w:rPr>
          <w:rFonts w:hint="eastAsia"/>
        </w:rPr>
        <w:t>H</w:t>
      </w:r>
      <w:r>
        <w:rPr>
          <w:rFonts w:hint="eastAsia"/>
          <w:vertAlign w:val="subscript"/>
        </w:rPr>
        <w:t>2</w:t>
      </w:r>
      <w:r>
        <w:rPr>
          <w:rFonts w:hint="eastAsia"/>
        </w:rPr>
        <w:t>S、NH</w:t>
      </w:r>
      <w:r>
        <w:rPr>
          <w:rFonts w:hint="eastAsia"/>
          <w:vertAlign w:val="subscript"/>
        </w:rPr>
        <w:t>3</w:t>
      </w:r>
      <w:r>
        <w:t>作为主要污染物，采用导则附录A推荐模型中的AERSCREEN模型分别计算污染物的最大地面空气质量浓度占标率P</w:t>
      </w:r>
      <w:r>
        <w:rPr>
          <w:vertAlign w:val="subscript"/>
        </w:rPr>
        <w:t>i</w:t>
      </w:r>
      <w:r>
        <w:t>及地面空气质量浓度达标准值10%时所对应的最远距离D</w:t>
      </w:r>
      <w:r>
        <w:rPr>
          <w:vertAlign w:val="subscript"/>
        </w:rPr>
        <w:t>10%</w:t>
      </w:r>
      <w:r>
        <w:t>。</w:t>
      </w:r>
      <w:r>
        <w:rPr>
          <w:rFonts w:hint="eastAsia"/>
        </w:rPr>
        <w:t>具体的</w:t>
      </w:r>
      <w:r>
        <w:t>预测结果如下</w:t>
      </w:r>
      <w:r>
        <w:rPr>
          <w:rFonts w:hint="eastAsia"/>
        </w:rPr>
        <w:t>。</w:t>
      </w:r>
    </w:p>
    <w:p>
      <w:pPr>
        <w:spacing w:line="240" w:lineRule="auto"/>
        <w:ind w:firstLine="482"/>
        <w:jc w:val="center"/>
        <w:rPr>
          <w:b/>
          <w:bCs/>
          <w:color w:val="000000"/>
        </w:rPr>
      </w:pPr>
      <w:r>
        <w:rPr>
          <w:rFonts w:hint="eastAsia"/>
          <w:b/>
          <w:bCs/>
          <w:color w:val="000000"/>
        </w:rPr>
        <w:t>表</w:t>
      </w:r>
      <w:r>
        <w:rPr>
          <w:rFonts w:hint="eastAsia"/>
          <w:b/>
          <w:bCs/>
          <w:color w:val="000000"/>
          <w:lang w:val="en-US" w:eastAsia="zh-CN"/>
        </w:rPr>
        <w:t>1.21</w:t>
      </w:r>
      <w:r>
        <w:rPr>
          <w:rFonts w:hint="eastAsia"/>
          <w:b/>
          <w:bCs/>
          <w:color w:val="000000"/>
        </w:rPr>
        <w:t xml:space="preserve">    P</w:t>
      </w:r>
      <w:r>
        <w:rPr>
          <w:rFonts w:hint="eastAsia"/>
          <w:b/>
          <w:bCs/>
          <w:color w:val="000000"/>
          <w:vertAlign w:val="subscript"/>
        </w:rPr>
        <w:t>max</w:t>
      </w:r>
      <w:r>
        <w:rPr>
          <w:rFonts w:hint="eastAsia"/>
          <w:b/>
          <w:bCs/>
          <w:color w:val="000000"/>
        </w:rPr>
        <w:t>和D</w:t>
      </w:r>
      <w:r>
        <w:rPr>
          <w:rFonts w:hint="eastAsia"/>
          <w:b/>
          <w:bCs/>
          <w:color w:val="000000"/>
          <w:vertAlign w:val="subscript"/>
        </w:rPr>
        <w:t>10%</w:t>
      </w:r>
      <w:r>
        <w:rPr>
          <w:rFonts w:hint="eastAsia"/>
          <w:b/>
          <w:bCs/>
          <w:color w:val="000000"/>
        </w:rPr>
        <w:t>预测和计算结果一览表</w:t>
      </w:r>
    </w:p>
    <w:tbl>
      <w:tblPr>
        <w:tblStyle w:val="32"/>
        <w:tblW w:w="4989"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221"/>
        <w:gridCol w:w="1327"/>
        <w:gridCol w:w="2070"/>
        <w:gridCol w:w="1722"/>
        <w:gridCol w:w="1494"/>
        <w:gridCol w:w="110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116" w:type="pct"/>
            <w:vAlign w:val="center"/>
          </w:tcPr>
          <w:p>
            <w:pPr>
              <w:spacing w:line="240" w:lineRule="auto"/>
              <w:ind w:firstLine="0" w:firstLineChars="0"/>
              <w:jc w:val="center"/>
              <w:rPr>
                <w:b/>
                <w:bCs/>
                <w:sz w:val="21"/>
                <w:szCs w:val="21"/>
              </w:rPr>
            </w:pPr>
            <w:r>
              <w:rPr>
                <w:b/>
                <w:bCs/>
                <w:sz w:val="21"/>
                <w:szCs w:val="21"/>
              </w:rPr>
              <w:t>污染源名称</w:t>
            </w:r>
          </w:p>
        </w:tc>
        <w:tc>
          <w:tcPr>
            <w:tcW w:w="667" w:type="pct"/>
            <w:vAlign w:val="center"/>
          </w:tcPr>
          <w:p>
            <w:pPr>
              <w:spacing w:line="240" w:lineRule="auto"/>
              <w:ind w:firstLine="0" w:firstLineChars="0"/>
              <w:jc w:val="center"/>
              <w:rPr>
                <w:b/>
                <w:bCs/>
                <w:sz w:val="21"/>
                <w:szCs w:val="21"/>
              </w:rPr>
            </w:pPr>
            <w:r>
              <w:rPr>
                <w:b/>
                <w:bCs/>
                <w:sz w:val="21"/>
                <w:szCs w:val="21"/>
              </w:rPr>
              <w:t>评价因子</w:t>
            </w:r>
          </w:p>
        </w:tc>
        <w:tc>
          <w:tcPr>
            <w:tcW w:w="1041" w:type="pct"/>
            <w:vAlign w:val="center"/>
          </w:tcPr>
          <w:p>
            <w:pPr>
              <w:spacing w:line="240" w:lineRule="auto"/>
              <w:ind w:firstLine="0" w:firstLineChars="0"/>
              <w:jc w:val="center"/>
              <w:rPr>
                <w:b/>
                <w:bCs/>
                <w:sz w:val="21"/>
                <w:szCs w:val="21"/>
              </w:rPr>
            </w:pPr>
            <w:r>
              <w:rPr>
                <w:b/>
                <w:bCs/>
                <w:sz w:val="21"/>
                <w:szCs w:val="21"/>
              </w:rPr>
              <w:t>评价标准(μg/m³)</w:t>
            </w:r>
          </w:p>
        </w:tc>
        <w:tc>
          <w:tcPr>
            <w:tcW w:w="866" w:type="pct"/>
            <w:vAlign w:val="center"/>
          </w:tcPr>
          <w:p>
            <w:pPr>
              <w:spacing w:line="240" w:lineRule="auto"/>
              <w:ind w:firstLine="0" w:firstLineChars="0"/>
              <w:jc w:val="center"/>
              <w:rPr>
                <w:b/>
                <w:bCs/>
                <w:sz w:val="21"/>
                <w:szCs w:val="21"/>
              </w:rPr>
            </w:pPr>
            <w:r>
              <w:rPr>
                <w:b/>
                <w:bCs/>
                <w:sz w:val="21"/>
                <w:szCs w:val="21"/>
              </w:rPr>
              <w:t>Cmax(μg/m³)</w:t>
            </w:r>
          </w:p>
        </w:tc>
        <w:tc>
          <w:tcPr>
            <w:tcW w:w="751" w:type="pct"/>
            <w:vAlign w:val="center"/>
          </w:tcPr>
          <w:p>
            <w:pPr>
              <w:spacing w:line="240" w:lineRule="auto"/>
              <w:ind w:firstLine="0" w:firstLineChars="0"/>
              <w:jc w:val="center"/>
              <w:rPr>
                <w:b/>
                <w:bCs/>
                <w:sz w:val="21"/>
                <w:szCs w:val="21"/>
              </w:rPr>
            </w:pPr>
            <w:r>
              <w:rPr>
                <w:b/>
                <w:bCs/>
                <w:sz w:val="21"/>
                <w:szCs w:val="21"/>
              </w:rPr>
              <w:t>Pmax(%)</w:t>
            </w:r>
          </w:p>
        </w:tc>
        <w:tc>
          <w:tcPr>
            <w:tcW w:w="556" w:type="pct"/>
            <w:vAlign w:val="center"/>
          </w:tcPr>
          <w:p>
            <w:pPr>
              <w:spacing w:line="240" w:lineRule="auto"/>
              <w:ind w:firstLine="0" w:firstLineChars="0"/>
              <w:jc w:val="center"/>
              <w:rPr>
                <w:b/>
                <w:bCs/>
                <w:sz w:val="21"/>
                <w:szCs w:val="21"/>
              </w:rPr>
            </w:pPr>
            <w:r>
              <w:rPr>
                <w:b/>
                <w:bCs/>
                <w:sz w:val="21"/>
                <w:szCs w:val="21"/>
              </w:rPr>
              <w:t>D</w:t>
            </w:r>
            <w:r>
              <w:rPr>
                <w:b/>
                <w:bCs/>
                <w:sz w:val="21"/>
                <w:szCs w:val="21"/>
                <w:vertAlign w:val="subscript"/>
              </w:rPr>
              <w:t>10%</w:t>
            </w:r>
            <w:r>
              <w:rPr>
                <w:b/>
                <w:bCs/>
                <w:sz w:val="21"/>
                <w:szCs w:val="21"/>
              </w:rPr>
              <w:t>(m)</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116" w:type="pct"/>
            <w:vMerge w:val="restart"/>
            <w:vAlign w:val="center"/>
          </w:tcPr>
          <w:p>
            <w:pPr>
              <w:spacing w:line="240" w:lineRule="auto"/>
              <w:ind w:firstLine="0" w:firstLineChars="0"/>
              <w:jc w:val="center"/>
              <w:rPr>
                <w:sz w:val="21"/>
                <w:szCs w:val="21"/>
              </w:rPr>
            </w:pPr>
            <w:r>
              <w:rPr>
                <w:sz w:val="21"/>
                <w:szCs w:val="21"/>
              </w:rPr>
              <w:t>肉羊精深加工车间排气筒（</w:t>
            </w:r>
            <w:r>
              <w:rPr>
                <w:rFonts w:hint="eastAsia"/>
                <w:sz w:val="21"/>
                <w:szCs w:val="21"/>
              </w:rPr>
              <w:t>点源，</w:t>
            </w:r>
            <w:r>
              <w:rPr>
                <w:sz w:val="21"/>
                <w:szCs w:val="21"/>
              </w:rPr>
              <w:t>有组织）</w:t>
            </w:r>
          </w:p>
        </w:tc>
        <w:tc>
          <w:tcPr>
            <w:tcW w:w="667" w:type="pct"/>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1041" w:type="pct"/>
            <w:vAlign w:val="center"/>
          </w:tcPr>
          <w:p>
            <w:pPr>
              <w:spacing w:line="240" w:lineRule="auto"/>
              <w:ind w:firstLine="0" w:firstLineChars="0"/>
              <w:jc w:val="center"/>
              <w:rPr>
                <w:sz w:val="21"/>
                <w:szCs w:val="21"/>
              </w:rPr>
            </w:pPr>
            <w:r>
              <w:rPr>
                <w:rFonts w:hint="eastAsia"/>
                <w:sz w:val="21"/>
                <w:szCs w:val="21"/>
              </w:rPr>
              <w:t>200（1h平均）</w:t>
            </w:r>
          </w:p>
        </w:tc>
        <w:tc>
          <w:tcPr>
            <w:tcW w:w="866" w:type="pct"/>
            <w:vAlign w:val="center"/>
          </w:tcPr>
          <w:p>
            <w:pPr>
              <w:spacing w:line="240" w:lineRule="auto"/>
              <w:ind w:firstLine="0" w:firstLineChars="0"/>
              <w:jc w:val="center"/>
              <w:rPr>
                <w:sz w:val="21"/>
                <w:szCs w:val="21"/>
              </w:rPr>
            </w:pPr>
            <w:r>
              <w:rPr>
                <w:rFonts w:hint="eastAsia"/>
                <w:sz w:val="21"/>
                <w:szCs w:val="21"/>
              </w:rPr>
              <w:t>2.81</w:t>
            </w:r>
          </w:p>
        </w:tc>
        <w:tc>
          <w:tcPr>
            <w:tcW w:w="751" w:type="pct"/>
            <w:vAlign w:val="center"/>
          </w:tcPr>
          <w:p>
            <w:pPr>
              <w:spacing w:line="240" w:lineRule="auto"/>
              <w:ind w:firstLine="0" w:firstLineChars="0"/>
              <w:jc w:val="center"/>
              <w:rPr>
                <w:sz w:val="21"/>
                <w:szCs w:val="21"/>
              </w:rPr>
            </w:pPr>
            <w:r>
              <w:rPr>
                <w:sz w:val="21"/>
                <w:szCs w:val="21"/>
              </w:rPr>
              <w:t>1.41</w:t>
            </w:r>
          </w:p>
        </w:tc>
        <w:tc>
          <w:tcPr>
            <w:tcW w:w="556" w:type="pct"/>
            <w:vAlign w:val="center"/>
          </w:tcPr>
          <w:p>
            <w:pPr>
              <w:spacing w:line="240" w:lineRule="auto"/>
              <w:ind w:firstLine="0" w:firstLineChars="0"/>
              <w:jc w:val="center"/>
              <w:rPr>
                <w:sz w:val="21"/>
                <w:szCs w:val="21"/>
              </w:rPr>
            </w:pPr>
            <w:r>
              <w:rPr>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116" w:type="pct"/>
            <w:vMerge w:val="continue"/>
            <w:vAlign w:val="center"/>
          </w:tcPr>
          <w:p>
            <w:pPr>
              <w:spacing w:line="240" w:lineRule="auto"/>
              <w:jc w:val="center"/>
              <w:rPr>
                <w:sz w:val="21"/>
                <w:szCs w:val="21"/>
              </w:rPr>
            </w:pPr>
          </w:p>
        </w:tc>
        <w:tc>
          <w:tcPr>
            <w:tcW w:w="667" w:type="pct"/>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1041" w:type="pct"/>
            <w:vAlign w:val="center"/>
          </w:tcPr>
          <w:p>
            <w:pPr>
              <w:spacing w:line="240" w:lineRule="auto"/>
              <w:ind w:firstLine="0" w:firstLineChars="0"/>
              <w:jc w:val="center"/>
              <w:rPr>
                <w:sz w:val="21"/>
                <w:szCs w:val="21"/>
              </w:rPr>
            </w:pPr>
            <w:r>
              <w:rPr>
                <w:rFonts w:hint="eastAsia"/>
                <w:sz w:val="21"/>
                <w:szCs w:val="21"/>
              </w:rPr>
              <w:t>10（1h平均）</w:t>
            </w:r>
          </w:p>
        </w:tc>
        <w:tc>
          <w:tcPr>
            <w:tcW w:w="866" w:type="pct"/>
            <w:vAlign w:val="center"/>
          </w:tcPr>
          <w:p>
            <w:pPr>
              <w:spacing w:line="240" w:lineRule="auto"/>
              <w:ind w:firstLine="0" w:firstLineChars="0"/>
              <w:jc w:val="center"/>
              <w:rPr>
                <w:sz w:val="21"/>
                <w:szCs w:val="21"/>
              </w:rPr>
            </w:pPr>
            <w:r>
              <w:rPr>
                <w:rFonts w:hint="eastAsia"/>
                <w:sz w:val="21"/>
                <w:szCs w:val="21"/>
              </w:rPr>
              <w:t>0.08</w:t>
            </w:r>
          </w:p>
        </w:tc>
        <w:tc>
          <w:tcPr>
            <w:tcW w:w="751" w:type="pct"/>
            <w:vAlign w:val="center"/>
          </w:tcPr>
          <w:p>
            <w:pPr>
              <w:spacing w:line="240" w:lineRule="auto"/>
              <w:ind w:firstLine="0" w:firstLineChars="0"/>
              <w:jc w:val="center"/>
              <w:rPr>
                <w:sz w:val="21"/>
                <w:szCs w:val="21"/>
              </w:rPr>
            </w:pPr>
            <w:r>
              <w:rPr>
                <w:rFonts w:hint="eastAsia"/>
                <w:sz w:val="21"/>
                <w:szCs w:val="21"/>
              </w:rPr>
              <w:t>0.84</w:t>
            </w:r>
          </w:p>
        </w:tc>
        <w:tc>
          <w:tcPr>
            <w:tcW w:w="556" w:type="pct"/>
            <w:vAlign w:val="center"/>
          </w:tcPr>
          <w:p>
            <w:pPr>
              <w:spacing w:line="240" w:lineRule="auto"/>
              <w:ind w:firstLine="0" w:firstLineChars="0"/>
              <w:jc w:val="center"/>
              <w:rPr>
                <w:sz w:val="21"/>
                <w:szCs w:val="21"/>
              </w:rPr>
            </w:pPr>
            <w:r>
              <w:rPr>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116" w:type="pct"/>
            <w:vMerge w:val="restart"/>
            <w:vAlign w:val="center"/>
          </w:tcPr>
          <w:p>
            <w:pPr>
              <w:spacing w:line="240" w:lineRule="auto"/>
              <w:ind w:firstLine="0" w:firstLineChars="0"/>
              <w:jc w:val="center"/>
              <w:rPr>
                <w:rFonts w:hint="eastAsia"/>
                <w:sz w:val="21"/>
                <w:szCs w:val="21"/>
              </w:rPr>
            </w:pPr>
            <w:r>
              <w:rPr>
                <w:rFonts w:hint="eastAsia"/>
                <w:sz w:val="21"/>
                <w:szCs w:val="21"/>
              </w:rPr>
              <w:t>待宰间恶臭气体</w:t>
            </w:r>
          </w:p>
          <w:p>
            <w:pPr>
              <w:spacing w:line="240" w:lineRule="auto"/>
              <w:ind w:firstLine="0" w:firstLineChars="0"/>
              <w:jc w:val="center"/>
              <w:rPr>
                <w:sz w:val="21"/>
                <w:szCs w:val="21"/>
              </w:rPr>
            </w:pPr>
            <w:r>
              <w:rPr>
                <w:sz w:val="21"/>
                <w:szCs w:val="21"/>
              </w:rPr>
              <w:t>（</w:t>
            </w:r>
            <w:r>
              <w:rPr>
                <w:rFonts w:hint="eastAsia"/>
                <w:sz w:val="21"/>
                <w:szCs w:val="21"/>
              </w:rPr>
              <w:t>面源，</w:t>
            </w:r>
            <w:r>
              <w:rPr>
                <w:sz w:val="21"/>
                <w:szCs w:val="21"/>
              </w:rPr>
              <w:t>无组织）</w:t>
            </w:r>
          </w:p>
        </w:tc>
        <w:tc>
          <w:tcPr>
            <w:tcW w:w="667" w:type="pct"/>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1041" w:type="pct"/>
            <w:vAlign w:val="center"/>
          </w:tcPr>
          <w:p>
            <w:pPr>
              <w:spacing w:line="240" w:lineRule="auto"/>
              <w:ind w:firstLine="0" w:firstLineChars="0"/>
              <w:jc w:val="center"/>
              <w:rPr>
                <w:sz w:val="21"/>
                <w:szCs w:val="21"/>
              </w:rPr>
            </w:pPr>
            <w:r>
              <w:rPr>
                <w:rFonts w:hint="eastAsia"/>
                <w:sz w:val="21"/>
                <w:szCs w:val="21"/>
              </w:rPr>
              <w:t>200（1h平均）</w:t>
            </w:r>
          </w:p>
        </w:tc>
        <w:tc>
          <w:tcPr>
            <w:tcW w:w="866" w:type="pct"/>
            <w:vAlign w:val="center"/>
          </w:tcPr>
          <w:p>
            <w:pPr>
              <w:spacing w:line="240" w:lineRule="auto"/>
              <w:ind w:firstLine="0" w:firstLineChars="0"/>
              <w:jc w:val="center"/>
              <w:rPr>
                <w:sz w:val="21"/>
                <w:szCs w:val="21"/>
              </w:rPr>
            </w:pPr>
            <w:r>
              <w:rPr>
                <w:rFonts w:hint="eastAsia"/>
                <w:sz w:val="21"/>
                <w:szCs w:val="21"/>
              </w:rPr>
              <w:t>5.49</w:t>
            </w:r>
          </w:p>
        </w:tc>
        <w:tc>
          <w:tcPr>
            <w:tcW w:w="751" w:type="pct"/>
            <w:vAlign w:val="center"/>
          </w:tcPr>
          <w:p>
            <w:pPr>
              <w:spacing w:line="240" w:lineRule="auto"/>
              <w:ind w:firstLine="0" w:firstLineChars="0"/>
              <w:jc w:val="center"/>
              <w:rPr>
                <w:sz w:val="21"/>
                <w:szCs w:val="21"/>
              </w:rPr>
            </w:pPr>
            <w:r>
              <w:rPr>
                <w:rFonts w:hint="eastAsia"/>
                <w:sz w:val="21"/>
                <w:szCs w:val="21"/>
              </w:rPr>
              <w:t>2.75</w:t>
            </w:r>
          </w:p>
        </w:tc>
        <w:tc>
          <w:tcPr>
            <w:tcW w:w="556" w:type="pct"/>
            <w:vAlign w:val="center"/>
          </w:tcPr>
          <w:p>
            <w:pPr>
              <w:spacing w:line="240" w:lineRule="auto"/>
              <w:ind w:firstLine="0" w:firstLineChars="0"/>
              <w:jc w:val="center"/>
              <w:rPr>
                <w:sz w:val="21"/>
                <w:szCs w:val="21"/>
              </w:rPr>
            </w:pPr>
            <w:r>
              <w:rPr>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116" w:type="pct"/>
            <w:vMerge w:val="continue"/>
            <w:vAlign w:val="center"/>
          </w:tcPr>
          <w:p>
            <w:pPr>
              <w:spacing w:line="240" w:lineRule="auto"/>
              <w:jc w:val="center"/>
              <w:rPr>
                <w:sz w:val="21"/>
                <w:szCs w:val="21"/>
              </w:rPr>
            </w:pPr>
          </w:p>
        </w:tc>
        <w:tc>
          <w:tcPr>
            <w:tcW w:w="667" w:type="pct"/>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1041" w:type="pct"/>
            <w:vAlign w:val="center"/>
          </w:tcPr>
          <w:p>
            <w:pPr>
              <w:spacing w:line="240" w:lineRule="auto"/>
              <w:ind w:firstLine="0" w:firstLineChars="0"/>
              <w:jc w:val="center"/>
              <w:rPr>
                <w:sz w:val="21"/>
                <w:szCs w:val="21"/>
              </w:rPr>
            </w:pPr>
            <w:r>
              <w:rPr>
                <w:rFonts w:hint="eastAsia"/>
                <w:sz w:val="21"/>
                <w:szCs w:val="21"/>
              </w:rPr>
              <w:t>10（1h平均）</w:t>
            </w:r>
          </w:p>
        </w:tc>
        <w:tc>
          <w:tcPr>
            <w:tcW w:w="866" w:type="pct"/>
            <w:vAlign w:val="center"/>
          </w:tcPr>
          <w:p>
            <w:pPr>
              <w:spacing w:line="240" w:lineRule="auto"/>
              <w:ind w:firstLine="0" w:firstLineChars="0"/>
              <w:jc w:val="center"/>
              <w:rPr>
                <w:sz w:val="21"/>
                <w:szCs w:val="21"/>
              </w:rPr>
            </w:pPr>
            <w:r>
              <w:rPr>
                <w:rFonts w:hint="eastAsia"/>
                <w:sz w:val="21"/>
                <w:szCs w:val="21"/>
              </w:rPr>
              <w:t>0.55</w:t>
            </w:r>
          </w:p>
        </w:tc>
        <w:tc>
          <w:tcPr>
            <w:tcW w:w="751" w:type="pct"/>
            <w:vAlign w:val="center"/>
          </w:tcPr>
          <w:p>
            <w:pPr>
              <w:spacing w:line="240" w:lineRule="auto"/>
              <w:ind w:firstLine="0" w:firstLineChars="0"/>
              <w:jc w:val="center"/>
              <w:rPr>
                <w:sz w:val="21"/>
                <w:szCs w:val="21"/>
              </w:rPr>
            </w:pPr>
            <w:r>
              <w:rPr>
                <w:rFonts w:hint="eastAsia"/>
                <w:sz w:val="21"/>
                <w:szCs w:val="21"/>
              </w:rPr>
              <w:t>5.49</w:t>
            </w:r>
          </w:p>
        </w:tc>
        <w:tc>
          <w:tcPr>
            <w:tcW w:w="556" w:type="pct"/>
            <w:vAlign w:val="center"/>
          </w:tcPr>
          <w:p>
            <w:pPr>
              <w:spacing w:line="240" w:lineRule="auto"/>
              <w:ind w:firstLine="0" w:firstLineChars="0"/>
              <w:jc w:val="center"/>
              <w:rPr>
                <w:sz w:val="21"/>
                <w:szCs w:val="21"/>
              </w:rPr>
            </w:pPr>
            <w:r>
              <w:rPr>
                <w:sz w:val="21"/>
                <w:szCs w:val="21"/>
              </w:rPr>
              <w:t>/</w:t>
            </w:r>
          </w:p>
        </w:tc>
      </w:tr>
    </w:tbl>
    <w:p>
      <w:pPr>
        <w:ind w:firstLine="480"/>
      </w:pPr>
      <w:r>
        <w:t>综合以上分析，本项目Pmax最大值出现为待宰</w:t>
      </w:r>
      <w:r>
        <w:rPr>
          <w:rFonts w:hint="eastAsia"/>
          <w:lang w:val="en-US" w:eastAsia="zh-CN"/>
        </w:rPr>
        <w:t>圈</w:t>
      </w:r>
      <w:r>
        <w:t>排放的H</w:t>
      </w:r>
      <w:r>
        <w:rPr>
          <w:vertAlign w:val="subscript"/>
        </w:rPr>
        <w:t>2</w:t>
      </w:r>
      <w:r>
        <w:t>S，Pmax值为</w:t>
      </w:r>
      <w:r>
        <w:rPr>
          <w:rFonts w:hint="eastAsia"/>
        </w:rPr>
        <w:t>5.49</w:t>
      </w:r>
      <w:r>
        <w:t>%，根据《环境影响评价技术导则 大气环境》</w:t>
      </w:r>
      <w:r>
        <w:rPr>
          <w:rFonts w:hint="eastAsia"/>
        </w:rPr>
        <w:t>（</w:t>
      </w:r>
      <w:r>
        <w:t>HJ2.2-2018</w:t>
      </w:r>
      <w:r>
        <w:rPr>
          <w:rFonts w:hint="eastAsia"/>
        </w:rPr>
        <w:t>）</w:t>
      </w:r>
      <w:r>
        <w:t>分级判据，确定本项目大气环境影响评价工作等级为二级。</w:t>
      </w:r>
    </w:p>
    <w:p>
      <w:pPr>
        <w:pStyle w:val="7"/>
        <w:ind w:firstLine="482"/>
      </w:pPr>
      <w:bookmarkStart w:id="329" w:name="_Toc24478_WPSOffice_Level3"/>
      <w:bookmarkStart w:id="330" w:name="_Toc504_WPSOffice_Level3"/>
      <w:bookmarkStart w:id="331" w:name="_Toc30364_WPSOffice_Level3"/>
      <w:bookmarkStart w:id="332" w:name="_Toc6477_WPSOffice_Level3"/>
      <w:bookmarkStart w:id="333" w:name="_Toc10825_WPSOffice_Level3"/>
      <w:bookmarkStart w:id="334" w:name="_Toc32350_WPSOffice_Level3"/>
      <w:bookmarkStart w:id="335" w:name="_Toc20936_WPSOffice_Level3"/>
      <w:bookmarkStart w:id="336" w:name="_Toc1845"/>
      <w:bookmarkStart w:id="337" w:name="_Toc10319_WPSOffice_Level3"/>
      <w:r>
        <w:t>1.6.1.2</w:t>
      </w:r>
      <w:r>
        <w:rPr>
          <w:rFonts w:hint="eastAsia"/>
        </w:rPr>
        <w:t>、</w:t>
      </w:r>
      <w:r>
        <w:t>声环境影响评价等级</w:t>
      </w:r>
      <w:bookmarkEnd w:id="329"/>
      <w:bookmarkEnd w:id="330"/>
      <w:bookmarkEnd w:id="331"/>
      <w:bookmarkEnd w:id="332"/>
      <w:bookmarkEnd w:id="333"/>
      <w:bookmarkEnd w:id="334"/>
      <w:bookmarkEnd w:id="335"/>
      <w:bookmarkEnd w:id="336"/>
      <w:bookmarkEnd w:id="337"/>
    </w:p>
    <w:p>
      <w:pPr>
        <w:bidi w:val="0"/>
      </w:pPr>
      <w:r>
        <w:t>根据《环境影响评价技术导则 声环境》（HJ2.4-20</w:t>
      </w:r>
      <w:r>
        <w:rPr>
          <w:rFonts w:hint="eastAsia"/>
        </w:rPr>
        <w:t>21</w:t>
      </w:r>
      <w:r>
        <w:t>）中声环境影响评价等级划分依据</w:t>
      </w:r>
      <w:r>
        <w:rPr>
          <w:rFonts w:hint="eastAsia"/>
        </w:rPr>
        <w:t>“建设项目所处的声环境功能区为</w:t>
      </w:r>
      <w:r>
        <w:rPr>
          <w:rFonts w:hint="eastAsia"/>
          <w:lang w:val="en-US" w:eastAsia="zh-CN"/>
        </w:rPr>
        <w:t>《声环境质量标准》</w:t>
      </w:r>
      <w:r>
        <w:rPr>
          <w:rFonts w:hint="default" w:ascii="Times New Roman" w:hAnsi="Times New Roman" w:cs="Times New Roman"/>
          <w:lang w:eastAsia="zh-CN"/>
        </w:rPr>
        <w:t>（</w:t>
      </w:r>
      <w:r>
        <w:rPr>
          <w:rFonts w:hint="eastAsia" w:ascii="Times New Roman" w:hAnsi="Times New Roman" w:cs="Times New Roman"/>
          <w:lang w:val="en-US" w:eastAsia="zh-CN"/>
        </w:rPr>
        <w:t>GB3096-2008）</w:t>
      </w:r>
      <w:r>
        <w:rPr>
          <w:rFonts w:hint="eastAsia"/>
        </w:rPr>
        <w:t>规定的3类、4类地区，或建设项目建设前后评价范围内声环境保护目标噪声级增量在3dB（A）以下（不含3dB（A）），且受影响人口数量变化不大时，按三级评价。”本项目所在地处于甘州区巴吉滩农产品产业园，为3类声环境功能区，</w:t>
      </w:r>
      <w:r>
        <w:rPr>
          <w:rFonts w:hint="eastAsia"/>
          <w:lang w:val="en-US" w:eastAsia="zh-CN"/>
        </w:rPr>
        <w:t>项目周边200m范围内无声环境保护目标，</w:t>
      </w:r>
      <w:r>
        <w:rPr>
          <w:rFonts w:hint="eastAsia"/>
        </w:rPr>
        <w:t>建设项目建设前后评价范围内声环境保护目标噪声级增量在3dB（A）</w:t>
      </w:r>
      <w:r>
        <w:rPr>
          <w:rFonts w:hint="eastAsia"/>
          <w:lang w:val="en-US" w:eastAsia="zh-CN"/>
        </w:rPr>
        <w:t>以下</w:t>
      </w:r>
      <w:r>
        <w:rPr>
          <w:rFonts w:hint="eastAsia"/>
        </w:rPr>
        <w:t>，且受影响人口数量变化不大</w:t>
      </w:r>
      <w:r>
        <w:rPr>
          <w:rFonts w:hint="eastAsia"/>
          <w:lang w:eastAsia="zh-CN"/>
        </w:rPr>
        <w:t>，</w:t>
      </w:r>
      <w:r>
        <w:rPr>
          <w:rFonts w:hint="eastAsia"/>
        </w:rPr>
        <w:t>因此</w:t>
      </w:r>
      <w:r>
        <w:rPr>
          <w:rFonts w:hint="eastAsia"/>
          <w:lang w:eastAsia="zh-CN"/>
        </w:rPr>
        <w:t>，</w:t>
      </w:r>
      <w:r>
        <w:rPr>
          <w:rFonts w:hint="eastAsia"/>
        </w:rPr>
        <w:t>本项目声环境影响评价等级为三级。</w:t>
      </w:r>
    </w:p>
    <w:p>
      <w:pPr>
        <w:pStyle w:val="7"/>
        <w:ind w:firstLine="482"/>
      </w:pPr>
      <w:bookmarkStart w:id="338" w:name="_Toc15876_WPSOffice_Level3"/>
      <w:bookmarkStart w:id="339" w:name="_Toc30643_WPSOffice_Level3"/>
      <w:bookmarkStart w:id="340" w:name="_Toc29364_WPSOffice_Level3"/>
      <w:bookmarkStart w:id="341" w:name="_Toc30535_WPSOffice_Level3"/>
      <w:bookmarkStart w:id="342" w:name="_Toc5918_WPSOffice_Level3"/>
      <w:bookmarkStart w:id="343" w:name="_Toc15279_WPSOffice_Level3"/>
      <w:bookmarkStart w:id="344" w:name="_Toc26833_WPSOffice_Level3"/>
      <w:bookmarkStart w:id="345" w:name="_Toc7517_WPSOffice_Level3"/>
      <w:r>
        <w:t>1.6.1.3</w:t>
      </w:r>
      <w:r>
        <w:rPr>
          <w:rFonts w:hint="eastAsia"/>
        </w:rPr>
        <w:t>、</w:t>
      </w:r>
      <w:r>
        <w:t>地表水环境影响评价等级</w:t>
      </w:r>
      <w:bookmarkEnd w:id="338"/>
      <w:bookmarkEnd w:id="339"/>
      <w:bookmarkEnd w:id="340"/>
      <w:bookmarkEnd w:id="341"/>
      <w:bookmarkEnd w:id="342"/>
      <w:bookmarkEnd w:id="343"/>
      <w:bookmarkEnd w:id="344"/>
      <w:bookmarkEnd w:id="345"/>
    </w:p>
    <w:p>
      <w:pPr>
        <w:ind w:firstLine="480"/>
      </w:pPr>
      <w:r>
        <w:rPr>
          <w:rFonts w:hint="eastAsia"/>
        </w:rPr>
        <w:t>本工程为水污染影响型建设项目，根据废水排放方式和排放量划分评价等级具体等级判定见下表。本项目废水经过处理后</w:t>
      </w:r>
      <w:r>
        <w:rPr>
          <w:rFonts w:hint="eastAsia"/>
          <w:lang w:val="en-US" w:eastAsia="zh-CN"/>
        </w:rPr>
        <w:t>回用于</w:t>
      </w:r>
      <w:r>
        <w:rPr>
          <w:rFonts w:hint="eastAsia"/>
        </w:rPr>
        <w:t>饲草区灌溉，不排入</w:t>
      </w:r>
      <w:r>
        <w:rPr>
          <w:rFonts w:hint="eastAsia"/>
          <w:lang w:val="en-US" w:eastAsia="zh-CN"/>
        </w:rPr>
        <w:t>地表</w:t>
      </w:r>
      <w:r>
        <w:rPr>
          <w:rFonts w:hint="eastAsia"/>
        </w:rPr>
        <w:t>水体，按照《环境影响评价技术导则 地表水环境》（HJ2.3-2018）表1中注10的要求，确定本项目地表水环境评价等级为三级B。</w:t>
      </w:r>
    </w:p>
    <w:p>
      <w:pPr>
        <w:spacing w:line="240" w:lineRule="auto"/>
        <w:ind w:firstLine="482"/>
        <w:jc w:val="center"/>
        <w:rPr>
          <w:b/>
          <w:bCs/>
        </w:rPr>
      </w:pPr>
      <w:r>
        <w:rPr>
          <w:rFonts w:hint="eastAsia"/>
          <w:b/>
          <w:bCs/>
        </w:rPr>
        <w:t>表</w:t>
      </w:r>
      <w:r>
        <w:rPr>
          <w:rFonts w:hint="eastAsia"/>
          <w:b/>
          <w:bCs/>
          <w:lang w:val="en-US" w:eastAsia="zh-CN"/>
        </w:rPr>
        <w:t xml:space="preserve">1.22 </w:t>
      </w:r>
      <w:r>
        <w:rPr>
          <w:rFonts w:hint="eastAsia"/>
          <w:b/>
          <w:bCs/>
        </w:rPr>
        <w:t xml:space="preserve">   水污染影响型建设项目评价等级判定</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1812"/>
        <w:gridCol w:w="6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pct"/>
            <w:vMerge w:val="restart"/>
            <w:tcBorders>
              <w:tl2br w:val="nil"/>
              <w:tr2bl w:val="nil"/>
            </w:tcBorders>
            <w:vAlign w:val="center"/>
          </w:tcPr>
          <w:p>
            <w:pPr>
              <w:spacing w:line="240" w:lineRule="auto"/>
              <w:ind w:firstLine="0" w:firstLineChars="0"/>
              <w:jc w:val="center"/>
              <w:rPr>
                <w:sz w:val="21"/>
                <w:szCs w:val="21"/>
              </w:rPr>
            </w:pPr>
            <w:r>
              <w:rPr>
                <w:sz w:val="21"/>
                <w:szCs w:val="21"/>
              </w:rPr>
              <w:t>评价等级</w:t>
            </w:r>
          </w:p>
        </w:tc>
        <w:tc>
          <w:tcPr>
            <w:tcW w:w="3948" w:type="pct"/>
            <w:gridSpan w:val="2"/>
            <w:tcBorders>
              <w:tl2br w:val="nil"/>
              <w:tr2bl w:val="nil"/>
            </w:tcBorders>
            <w:vAlign w:val="center"/>
          </w:tcPr>
          <w:p>
            <w:pPr>
              <w:spacing w:line="240" w:lineRule="auto"/>
              <w:ind w:firstLine="0" w:firstLineChars="0"/>
              <w:jc w:val="center"/>
              <w:rPr>
                <w:sz w:val="21"/>
                <w:szCs w:val="21"/>
              </w:rPr>
            </w:pPr>
            <w:r>
              <w:rPr>
                <w:sz w:val="21"/>
                <w:szCs w:val="21"/>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pct"/>
            <w:vMerge w:val="continue"/>
            <w:tcBorders>
              <w:tl2br w:val="nil"/>
              <w:tr2bl w:val="nil"/>
            </w:tcBorders>
            <w:vAlign w:val="center"/>
          </w:tcPr>
          <w:p>
            <w:pPr>
              <w:spacing w:line="240" w:lineRule="auto"/>
              <w:jc w:val="center"/>
              <w:rPr>
                <w:sz w:val="21"/>
                <w:szCs w:val="21"/>
              </w:rPr>
            </w:pPr>
          </w:p>
        </w:tc>
        <w:tc>
          <w:tcPr>
            <w:tcW w:w="910" w:type="pct"/>
            <w:tcBorders>
              <w:tl2br w:val="nil"/>
              <w:tr2bl w:val="nil"/>
            </w:tcBorders>
            <w:vAlign w:val="center"/>
          </w:tcPr>
          <w:p>
            <w:pPr>
              <w:spacing w:line="240" w:lineRule="auto"/>
              <w:ind w:firstLine="0" w:firstLineChars="0"/>
              <w:jc w:val="center"/>
              <w:rPr>
                <w:sz w:val="21"/>
                <w:szCs w:val="21"/>
              </w:rPr>
            </w:pPr>
            <w:r>
              <w:rPr>
                <w:sz w:val="21"/>
                <w:szCs w:val="21"/>
              </w:rPr>
              <w:t>排放方式</w:t>
            </w:r>
          </w:p>
        </w:tc>
        <w:tc>
          <w:tcPr>
            <w:tcW w:w="3037" w:type="pct"/>
            <w:tcBorders>
              <w:tl2br w:val="nil"/>
              <w:tr2bl w:val="nil"/>
            </w:tcBorders>
            <w:vAlign w:val="center"/>
          </w:tcPr>
          <w:p>
            <w:pPr>
              <w:spacing w:line="240" w:lineRule="auto"/>
              <w:ind w:firstLine="0" w:firstLineChars="0"/>
              <w:jc w:val="center"/>
              <w:rPr>
                <w:sz w:val="21"/>
                <w:szCs w:val="21"/>
              </w:rPr>
            </w:pPr>
            <w:r>
              <w:rPr>
                <w:sz w:val="21"/>
                <w:szCs w:val="21"/>
              </w:rPr>
              <w:t>废水排放量Q/（m</w:t>
            </w:r>
            <w:r>
              <w:rPr>
                <w:sz w:val="21"/>
                <w:szCs w:val="21"/>
                <w:vertAlign w:val="superscript"/>
              </w:rPr>
              <w:t>3</w:t>
            </w:r>
            <w:r>
              <w:rPr>
                <w:sz w:val="21"/>
                <w:szCs w:val="21"/>
              </w:rPr>
              <w:t>/d）</w:t>
            </w:r>
            <w:r>
              <w:rPr>
                <w:rFonts w:hint="eastAsia"/>
                <w:sz w:val="21"/>
                <w:szCs w:val="21"/>
              </w:rPr>
              <w:t>；</w:t>
            </w:r>
            <w:r>
              <w:rPr>
                <w:sz w:val="21"/>
                <w:szCs w:val="21"/>
              </w:rPr>
              <w:t>水污染当量数W/（无量纲）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pct"/>
            <w:tcBorders>
              <w:tl2br w:val="nil"/>
              <w:tr2bl w:val="nil"/>
            </w:tcBorders>
            <w:vAlign w:val="center"/>
          </w:tcPr>
          <w:p>
            <w:pPr>
              <w:spacing w:line="240" w:lineRule="auto"/>
              <w:ind w:firstLine="0" w:firstLineChars="0"/>
              <w:jc w:val="center"/>
              <w:rPr>
                <w:sz w:val="21"/>
                <w:szCs w:val="21"/>
              </w:rPr>
            </w:pPr>
            <w:r>
              <w:rPr>
                <w:sz w:val="21"/>
                <w:szCs w:val="21"/>
              </w:rPr>
              <w:t>一级</w:t>
            </w:r>
          </w:p>
        </w:tc>
        <w:tc>
          <w:tcPr>
            <w:tcW w:w="910" w:type="pct"/>
            <w:tcBorders>
              <w:tl2br w:val="nil"/>
              <w:tr2bl w:val="nil"/>
            </w:tcBorders>
            <w:vAlign w:val="center"/>
          </w:tcPr>
          <w:p>
            <w:pPr>
              <w:spacing w:line="240" w:lineRule="auto"/>
              <w:ind w:firstLine="0" w:firstLineChars="0"/>
              <w:jc w:val="center"/>
              <w:rPr>
                <w:sz w:val="21"/>
                <w:szCs w:val="21"/>
              </w:rPr>
            </w:pPr>
            <w:r>
              <w:rPr>
                <w:sz w:val="21"/>
                <w:szCs w:val="21"/>
              </w:rPr>
              <w:t>直接排放</w:t>
            </w:r>
          </w:p>
        </w:tc>
        <w:tc>
          <w:tcPr>
            <w:tcW w:w="3037" w:type="pct"/>
            <w:tcBorders>
              <w:tl2br w:val="nil"/>
              <w:tr2bl w:val="nil"/>
            </w:tcBorders>
            <w:vAlign w:val="center"/>
          </w:tcPr>
          <w:p>
            <w:pPr>
              <w:spacing w:line="240" w:lineRule="auto"/>
              <w:ind w:firstLine="0" w:firstLineChars="0"/>
              <w:jc w:val="center"/>
              <w:rPr>
                <w:sz w:val="21"/>
                <w:szCs w:val="21"/>
              </w:rPr>
            </w:pPr>
            <w:r>
              <w:rPr>
                <w:sz w:val="21"/>
                <w:szCs w:val="21"/>
              </w:rPr>
              <w:t>Q≥20000或W≥600000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pct"/>
            <w:tcBorders>
              <w:tl2br w:val="nil"/>
              <w:tr2bl w:val="nil"/>
            </w:tcBorders>
            <w:vAlign w:val="center"/>
          </w:tcPr>
          <w:p>
            <w:pPr>
              <w:spacing w:line="240" w:lineRule="auto"/>
              <w:ind w:firstLine="0" w:firstLineChars="0"/>
              <w:jc w:val="center"/>
              <w:rPr>
                <w:sz w:val="21"/>
                <w:szCs w:val="21"/>
              </w:rPr>
            </w:pPr>
            <w:r>
              <w:rPr>
                <w:sz w:val="21"/>
                <w:szCs w:val="21"/>
              </w:rPr>
              <w:t>二级</w:t>
            </w:r>
          </w:p>
        </w:tc>
        <w:tc>
          <w:tcPr>
            <w:tcW w:w="910" w:type="pct"/>
            <w:tcBorders>
              <w:tl2br w:val="nil"/>
              <w:tr2bl w:val="nil"/>
            </w:tcBorders>
            <w:vAlign w:val="center"/>
          </w:tcPr>
          <w:p>
            <w:pPr>
              <w:spacing w:line="240" w:lineRule="auto"/>
              <w:ind w:firstLine="0" w:firstLineChars="0"/>
              <w:jc w:val="center"/>
              <w:rPr>
                <w:sz w:val="21"/>
                <w:szCs w:val="21"/>
              </w:rPr>
            </w:pPr>
            <w:r>
              <w:rPr>
                <w:sz w:val="21"/>
                <w:szCs w:val="21"/>
              </w:rPr>
              <w:t>直接排放</w:t>
            </w:r>
          </w:p>
        </w:tc>
        <w:tc>
          <w:tcPr>
            <w:tcW w:w="3037" w:type="pct"/>
            <w:tcBorders>
              <w:tl2br w:val="nil"/>
              <w:tr2bl w:val="nil"/>
            </w:tcBorders>
            <w:vAlign w:val="center"/>
          </w:tcPr>
          <w:p>
            <w:pPr>
              <w:spacing w:line="240" w:lineRule="auto"/>
              <w:ind w:firstLine="0" w:firstLineChars="0"/>
              <w:jc w:val="center"/>
              <w:rPr>
                <w:sz w:val="21"/>
                <w:szCs w:val="21"/>
              </w:rPr>
            </w:pPr>
            <w:r>
              <w:rPr>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pct"/>
            <w:tcBorders>
              <w:tl2br w:val="nil"/>
              <w:tr2bl w:val="nil"/>
            </w:tcBorders>
            <w:vAlign w:val="center"/>
          </w:tcPr>
          <w:p>
            <w:pPr>
              <w:spacing w:line="240" w:lineRule="auto"/>
              <w:ind w:firstLine="0" w:firstLineChars="0"/>
              <w:jc w:val="center"/>
              <w:rPr>
                <w:sz w:val="21"/>
                <w:szCs w:val="21"/>
              </w:rPr>
            </w:pPr>
            <w:r>
              <w:rPr>
                <w:sz w:val="21"/>
                <w:szCs w:val="21"/>
              </w:rPr>
              <w:t>三级A</w:t>
            </w:r>
          </w:p>
        </w:tc>
        <w:tc>
          <w:tcPr>
            <w:tcW w:w="910" w:type="pct"/>
            <w:tcBorders>
              <w:tl2br w:val="nil"/>
              <w:tr2bl w:val="nil"/>
            </w:tcBorders>
            <w:vAlign w:val="center"/>
          </w:tcPr>
          <w:p>
            <w:pPr>
              <w:spacing w:line="240" w:lineRule="auto"/>
              <w:ind w:firstLine="0" w:firstLineChars="0"/>
              <w:jc w:val="center"/>
              <w:rPr>
                <w:sz w:val="21"/>
                <w:szCs w:val="21"/>
              </w:rPr>
            </w:pPr>
            <w:r>
              <w:rPr>
                <w:sz w:val="21"/>
                <w:szCs w:val="21"/>
              </w:rPr>
              <w:t>直接排放</w:t>
            </w:r>
          </w:p>
        </w:tc>
        <w:tc>
          <w:tcPr>
            <w:tcW w:w="3037" w:type="pct"/>
            <w:tcBorders>
              <w:tl2br w:val="nil"/>
              <w:tr2bl w:val="nil"/>
            </w:tcBorders>
            <w:vAlign w:val="center"/>
          </w:tcPr>
          <w:p>
            <w:pPr>
              <w:spacing w:line="240" w:lineRule="auto"/>
              <w:ind w:firstLine="0" w:firstLineChars="0"/>
              <w:jc w:val="center"/>
              <w:rPr>
                <w:sz w:val="21"/>
                <w:szCs w:val="21"/>
              </w:rPr>
            </w:pPr>
            <w:r>
              <w:rPr>
                <w:sz w:val="21"/>
                <w:szCs w:val="21"/>
              </w:rPr>
              <w:t>Q＜200且W≤6000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1" w:type="pct"/>
            <w:tcBorders>
              <w:tl2br w:val="nil"/>
              <w:tr2bl w:val="nil"/>
            </w:tcBorders>
            <w:vAlign w:val="center"/>
          </w:tcPr>
          <w:p>
            <w:pPr>
              <w:spacing w:line="240" w:lineRule="auto"/>
              <w:ind w:firstLine="0" w:firstLineChars="0"/>
              <w:jc w:val="center"/>
              <w:rPr>
                <w:sz w:val="21"/>
                <w:szCs w:val="21"/>
              </w:rPr>
            </w:pPr>
            <w:r>
              <w:rPr>
                <w:sz w:val="21"/>
                <w:szCs w:val="21"/>
              </w:rPr>
              <w:t>三级B</w:t>
            </w:r>
          </w:p>
        </w:tc>
        <w:tc>
          <w:tcPr>
            <w:tcW w:w="910" w:type="pct"/>
            <w:tcBorders>
              <w:tl2br w:val="nil"/>
              <w:tr2bl w:val="nil"/>
            </w:tcBorders>
            <w:vAlign w:val="center"/>
          </w:tcPr>
          <w:p>
            <w:pPr>
              <w:spacing w:line="240" w:lineRule="auto"/>
              <w:ind w:firstLine="0" w:firstLineChars="0"/>
              <w:jc w:val="center"/>
              <w:rPr>
                <w:sz w:val="21"/>
                <w:szCs w:val="21"/>
              </w:rPr>
            </w:pPr>
            <w:r>
              <w:rPr>
                <w:sz w:val="21"/>
                <w:szCs w:val="21"/>
              </w:rPr>
              <w:t>间接排放</w:t>
            </w:r>
          </w:p>
        </w:tc>
        <w:tc>
          <w:tcPr>
            <w:tcW w:w="3037" w:type="pct"/>
            <w:tcBorders>
              <w:tl2br w:val="nil"/>
              <w:tr2bl w:val="nil"/>
            </w:tcBorders>
            <w:vAlign w:val="center"/>
          </w:tcPr>
          <w:p>
            <w:pPr>
              <w:spacing w:line="240" w:lineRule="auto"/>
              <w:ind w:firstLine="0" w:firstLineChars="0"/>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tl2br w:val="nil"/>
              <w:tr2bl w:val="nil"/>
            </w:tcBorders>
            <w:vAlign w:val="center"/>
          </w:tcPr>
          <w:p>
            <w:pPr>
              <w:spacing w:line="240" w:lineRule="auto"/>
              <w:ind w:firstLine="0" w:firstLineChars="0"/>
              <w:rPr>
                <w:sz w:val="21"/>
                <w:szCs w:val="21"/>
              </w:rPr>
            </w:pPr>
            <w:r>
              <w:rPr>
                <w:sz w:val="21"/>
                <w:szCs w:val="21"/>
              </w:rPr>
              <w:t>注1</w:t>
            </w:r>
            <w:r>
              <w:rPr>
                <w:rFonts w:hint="eastAsia"/>
                <w:sz w:val="21"/>
                <w:szCs w:val="21"/>
              </w:rPr>
              <w:t>：</w:t>
            </w:r>
            <w:r>
              <w:rPr>
                <w:sz w:val="21"/>
                <w:szCs w:val="21"/>
              </w:rPr>
              <w:t>水污染物当量数等于该污染物的年排放量除以该污染物的污染当量值</w:t>
            </w:r>
            <w:r>
              <w:rPr>
                <w:rFonts w:hint="eastAsia"/>
                <w:sz w:val="21"/>
                <w:szCs w:val="21"/>
              </w:rPr>
              <w:t>（</w:t>
            </w:r>
            <w:r>
              <w:rPr>
                <w:sz w:val="21"/>
                <w:szCs w:val="21"/>
              </w:rPr>
              <w:t>见附录A</w:t>
            </w:r>
            <w:r>
              <w:rPr>
                <w:rFonts w:hint="eastAsia"/>
                <w:sz w:val="21"/>
                <w:szCs w:val="21"/>
              </w:rPr>
              <w:t>）</w:t>
            </w:r>
            <w:r>
              <w:rPr>
                <w:sz w:val="21"/>
                <w:szCs w:val="21"/>
              </w:rPr>
              <w:t>，计算排放污染物的污染物当量数，应区分第一类水污染物和其他类水污染物，统计第一类污染物当量数总和，然后与其他类污染物按照污染物当量数从大到小排序，取最大当量数作为建设项目评价等级确定的依据。</w:t>
            </w:r>
          </w:p>
          <w:p>
            <w:pPr>
              <w:spacing w:line="240" w:lineRule="auto"/>
              <w:ind w:firstLine="0" w:firstLineChars="0"/>
              <w:rPr>
                <w:sz w:val="21"/>
                <w:szCs w:val="21"/>
              </w:rPr>
            </w:pPr>
            <w:r>
              <w:rPr>
                <w:sz w:val="21"/>
                <w:szCs w:val="21"/>
              </w:rPr>
              <w:t>注2</w:t>
            </w:r>
            <w:r>
              <w:rPr>
                <w:rFonts w:hint="eastAsia"/>
                <w:sz w:val="21"/>
                <w:szCs w:val="21"/>
              </w:rPr>
              <w:t>：</w:t>
            </w:r>
            <w:r>
              <w:rPr>
                <w:sz w:val="21"/>
                <w:szCs w:val="21"/>
              </w:rPr>
              <w:t>废水排放量按行业排放标准中规定的废水种类统计，没有相关行业排放标准要求的通过工程分析合理确定，应统计含热量大的冷却水的排放量，可不统计间接冷却水、循环水以及其他含污染物极少的清净下水的排放量。</w:t>
            </w:r>
            <w:r>
              <w:rPr>
                <w:sz w:val="21"/>
                <w:szCs w:val="21"/>
              </w:rPr>
              <w:br w:type="textWrapping"/>
            </w:r>
            <w:r>
              <w:rPr>
                <w:sz w:val="21"/>
                <w:szCs w:val="21"/>
              </w:rPr>
              <w:t>注3</w:t>
            </w:r>
            <w:r>
              <w:rPr>
                <w:rFonts w:hint="eastAsia"/>
                <w:sz w:val="21"/>
                <w:szCs w:val="21"/>
              </w:rPr>
              <w:t>：</w:t>
            </w:r>
            <w:r>
              <w:rPr>
                <w:sz w:val="21"/>
                <w:szCs w:val="21"/>
              </w:rPr>
              <w:t>厂区存在堆积物</w:t>
            </w:r>
            <w:r>
              <w:rPr>
                <w:rFonts w:hint="eastAsia"/>
                <w:sz w:val="21"/>
                <w:szCs w:val="21"/>
                <w:lang w:eastAsia="zh-CN"/>
              </w:rPr>
              <w:t>（</w:t>
            </w:r>
            <w:r>
              <w:rPr>
                <w:sz w:val="21"/>
                <w:szCs w:val="21"/>
              </w:rPr>
              <w:t>露天堆放的原料、燃料、废渣等以及垃圾堆放场</w:t>
            </w:r>
            <w:r>
              <w:rPr>
                <w:rFonts w:hint="eastAsia"/>
                <w:sz w:val="21"/>
                <w:szCs w:val="21"/>
                <w:lang w:eastAsia="zh-CN"/>
              </w:rPr>
              <w:t>）</w:t>
            </w:r>
            <w:r>
              <w:rPr>
                <w:sz w:val="21"/>
                <w:szCs w:val="21"/>
              </w:rPr>
              <w:t>、降尘污染的，应将初期雨污水纳入废水排放量，相应的主要污染物纳入水污染当量计算。</w:t>
            </w:r>
          </w:p>
          <w:p>
            <w:pPr>
              <w:spacing w:line="240" w:lineRule="auto"/>
              <w:ind w:firstLine="0" w:firstLineChars="0"/>
              <w:rPr>
                <w:sz w:val="21"/>
                <w:szCs w:val="21"/>
              </w:rPr>
            </w:pPr>
            <w:r>
              <w:rPr>
                <w:sz w:val="21"/>
                <w:szCs w:val="21"/>
              </w:rPr>
              <w:t>注4</w:t>
            </w:r>
            <w:r>
              <w:rPr>
                <w:rFonts w:hint="eastAsia"/>
                <w:sz w:val="21"/>
                <w:szCs w:val="21"/>
              </w:rPr>
              <w:t>：</w:t>
            </w:r>
            <w:r>
              <w:rPr>
                <w:sz w:val="21"/>
                <w:szCs w:val="21"/>
              </w:rPr>
              <w:t>建设项目直接排放第一类污染物的，其评价等级为一级；建设项目直接排放的污染物为受纳水体超标因子的，评价等级不低于二级。</w:t>
            </w:r>
          </w:p>
          <w:p>
            <w:pPr>
              <w:spacing w:line="240" w:lineRule="auto"/>
              <w:ind w:firstLine="0" w:firstLineChars="0"/>
              <w:rPr>
                <w:sz w:val="21"/>
                <w:szCs w:val="21"/>
              </w:rPr>
            </w:pPr>
            <w:r>
              <w:rPr>
                <w:sz w:val="21"/>
                <w:szCs w:val="21"/>
              </w:rPr>
              <w:t>注5</w:t>
            </w:r>
            <w:r>
              <w:rPr>
                <w:rFonts w:hint="eastAsia"/>
                <w:sz w:val="21"/>
                <w:szCs w:val="21"/>
              </w:rPr>
              <w:t>：</w:t>
            </w:r>
            <w:r>
              <w:rPr>
                <w:sz w:val="21"/>
                <w:szCs w:val="21"/>
              </w:rPr>
              <w:t>直接排放受纳水体影响范围涉及饮用水水源保护区、饮用水取水口、重点保护与珍稀水生生物的栖息地、重要水生生物的自然产卵场等保护目标时，评价等级不低于二级。</w:t>
            </w:r>
          </w:p>
          <w:p>
            <w:pPr>
              <w:spacing w:line="240" w:lineRule="auto"/>
              <w:ind w:firstLine="0" w:firstLineChars="0"/>
              <w:rPr>
                <w:sz w:val="21"/>
                <w:szCs w:val="21"/>
              </w:rPr>
            </w:pPr>
            <w:r>
              <w:rPr>
                <w:sz w:val="21"/>
                <w:szCs w:val="21"/>
              </w:rPr>
              <w:t>注6</w:t>
            </w:r>
            <w:r>
              <w:rPr>
                <w:rFonts w:hint="eastAsia"/>
                <w:sz w:val="21"/>
                <w:szCs w:val="21"/>
              </w:rPr>
              <w:t>：</w:t>
            </w:r>
            <w:r>
              <w:rPr>
                <w:sz w:val="21"/>
                <w:szCs w:val="21"/>
              </w:rPr>
              <w:t>建设项目向河流、湖库排放温排水引起受纳水体水温变化超过水环境质量标准要求，且评价范围有水温敏感目标时，评价等级为一级。</w:t>
            </w:r>
            <w:r>
              <w:rPr>
                <w:sz w:val="21"/>
                <w:szCs w:val="21"/>
              </w:rPr>
              <w:br w:type="textWrapping"/>
            </w:r>
            <w:r>
              <w:rPr>
                <w:sz w:val="21"/>
                <w:szCs w:val="21"/>
              </w:rPr>
              <w:t>注7</w:t>
            </w:r>
            <w:r>
              <w:rPr>
                <w:rFonts w:hint="eastAsia"/>
                <w:sz w:val="21"/>
                <w:szCs w:val="21"/>
              </w:rPr>
              <w:t>：</w:t>
            </w:r>
            <w:r>
              <w:rPr>
                <w:sz w:val="21"/>
                <w:szCs w:val="21"/>
              </w:rPr>
              <w:t>建设项目利用海水作为调节温度介质，排水量≥500万m</w:t>
            </w:r>
            <w:r>
              <w:rPr>
                <w:sz w:val="21"/>
                <w:szCs w:val="21"/>
                <w:vertAlign w:val="superscript"/>
              </w:rPr>
              <w:t>3</w:t>
            </w:r>
            <w:r>
              <w:rPr>
                <w:sz w:val="21"/>
                <w:szCs w:val="21"/>
              </w:rPr>
              <w:t>/d</w:t>
            </w:r>
            <w:r>
              <w:rPr>
                <w:rFonts w:hint="eastAsia"/>
                <w:sz w:val="21"/>
                <w:szCs w:val="21"/>
                <w:lang w:eastAsia="zh-CN"/>
              </w:rPr>
              <w:t>，</w:t>
            </w:r>
            <w:r>
              <w:rPr>
                <w:sz w:val="21"/>
                <w:szCs w:val="21"/>
              </w:rPr>
              <w:t>评价等级为一级；排水量&lt;500万m</w:t>
            </w:r>
            <w:r>
              <w:rPr>
                <w:sz w:val="21"/>
                <w:szCs w:val="21"/>
                <w:vertAlign w:val="superscript"/>
              </w:rPr>
              <w:t>3</w:t>
            </w:r>
            <w:r>
              <w:rPr>
                <w:sz w:val="21"/>
                <w:szCs w:val="21"/>
              </w:rPr>
              <w:t>/d，评价等级为二级。</w:t>
            </w:r>
          </w:p>
          <w:p>
            <w:pPr>
              <w:spacing w:line="240" w:lineRule="auto"/>
              <w:ind w:firstLine="0" w:firstLineChars="0"/>
              <w:rPr>
                <w:sz w:val="21"/>
                <w:szCs w:val="21"/>
              </w:rPr>
            </w:pPr>
            <w:r>
              <w:rPr>
                <w:sz w:val="21"/>
                <w:szCs w:val="21"/>
              </w:rPr>
              <w:t>注8</w:t>
            </w:r>
            <w:r>
              <w:rPr>
                <w:rFonts w:hint="eastAsia"/>
                <w:sz w:val="21"/>
                <w:szCs w:val="21"/>
              </w:rPr>
              <w:t>：</w:t>
            </w:r>
            <w:r>
              <w:rPr>
                <w:sz w:val="21"/>
                <w:szCs w:val="21"/>
              </w:rPr>
              <w:t>仅涉及清净下水排放的，如其排放水质满足受纳水体水环境质量标准要求的，评价等级为三级A。</w:t>
            </w:r>
          </w:p>
          <w:p>
            <w:pPr>
              <w:spacing w:line="240" w:lineRule="auto"/>
              <w:ind w:firstLine="0" w:firstLineChars="0"/>
              <w:rPr>
                <w:sz w:val="21"/>
                <w:szCs w:val="21"/>
              </w:rPr>
            </w:pPr>
            <w:r>
              <w:rPr>
                <w:sz w:val="21"/>
                <w:szCs w:val="21"/>
              </w:rPr>
              <w:t>注9</w:t>
            </w:r>
            <w:r>
              <w:rPr>
                <w:rFonts w:hint="eastAsia"/>
                <w:sz w:val="21"/>
                <w:szCs w:val="21"/>
              </w:rPr>
              <w:t>：</w:t>
            </w:r>
            <w:r>
              <w:rPr>
                <w:sz w:val="21"/>
                <w:szCs w:val="21"/>
              </w:rPr>
              <w:t>依托现有排放口，且对外环境未新增排放污染物的直接排放建设项目，评价等级参照间接排放，定为三级B。</w:t>
            </w:r>
          </w:p>
          <w:p>
            <w:pPr>
              <w:spacing w:line="240" w:lineRule="auto"/>
              <w:ind w:firstLine="0" w:firstLineChars="0"/>
              <w:rPr>
                <w:sz w:val="21"/>
                <w:szCs w:val="21"/>
              </w:rPr>
            </w:pPr>
            <w:r>
              <w:rPr>
                <w:sz w:val="21"/>
                <w:szCs w:val="21"/>
              </w:rPr>
              <w:t>注10</w:t>
            </w:r>
            <w:r>
              <w:rPr>
                <w:rFonts w:hint="eastAsia"/>
                <w:sz w:val="21"/>
                <w:szCs w:val="21"/>
              </w:rPr>
              <w:t>：</w:t>
            </w:r>
            <w:r>
              <w:rPr>
                <w:sz w:val="21"/>
                <w:szCs w:val="21"/>
              </w:rPr>
              <w:t>建设项目生产工艺中有废水产生，但作为回水利用，不排放到外环境的，按三级B评价。</w:t>
            </w:r>
          </w:p>
        </w:tc>
      </w:tr>
    </w:tbl>
    <w:p>
      <w:pPr>
        <w:pStyle w:val="7"/>
        <w:ind w:firstLine="482"/>
      </w:pPr>
      <w:bookmarkStart w:id="346" w:name="_Toc14751_WPSOffice_Level3"/>
      <w:bookmarkStart w:id="347" w:name="_Toc1741_WPSOffice_Level3"/>
      <w:bookmarkStart w:id="348" w:name="_Toc918_WPSOffice_Level3"/>
      <w:bookmarkStart w:id="349" w:name="_Toc2961_WPSOffice_Level3"/>
      <w:bookmarkStart w:id="350" w:name="_Toc11975_WPSOffice_Level3"/>
      <w:bookmarkStart w:id="351" w:name="_Toc2611_WPSOffice_Level3"/>
      <w:bookmarkStart w:id="352" w:name="_Toc9346_WPSOffice_Level3"/>
      <w:bookmarkStart w:id="353" w:name="_Toc5285_WPSOffice_Level3"/>
      <w:r>
        <w:t>1.6.1.4</w:t>
      </w:r>
      <w:r>
        <w:rPr>
          <w:rFonts w:hint="eastAsia"/>
        </w:rPr>
        <w:t>、</w:t>
      </w:r>
      <w:r>
        <w:t>地下水环境影响评价等级</w:t>
      </w:r>
      <w:bookmarkEnd w:id="346"/>
      <w:bookmarkEnd w:id="347"/>
      <w:bookmarkEnd w:id="348"/>
      <w:bookmarkEnd w:id="349"/>
      <w:bookmarkEnd w:id="350"/>
      <w:bookmarkEnd w:id="351"/>
      <w:bookmarkEnd w:id="352"/>
      <w:bookmarkEnd w:id="353"/>
    </w:p>
    <w:p>
      <w:pPr>
        <w:keepNext w:val="0"/>
        <w:keepLines w:val="0"/>
        <w:widowControl/>
        <w:suppressLineNumbers w:val="0"/>
        <w:jc w:val="left"/>
      </w:pPr>
      <w:r>
        <w:rPr>
          <w:rFonts w:hint="eastAsia"/>
          <w:lang w:val="en-US" w:eastAsia="zh-CN"/>
        </w:rPr>
        <w:t>根据</w:t>
      </w:r>
      <w:r>
        <w:t>《环境影响评价技术导则—地下水环境》（HJ610-2016）</w:t>
      </w:r>
      <w:r>
        <w:rPr>
          <w:rFonts w:hint="eastAsia"/>
          <w:lang w:val="en-US" w:eastAsia="zh-CN"/>
        </w:rPr>
        <w:t>可知</w:t>
      </w:r>
      <w:r>
        <w:t>，</w:t>
      </w:r>
      <w:r>
        <w:rPr>
          <w:rFonts w:hint="eastAsia"/>
          <w:lang w:val="en-US" w:eastAsia="zh-CN"/>
        </w:rPr>
        <w:t>拟建项目属于“N</w:t>
      </w:r>
      <w:r>
        <w:rPr>
          <w:rFonts w:hint="eastAsia" w:ascii="Times New Roman" w:hAnsi="Times New Roman" w:eastAsia="宋体" w:cs="Times New Roman"/>
          <w:lang w:val="en-US" w:eastAsia="zh-CN"/>
        </w:rPr>
        <w:t>轻工/98、屠宰/年</w:t>
      </w:r>
      <w:r>
        <w:rPr>
          <w:rFonts w:hint="eastAsia"/>
          <w:lang w:val="en-US" w:eastAsia="zh-CN"/>
        </w:rPr>
        <w:t>屠宰10万头畜类（或100万只禽类）及以上/Ⅲ类”</w:t>
      </w:r>
      <w:r>
        <w:t>，项目周边附近含饮用水源地</w:t>
      </w:r>
      <w:r>
        <w:rPr>
          <w:rFonts w:hint="eastAsia"/>
        </w:rPr>
        <w:t>2</w:t>
      </w:r>
      <w:r>
        <w:t>处，</w:t>
      </w:r>
      <w:r>
        <w:rPr>
          <w:rFonts w:hint="eastAsia"/>
        </w:rPr>
        <w:t>分别为</w:t>
      </w:r>
      <w:r>
        <w:rPr>
          <w:rFonts w:hint="eastAsia"/>
          <w:lang w:val="en-US" w:eastAsia="zh-CN"/>
        </w:rPr>
        <w:t>甘州区滨河三水厂</w:t>
      </w:r>
      <w:r>
        <w:rPr>
          <w:rFonts w:hint="eastAsia"/>
        </w:rPr>
        <w:t>集中饮用水水源地和沙井镇一水厂集中饮用水水源地。按地下水流向（自东南向西北径流），拟建项目位于</w:t>
      </w:r>
      <w:r>
        <w:rPr>
          <w:rFonts w:hint="eastAsia"/>
          <w:lang w:val="en-US" w:eastAsia="zh-CN"/>
        </w:rPr>
        <w:t>甘州区滨河三水厂</w:t>
      </w:r>
      <w:r>
        <w:rPr>
          <w:rFonts w:hint="eastAsia"/>
        </w:rPr>
        <w:t>集中饮用水水源地保护区下游区域</w:t>
      </w:r>
      <w:r>
        <w:rPr>
          <w:rFonts w:hint="eastAsia"/>
          <w:lang w:eastAsia="zh-CN"/>
        </w:rPr>
        <w:t>（</w:t>
      </w:r>
      <w:r>
        <w:t>项目厂界</w:t>
      </w:r>
      <w:r>
        <w:rPr>
          <w:rFonts w:hint="eastAsia"/>
          <w:lang w:val="en-US" w:eastAsia="zh-CN"/>
        </w:rPr>
        <w:t>距滨河水源地</w:t>
      </w:r>
      <w:r>
        <w:t>二级保护区边界5.24km，距离其一级保护区边界5.72km</w:t>
      </w:r>
      <w:r>
        <w:rPr>
          <w:rFonts w:hint="eastAsia"/>
          <w:lang w:eastAsia="zh-CN"/>
        </w:rPr>
        <w:t>）</w:t>
      </w:r>
      <w:r>
        <w:rPr>
          <w:rFonts w:hint="eastAsia"/>
        </w:rPr>
        <w:t>，位于沙井镇一水厂集中饮用水水源地上游</w:t>
      </w:r>
      <w:r>
        <w:rPr>
          <w:rFonts w:hint="eastAsia"/>
          <w:lang w:eastAsia="zh-CN"/>
        </w:rPr>
        <w:t>（</w:t>
      </w:r>
      <w:r>
        <w:t>项目厂界距离沙井镇一水厂供水井二级保护区边界3.45km，距离其一级保护区边界4.17km</w:t>
      </w:r>
      <w:r>
        <w:rPr>
          <w:rFonts w:hint="eastAsia"/>
          <w:lang w:eastAsia="zh-CN"/>
        </w:rPr>
        <w:t>）</w:t>
      </w:r>
      <w:r>
        <w:t>，但均不在其保护区、准保护区</w:t>
      </w:r>
      <w:r>
        <w:rPr>
          <w:rFonts w:hint="eastAsia"/>
        </w:rPr>
        <w:t>范围内。由于拟建项目位于沙井镇一水厂供水</w:t>
      </w:r>
      <w:r>
        <w:t>径流补给区域内</w:t>
      </w:r>
      <w:r>
        <w:rPr>
          <w:rFonts w:hint="eastAsia"/>
        </w:rPr>
        <w:t>，所以地下水环境敏感程度属于较敏感。</w:t>
      </w:r>
      <w:r>
        <w:t>地下水评价等级确定如下：</w:t>
      </w:r>
    </w:p>
    <w:p>
      <w:pPr>
        <w:spacing w:line="240" w:lineRule="auto"/>
        <w:ind w:firstLine="482"/>
        <w:jc w:val="center"/>
        <w:rPr>
          <w:b/>
          <w:bCs/>
        </w:rPr>
      </w:pPr>
      <w:r>
        <w:rPr>
          <w:b/>
          <w:bCs/>
        </w:rPr>
        <w:t>表</w:t>
      </w:r>
      <w:r>
        <w:rPr>
          <w:rFonts w:hint="eastAsia"/>
          <w:b/>
          <w:bCs/>
          <w:lang w:val="en-US" w:eastAsia="zh-CN"/>
        </w:rPr>
        <w:t>1.23</w:t>
      </w:r>
      <w:r>
        <w:rPr>
          <w:b/>
          <w:bCs/>
        </w:rPr>
        <w:t xml:space="preserve">    地下水评价等级确定</w:t>
      </w:r>
    </w:p>
    <w:tbl>
      <w:tblPr>
        <w:tblStyle w:val="32"/>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Layout w:type="autofit"/>
        <w:tblCellMar>
          <w:top w:w="0" w:type="dxa"/>
          <w:left w:w="28" w:type="dxa"/>
          <w:bottom w:w="0" w:type="dxa"/>
          <w:right w:w="28" w:type="dxa"/>
        </w:tblCellMar>
      </w:tblPr>
      <w:tblGrid>
        <w:gridCol w:w="3071"/>
        <w:gridCol w:w="2445"/>
        <w:gridCol w:w="2233"/>
        <w:gridCol w:w="2049"/>
      </w:tblGrid>
      <w:tr>
        <w:tblPrEx>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CellMar>
            <w:top w:w="0" w:type="dxa"/>
            <w:left w:w="28" w:type="dxa"/>
            <w:bottom w:w="0" w:type="dxa"/>
            <w:right w:w="28" w:type="dxa"/>
          </w:tblCellMar>
        </w:tblPrEx>
        <w:trPr>
          <w:jc w:val="center"/>
        </w:trPr>
        <w:tc>
          <w:tcPr>
            <w:tcW w:w="156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1265" w:firstLineChars="600"/>
              <w:rPr>
                <w:b/>
                <w:bCs/>
                <w:sz w:val="21"/>
                <w:szCs w:val="21"/>
              </w:rPr>
            </w:pPr>
            <w:r>
              <w:rPr>
                <w:b/>
                <w:bCs/>
                <w:sz w:val="21"/>
                <w:szCs w:val="21"/>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19685</wp:posOffset>
                      </wp:positionV>
                      <wp:extent cx="1924050" cy="381635"/>
                      <wp:effectExtent l="635" t="4445" r="18415" b="13970"/>
                      <wp:wrapNone/>
                      <wp:docPr id="16" name="直接连接符 4"/>
                      <wp:cNvGraphicFramePr/>
                      <a:graphic xmlns:a="http://schemas.openxmlformats.org/drawingml/2006/main">
                        <a:graphicData uri="http://schemas.microsoft.com/office/word/2010/wordprocessingShape">
                          <wps:wsp>
                            <wps:cNvCnPr/>
                            <wps:spPr>
                              <a:xfrm>
                                <a:off x="1081405" y="5692775"/>
                                <a:ext cx="1924050" cy="381635"/>
                              </a:xfrm>
                              <a:prstGeom prst="line">
                                <a:avLst/>
                              </a:prstGeom>
                              <a:noFill/>
                              <a:ln w="3175" cap="flat" cmpd="sng" algn="ctr">
                                <a:solidFill>
                                  <a:srgbClr val="000000"/>
                                </a:solidFill>
                                <a:prstDash val="solid"/>
                                <a:miter lim="800000"/>
                              </a:ln>
                              <a:effectLst/>
                            </wps:spPr>
                            <wps:bodyPr/>
                          </wps:wsp>
                        </a:graphicData>
                      </a:graphic>
                    </wp:anchor>
                  </w:drawing>
                </mc:Choice>
                <mc:Fallback>
                  <w:pict>
                    <v:line id="直接连接符 4" o:spid="_x0000_s1026" o:spt="20" style="position:absolute;left:0pt;margin-left:-0.75pt;margin-top:1.55pt;height:30.05pt;width:151.5pt;z-index:251659264;mso-width-relative:page;mso-height-relative:page;" filled="f" stroked="t" coordsize="21600,21600" o:gfxdata="UEsDBAoAAAAAAIdO4kAAAAAAAAAAAAAAAAAEAAAAZHJzL1BLAwQUAAAACACHTuJA2beL+9MAAAAH&#10;AQAADwAAAGRycy9kb3ducmV2LnhtbE2OTW/CMBBE75X6H6xF6gWB86EimmaDUKXeS4o4m3gTR8Tr&#10;KDaQ/vuaU3sczejNK3ezHcSNJt87RkjXCQjixumeO4Tj9+dqC8IHxVoNjgnhhzzsquenUhXa3flA&#10;tzp0IkLYFwrBhDAWUvrGkFV+7Ubi2LVusirEOHVST+oe4XaQWZJspFU9xwejRvow1Fzqq0V4m7Oj&#10;+2rb5cns6572S7OtmwPiyyJN3kEEmsPfGB76UR2q6HR2V9ZeDAir9DUuEfIURKzz5JHPCJs8A1mV&#10;8r9/9QtQSwMEFAAAAAgAh07iQKxIUhX6AQAA0QMAAA4AAABkcnMvZTJvRG9jLnhtbK1TzW4TMRC+&#10;I/EOlu9kd9MmTVfZ9NCoXBBEAh7A8dq7lvwnj5tNXoIXQOIGJ47ceRvKYzD2hjYtlx7Yg3fGM/5m&#10;vs/j5dXeaLITAZSzDa0mJSXCctcq2zX044ebVwtKIDLbMu2saOhBAL1avXyxHHwtpq53uhWBIIiF&#10;evAN7WP0dVEA74VhMHFeWAxKFwyL6IauaAMbEN3oYlqW82JwofXBcQGAu+sxSI+I4TmATkrFxdrx&#10;WyNsHFGD0CwiJeiVB7rK3UopeHwnJYhIdEORacwrFkF7m9ZitWR1F5jvFT+2wJ7TwhNOhimLRe+h&#10;1iwychvUP1BG8eDAyTjhzhQjkawIsqjKJ9q875kXmQtKDf5edPh/sPztbhOIanES5pRYZvDG7z7/&#10;+PXp6++fX3C9+/6NnCeVBg81Jl/bTTh64DchUd7LYNIfyZA94pSL6rycUXJo6Gx+Ob24mI0qi30k&#10;PCVcTjGOF8Ax42xRzc9yQvGA5APE18IZkoyGamWTCqxmuzcQsTqm/k1J29bdKK3zTWpLBgStsCbh&#10;DKdT4lSgaTwyBNtRwnSHY89jyIjgtGrT6YQDodte60B2LA1L/lLnWO1RWiq9ZtCPeTk0EjQq4svQ&#10;yjR0cXpa24Qu8jQeCSQ1R/2StXXtIctaJA9vOhc9TmUapVMf7dOXuPo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2beL+9MAAAAHAQAADwAAAAAAAAABACAAAAAiAAAAZHJzL2Rvd25yZXYueG1sUEsB&#10;AhQAFAAAAAgAh07iQKxIUhX6AQAA0QMAAA4AAAAAAAAAAQAgAAAAIgEAAGRycy9lMm9Eb2MueG1s&#10;UEsFBgAAAAAGAAYAWQEAAI4FAAAAAA==&#10;">
                      <v:fill on="f" focussize="0,0"/>
                      <v:stroke weight="0.25pt" color="#000000" miterlimit="8" joinstyle="miter"/>
                      <v:imagedata o:title=""/>
                      <o:lock v:ext="edit" aspectratio="f"/>
                    </v:line>
                  </w:pict>
                </mc:Fallback>
              </mc:AlternateContent>
            </w:r>
            <w:r>
              <w:rPr>
                <w:b/>
                <w:bCs/>
                <w:sz w:val="21"/>
                <w:szCs w:val="21"/>
              </w:rPr>
              <w:t>项目类别</w:t>
            </w:r>
          </w:p>
          <w:p>
            <w:pPr>
              <w:spacing w:line="240" w:lineRule="auto"/>
              <w:ind w:firstLine="0" w:firstLineChars="0"/>
              <w:rPr>
                <w:b/>
                <w:bCs/>
                <w:sz w:val="21"/>
                <w:szCs w:val="21"/>
              </w:rPr>
            </w:pPr>
            <w:r>
              <w:rPr>
                <w:b/>
                <w:bCs/>
                <w:sz w:val="21"/>
                <w:szCs w:val="21"/>
              </w:rPr>
              <w:t>环境敏感程度</w:t>
            </w:r>
          </w:p>
        </w:tc>
        <w:tc>
          <w:tcPr>
            <w:tcW w:w="124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b/>
                <w:bCs/>
                <w:sz w:val="21"/>
                <w:szCs w:val="21"/>
              </w:rPr>
            </w:pPr>
            <w:r>
              <w:rPr>
                <w:b/>
                <w:bCs/>
                <w:sz w:val="21"/>
                <w:szCs w:val="21"/>
              </w:rPr>
              <w:t>Ⅰ类项目</w:t>
            </w:r>
          </w:p>
        </w:tc>
        <w:tc>
          <w:tcPr>
            <w:tcW w:w="113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b/>
                <w:bCs/>
                <w:sz w:val="21"/>
                <w:szCs w:val="21"/>
              </w:rPr>
            </w:pPr>
            <w:r>
              <w:rPr>
                <w:b/>
                <w:bCs/>
                <w:sz w:val="21"/>
                <w:szCs w:val="21"/>
              </w:rPr>
              <w:t>Ⅱ类项目</w:t>
            </w:r>
          </w:p>
        </w:tc>
        <w:tc>
          <w:tcPr>
            <w:tcW w:w="104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b/>
                <w:bCs/>
                <w:sz w:val="21"/>
                <w:szCs w:val="21"/>
              </w:rPr>
            </w:pPr>
            <w:r>
              <w:rPr>
                <w:b/>
                <w:bCs/>
                <w:sz w:val="21"/>
                <w:szCs w:val="21"/>
              </w:rPr>
              <w:t>Ⅲ类项目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CellMar>
            <w:top w:w="0" w:type="dxa"/>
            <w:left w:w="28" w:type="dxa"/>
            <w:bottom w:w="0" w:type="dxa"/>
            <w:right w:w="28" w:type="dxa"/>
          </w:tblCellMar>
        </w:tblPrEx>
        <w:trPr>
          <w:jc w:val="center"/>
        </w:trPr>
        <w:tc>
          <w:tcPr>
            <w:tcW w:w="156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敏感</w:t>
            </w:r>
          </w:p>
        </w:tc>
        <w:tc>
          <w:tcPr>
            <w:tcW w:w="124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一</w:t>
            </w:r>
          </w:p>
        </w:tc>
        <w:tc>
          <w:tcPr>
            <w:tcW w:w="113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一</w:t>
            </w:r>
          </w:p>
        </w:tc>
        <w:tc>
          <w:tcPr>
            <w:tcW w:w="104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二</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CellMar>
            <w:top w:w="0" w:type="dxa"/>
            <w:left w:w="28" w:type="dxa"/>
            <w:bottom w:w="0" w:type="dxa"/>
            <w:right w:w="28" w:type="dxa"/>
          </w:tblCellMar>
        </w:tblPrEx>
        <w:trPr>
          <w:jc w:val="center"/>
        </w:trPr>
        <w:tc>
          <w:tcPr>
            <w:tcW w:w="156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较敏感</w:t>
            </w:r>
          </w:p>
        </w:tc>
        <w:tc>
          <w:tcPr>
            <w:tcW w:w="124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一</w:t>
            </w:r>
          </w:p>
        </w:tc>
        <w:tc>
          <w:tcPr>
            <w:tcW w:w="113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二</w:t>
            </w:r>
          </w:p>
        </w:tc>
        <w:tc>
          <w:tcPr>
            <w:tcW w:w="104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2" w:space="0"/>
          </w:tblBorders>
          <w:tblCellMar>
            <w:top w:w="0" w:type="dxa"/>
            <w:left w:w="28" w:type="dxa"/>
            <w:bottom w:w="0" w:type="dxa"/>
            <w:right w:w="28" w:type="dxa"/>
          </w:tblCellMar>
        </w:tblPrEx>
        <w:trPr>
          <w:jc w:val="center"/>
        </w:trPr>
        <w:tc>
          <w:tcPr>
            <w:tcW w:w="156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不敏感</w:t>
            </w:r>
          </w:p>
        </w:tc>
        <w:tc>
          <w:tcPr>
            <w:tcW w:w="1247"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二</w:t>
            </w:r>
          </w:p>
        </w:tc>
        <w:tc>
          <w:tcPr>
            <w:tcW w:w="113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三</w:t>
            </w:r>
          </w:p>
        </w:tc>
        <w:tc>
          <w:tcPr>
            <w:tcW w:w="104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auto"/>
              <w:ind w:firstLine="0" w:firstLineChars="0"/>
              <w:jc w:val="center"/>
              <w:rPr>
                <w:sz w:val="21"/>
                <w:szCs w:val="21"/>
              </w:rPr>
            </w:pPr>
            <w:r>
              <w:rPr>
                <w:sz w:val="21"/>
                <w:szCs w:val="21"/>
              </w:rPr>
              <w:t>三</w:t>
            </w:r>
          </w:p>
        </w:tc>
      </w:tr>
    </w:tbl>
    <w:p>
      <w:pPr>
        <w:ind w:firstLine="480"/>
      </w:pPr>
      <w:r>
        <w:t>由</w:t>
      </w:r>
      <w:r>
        <w:rPr>
          <w:rFonts w:hint="eastAsia"/>
        </w:rPr>
        <w:t>上表</w:t>
      </w:r>
      <w:r>
        <w:t>可知，本项目地下水环境影响评价等级定为三级。</w:t>
      </w:r>
    </w:p>
    <w:p>
      <w:pPr>
        <w:pStyle w:val="7"/>
        <w:ind w:firstLine="482"/>
      </w:pPr>
      <w:bookmarkStart w:id="354" w:name="_Toc1250"/>
      <w:bookmarkStart w:id="355" w:name="_Toc9697"/>
      <w:bookmarkStart w:id="356" w:name="_Toc6472_WPSOffice_Level2"/>
      <w:bookmarkStart w:id="357" w:name="_Toc24892_WPSOffice_Level2"/>
      <w:r>
        <w:rPr>
          <w:rFonts w:hint="eastAsia"/>
        </w:rPr>
        <w:t>1.6.1.5、土壤环境影响评价等级</w:t>
      </w:r>
    </w:p>
    <w:p>
      <w:pPr>
        <w:ind w:firstLine="480"/>
      </w:pPr>
      <w:r>
        <w:t>依据《环境影响评价技术导则土壤环境（试行）》</w:t>
      </w:r>
      <w:r>
        <w:rPr>
          <w:rFonts w:hint="eastAsia"/>
        </w:rPr>
        <w:t>（</w:t>
      </w:r>
      <w:r>
        <w:t>HJ964-2018</w:t>
      </w:r>
      <w:r>
        <w:rPr>
          <w:rFonts w:hint="eastAsia"/>
        </w:rPr>
        <w:t>）</w:t>
      </w:r>
      <w:r>
        <w:t>中附录A土壤环境影响评价项目类别表可知，本项目土壤环境影响评价分类为</w:t>
      </w:r>
      <w:r>
        <w:rPr>
          <w:rFonts w:hint="eastAsia" w:ascii="宋体" w:hAnsi="宋体" w:eastAsia="宋体" w:cs="宋体"/>
        </w:rPr>
        <w:t>Ⅳ</w:t>
      </w:r>
      <w:r>
        <w:t>类</w:t>
      </w:r>
      <w:r>
        <w:rPr>
          <w:rFonts w:hint="eastAsia"/>
        </w:rPr>
        <w:t>，</w:t>
      </w:r>
      <w:r>
        <w:t>确定本项目</w:t>
      </w:r>
      <w:r>
        <w:rPr>
          <w:rFonts w:hint="eastAsia"/>
        </w:rPr>
        <w:t>可不开展土壤环境影响评价工作</w:t>
      </w:r>
      <w:r>
        <w:t>。判定依据见表</w:t>
      </w:r>
      <w:r>
        <w:rPr>
          <w:rFonts w:hint="eastAsia"/>
          <w:lang w:val="en-US" w:eastAsia="zh-CN"/>
        </w:rPr>
        <w:t>1.24</w:t>
      </w:r>
      <w:r>
        <w:t>。</w:t>
      </w:r>
    </w:p>
    <w:p>
      <w:pPr>
        <w:spacing w:line="240" w:lineRule="auto"/>
        <w:ind w:firstLine="482"/>
        <w:jc w:val="center"/>
        <w:rPr>
          <w:b/>
          <w:bCs/>
        </w:rPr>
      </w:pPr>
      <w:r>
        <w:rPr>
          <w:b/>
          <w:bCs/>
        </w:rPr>
        <w:t>表</w:t>
      </w:r>
      <w:r>
        <w:rPr>
          <w:rFonts w:hint="eastAsia"/>
          <w:b/>
          <w:bCs/>
          <w:lang w:val="en-US" w:eastAsia="zh-CN"/>
        </w:rPr>
        <w:t>1.24</w:t>
      </w:r>
      <w:r>
        <w:rPr>
          <w:b/>
          <w:bCs/>
        </w:rPr>
        <w:t xml:space="preserve">   土壤环境影响评价项目类别表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8"/>
        <w:gridCol w:w="2145"/>
        <w:gridCol w:w="1811"/>
        <w:gridCol w:w="1753"/>
        <w:gridCol w:w="2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行业类别</w:t>
            </w:r>
          </w:p>
        </w:tc>
        <w:tc>
          <w:tcPr>
            <w:tcW w:w="4021"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环评类别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pct"/>
            <w:vMerge w:val="continue"/>
            <w:tcBorders>
              <w:tl2br w:val="nil"/>
              <w:tr2bl w:val="nil"/>
            </w:tcBorders>
            <w:vAlign w:val="center"/>
          </w:tcPr>
          <w:p>
            <w:pPr>
              <w:spacing w:line="240" w:lineRule="auto"/>
              <w:ind w:firstLine="422"/>
              <w:jc w:val="center"/>
              <w:rPr>
                <w:b/>
                <w:bCs/>
                <w:sz w:val="21"/>
                <w:szCs w:val="21"/>
              </w:rPr>
            </w:pPr>
          </w:p>
        </w:tc>
        <w:tc>
          <w:tcPr>
            <w:tcW w:w="1077" w:type="pct"/>
            <w:tcBorders>
              <w:tl2br w:val="nil"/>
              <w:tr2bl w:val="nil"/>
            </w:tcBorders>
            <w:vAlign w:val="center"/>
          </w:tcPr>
          <w:p>
            <w:pPr>
              <w:spacing w:line="240" w:lineRule="auto"/>
              <w:ind w:firstLine="0" w:firstLineChars="0"/>
              <w:jc w:val="center"/>
              <w:rPr>
                <w:b/>
                <w:bCs/>
                <w:sz w:val="21"/>
                <w:szCs w:val="21"/>
              </w:rPr>
            </w:pPr>
            <w:r>
              <w:rPr>
                <w:b/>
                <w:bCs/>
                <w:sz w:val="21"/>
                <w:szCs w:val="21"/>
              </w:rPr>
              <w:t>Ⅰ类</w:t>
            </w:r>
          </w:p>
        </w:tc>
        <w:tc>
          <w:tcPr>
            <w:tcW w:w="909" w:type="pct"/>
            <w:tcBorders>
              <w:tl2br w:val="nil"/>
              <w:tr2bl w:val="nil"/>
            </w:tcBorders>
            <w:vAlign w:val="center"/>
          </w:tcPr>
          <w:p>
            <w:pPr>
              <w:spacing w:line="240" w:lineRule="auto"/>
              <w:ind w:firstLine="0" w:firstLineChars="0"/>
              <w:jc w:val="center"/>
              <w:rPr>
                <w:b/>
                <w:bCs/>
                <w:sz w:val="21"/>
                <w:szCs w:val="21"/>
              </w:rPr>
            </w:pPr>
            <w:r>
              <w:rPr>
                <w:b/>
                <w:bCs/>
                <w:sz w:val="21"/>
                <w:szCs w:val="21"/>
              </w:rPr>
              <w:t>Ⅱ类</w:t>
            </w:r>
          </w:p>
        </w:tc>
        <w:tc>
          <w:tcPr>
            <w:tcW w:w="880" w:type="pct"/>
            <w:tcBorders>
              <w:tl2br w:val="nil"/>
              <w:tr2bl w:val="nil"/>
            </w:tcBorders>
            <w:vAlign w:val="center"/>
          </w:tcPr>
          <w:p>
            <w:pPr>
              <w:spacing w:line="240" w:lineRule="auto"/>
              <w:ind w:firstLine="0" w:firstLineChars="0"/>
              <w:jc w:val="center"/>
              <w:rPr>
                <w:b/>
                <w:bCs/>
                <w:sz w:val="21"/>
                <w:szCs w:val="21"/>
              </w:rPr>
            </w:pPr>
            <w:r>
              <w:rPr>
                <w:b/>
                <w:bCs/>
                <w:sz w:val="21"/>
                <w:szCs w:val="21"/>
              </w:rPr>
              <w:t>Ⅲ类</w:t>
            </w:r>
          </w:p>
        </w:tc>
        <w:tc>
          <w:tcPr>
            <w:tcW w:w="1153" w:type="pct"/>
            <w:tcBorders>
              <w:tl2br w:val="nil"/>
              <w:tr2bl w:val="nil"/>
            </w:tcBorders>
            <w:vAlign w:val="center"/>
          </w:tcPr>
          <w:p>
            <w:pPr>
              <w:spacing w:line="240" w:lineRule="auto"/>
              <w:ind w:firstLine="0" w:firstLineChars="0"/>
              <w:jc w:val="center"/>
              <w:rPr>
                <w:b/>
                <w:bCs/>
                <w:sz w:val="21"/>
                <w:szCs w:val="21"/>
              </w:rPr>
            </w:pPr>
            <w:r>
              <w:rPr>
                <w:b/>
                <w:bCs/>
                <w:sz w:val="21"/>
                <w:szCs w:val="21"/>
              </w:rPr>
              <w:t>Ⅳ类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pct"/>
            <w:tcBorders>
              <w:tl2br w:val="nil"/>
              <w:tr2bl w:val="nil"/>
            </w:tcBorders>
            <w:vAlign w:val="center"/>
          </w:tcPr>
          <w:p>
            <w:pPr>
              <w:spacing w:line="240" w:lineRule="auto"/>
              <w:ind w:firstLine="0" w:firstLineChars="0"/>
              <w:jc w:val="center"/>
              <w:rPr>
                <w:sz w:val="21"/>
                <w:szCs w:val="21"/>
              </w:rPr>
            </w:pPr>
            <w:r>
              <w:rPr>
                <w:sz w:val="21"/>
                <w:szCs w:val="21"/>
              </w:rPr>
              <w:t>其他行业</w:t>
            </w:r>
          </w:p>
        </w:tc>
        <w:tc>
          <w:tcPr>
            <w:tcW w:w="1077"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909"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880"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153" w:type="pct"/>
            <w:tcBorders>
              <w:tl2br w:val="nil"/>
              <w:tr2bl w:val="nil"/>
            </w:tcBorders>
            <w:vAlign w:val="center"/>
          </w:tcPr>
          <w:p>
            <w:pPr>
              <w:spacing w:line="240" w:lineRule="auto"/>
              <w:ind w:firstLine="0" w:firstLineChars="0"/>
              <w:jc w:val="center"/>
              <w:rPr>
                <w:sz w:val="21"/>
                <w:szCs w:val="21"/>
              </w:rPr>
            </w:pPr>
            <w:r>
              <w:rPr>
                <w:sz w:val="21"/>
                <w:szCs w:val="21"/>
              </w:rPr>
              <w:t>全部</w:t>
            </w:r>
          </w:p>
        </w:tc>
      </w:tr>
    </w:tbl>
    <w:p>
      <w:pPr>
        <w:pStyle w:val="7"/>
        <w:ind w:firstLine="482"/>
      </w:pPr>
      <w:r>
        <w:rPr>
          <w:rFonts w:hint="eastAsia"/>
        </w:rPr>
        <w:t>1.6.1.6、生态环境影响评价等级</w:t>
      </w:r>
    </w:p>
    <w:p>
      <w:pPr>
        <w:ind w:firstLine="480"/>
        <w:rPr>
          <w:rFonts w:hint="default"/>
          <w:lang w:val="en-US" w:eastAsia="zh-CN"/>
        </w:rPr>
      </w:pPr>
      <w:r>
        <w:t>根据《环境影响评价技术导则 生态影响》（HJ19—2022）</w:t>
      </w:r>
      <w:r>
        <w:rPr>
          <w:rFonts w:hint="eastAsia"/>
        </w:rPr>
        <w:t>中的的要求，按以下原则确定评价等级</w:t>
      </w:r>
      <w:r>
        <w:rPr>
          <w:rFonts w:hint="eastAsia"/>
          <w:lang w:eastAsia="zh-CN"/>
        </w:rPr>
        <w:t>，</w:t>
      </w:r>
      <w:r>
        <w:rPr>
          <w:rFonts w:hint="eastAsia"/>
          <w:lang w:val="en-US" w:eastAsia="zh-CN"/>
        </w:rPr>
        <w:t>具体情况详见下表。</w:t>
      </w:r>
    </w:p>
    <w:p>
      <w:pPr>
        <w:bidi w:val="0"/>
        <w:spacing w:line="240" w:lineRule="auto"/>
        <w:jc w:val="center"/>
        <w:rPr>
          <w:rFonts w:hint="default"/>
          <w:b/>
          <w:bCs/>
          <w:lang w:val="en-US" w:eastAsia="zh-CN"/>
        </w:rPr>
      </w:pPr>
      <w:r>
        <w:rPr>
          <w:rFonts w:hint="default"/>
          <w:b/>
          <w:bCs/>
          <w:lang w:val="en-US" w:eastAsia="zh-CN"/>
        </w:rPr>
        <w:t>表</w:t>
      </w:r>
      <w:r>
        <w:rPr>
          <w:rFonts w:hint="eastAsia"/>
          <w:b/>
          <w:bCs/>
          <w:lang w:val="en-US" w:eastAsia="zh-CN"/>
        </w:rPr>
        <w:t xml:space="preserve">1.25    </w:t>
      </w:r>
      <w:r>
        <w:rPr>
          <w:rFonts w:hint="default"/>
          <w:b/>
          <w:bCs/>
        </w:rPr>
        <w:t>生态环境评价等级</w:t>
      </w:r>
      <w:r>
        <w:rPr>
          <w:rFonts w:hint="default"/>
          <w:b/>
          <w:bCs/>
          <w:lang w:val="en-US" w:eastAsia="zh-CN"/>
        </w:rPr>
        <w:t>确定一览表</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4414"/>
        <w:gridCol w:w="3703"/>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序号</w:t>
            </w:r>
          </w:p>
        </w:tc>
        <w:tc>
          <w:tcPr>
            <w:tcW w:w="221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等级判定内容</w:t>
            </w:r>
          </w:p>
        </w:tc>
        <w:tc>
          <w:tcPr>
            <w:tcW w:w="186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本项目建设内容</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a）涉及国家公园、自然保护区、世界自然遗产、重要生境时，评价等级为一级；</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本项目位于张掖市甘州区巴吉滩农产品产业园</w:t>
            </w:r>
            <w:r>
              <w:rPr>
                <w:rFonts w:hint="eastAsia" w:ascii="Times New Roman" w:hAnsi="Times New Roman" w:eastAsia="宋体" w:cs="Times New Roman"/>
                <w:sz w:val="21"/>
                <w:szCs w:val="21"/>
                <w:lang w:val="en-US" w:eastAsia="zh-CN"/>
              </w:rPr>
              <w:t>张掖市沅博农牧产业开发有限公司</w:t>
            </w:r>
            <w:r>
              <w:rPr>
                <w:rFonts w:hint="default" w:ascii="Times New Roman" w:hAnsi="Times New Roman" w:eastAsia="宋体" w:cs="Times New Roman"/>
                <w:sz w:val="21"/>
                <w:szCs w:val="21"/>
                <w:lang w:val="en-US" w:eastAsia="zh-CN"/>
              </w:rPr>
              <w:t>院内，不涉及国家公园、自然保护区、世界自然遗产、重要生境</w:t>
            </w:r>
            <w:r>
              <w:rPr>
                <w:rFonts w:hint="eastAsia" w:cs="Times New Roman"/>
                <w:sz w:val="21"/>
                <w:szCs w:val="21"/>
                <w:lang w:val="en-US" w:eastAsia="zh-CN"/>
              </w:rPr>
              <w:t>。</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b）涉及自然公园时，评价等级为二级；</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本项目不涉及自然公园</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c）涉及生态保护红线时，评价等级不低于二级；</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本项目不涉及生态保护红线</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d）根据HJ2.3判断属于水文要素影响型且地表水评价等级不低于二级的建设项目，生态影响评价等级不低于二级；</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本项目为污染影响型，项目地表水评价等级为三级B</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e）根据HJ610、HJ964判断地下水水位或土壤影响范围内分布有天然林、公益林、湿地等生态保护目标的建设项目，生态影响评价等级不低于二级；</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本项目不涉及天然林、公益林、湿地等生态保护目标</w:t>
            </w:r>
            <w:r>
              <w:rPr>
                <w:rFonts w:hint="eastAsia" w:cs="Times New Roman"/>
                <w:sz w:val="21"/>
                <w:szCs w:val="21"/>
                <w:lang w:val="en-US" w:eastAsia="zh-CN"/>
              </w:rPr>
              <w:t>。</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f）当工程占地规模大于20km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 xml:space="preserve">时（包括永久和临时占用陆域和水域），评价等级不低于二级；改扩建项目的占地范围以新增占地（包括陆域和水域）确定； </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位于</w:t>
            </w:r>
            <w:r>
              <w:rPr>
                <w:rFonts w:hint="eastAsia" w:cs="Times New Roman"/>
                <w:sz w:val="21"/>
                <w:szCs w:val="21"/>
                <w:lang w:val="en-US" w:eastAsia="zh-CN"/>
              </w:rPr>
              <w:t>张掖市甘州区巴吉滩农产品产业园</w:t>
            </w:r>
            <w:r>
              <w:rPr>
                <w:rFonts w:hint="default" w:ascii="Times New Roman" w:hAnsi="Times New Roman" w:eastAsia="宋体" w:cs="Times New Roman"/>
                <w:sz w:val="21"/>
                <w:szCs w:val="21"/>
                <w:lang w:val="en-US" w:eastAsia="zh-CN"/>
              </w:rPr>
              <w:t>张掖市沅博农牧产业开发有限公司院内</w:t>
            </w:r>
            <w:r>
              <w:rPr>
                <w:rFonts w:hint="eastAsia" w:ascii="Times New Roman" w:hAnsi="Times New Roman" w:eastAsia="宋体" w:cs="Times New Roman"/>
                <w:sz w:val="21"/>
                <w:szCs w:val="21"/>
                <w:lang w:val="en-US" w:eastAsia="zh-CN"/>
              </w:rPr>
              <w:t>，不新增占地，且项目占地面积</w:t>
            </w:r>
            <w:r>
              <w:rPr>
                <w:rFonts w:hint="eastAsia" w:cs="Times New Roman"/>
                <w:sz w:val="21"/>
                <w:szCs w:val="21"/>
                <w:lang w:val="en-US" w:eastAsia="zh-CN"/>
              </w:rPr>
              <w:t>小于</w:t>
            </w:r>
            <w:r>
              <w:rPr>
                <w:rFonts w:hint="default" w:ascii="Times New Roman" w:hAnsi="Times New Roman" w:eastAsia="宋体" w:cs="Times New Roman"/>
                <w:sz w:val="21"/>
                <w:szCs w:val="21"/>
                <w:lang w:val="en-US" w:eastAsia="zh-CN"/>
              </w:rPr>
              <w:t>20km</w:t>
            </w:r>
            <w:r>
              <w:rPr>
                <w:rFonts w:hint="default" w:ascii="Times New Roman" w:hAnsi="Times New Roman" w:eastAsia="宋体" w:cs="Times New Roman"/>
                <w:sz w:val="21"/>
                <w:szCs w:val="21"/>
                <w:vertAlign w:val="superscript"/>
                <w:lang w:val="en-US" w:eastAsia="zh-CN"/>
              </w:rPr>
              <w:t>2</w:t>
            </w:r>
            <w:r>
              <w:rPr>
                <w:rFonts w:hint="eastAsia" w:cs="Times New Roman"/>
                <w:sz w:val="21"/>
                <w:szCs w:val="21"/>
                <w:vertAlign w:val="baseline"/>
                <w:lang w:val="en-US" w:eastAsia="zh-CN"/>
              </w:rPr>
              <w:t>。</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2217"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除本条a）、b）、c）、d）、e）、f）以外的情况，评价等级为三级；</w:t>
            </w:r>
          </w:p>
        </w:tc>
        <w:tc>
          <w:tcPr>
            <w:tcW w:w="1860" w:type="pc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本项目属于a）、b）、c）、d）、e）、f）以外的情况，故评价等级为三级</w:t>
            </w:r>
          </w:p>
        </w:tc>
        <w:tc>
          <w:tcPr>
            <w:tcW w:w="5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三级</w:t>
            </w:r>
          </w:p>
        </w:tc>
      </w:tr>
    </w:tbl>
    <w:p>
      <w:pPr>
        <w:bidi w:val="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由上表可知，</w:t>
      </w:r>
      <w:r>
        <w:rPr>
          <w:rFonts w:hint="eastAsia" w:ascii="Times New Roman" w:hAnsi="Times New Roman" w:cs="Times New Roman"/>
          <w:color w:val="auto"/>
          <w:lang w:val="en-US" w:eastAsia="zh-CN"/>
        </w:rPr>
        <w:t>本项目属于</w:t>
      </w:r>
      <w:r>
        <w:rPr>
          <w:rFonts w:hint="default" w:ascii="Times New Roman" w:hAnsi="Times New Roman" w:cs="Times New Roman"/>
          <w:color w:val="auto"/>
          <w:lang w:val="en-US" w:eastAsia="zh-CN"/>
        </w:rPr>
        <w:t>a）、b）、c）、d）、e）、f）以外的情况</w:t>
      </w:r>
      <w:r>
        <w:rPr>
          <w:rFonts w:hint="eastAsia" w:cs="Times New Roman"/>
          <w:color w:val="auto"/>
          <w:lang w:val="en-US" w:eastAsia="zh-CN"/>
        </w:rPr>
        <w:t>，故评价等级为三级。</w:t>
      </w:r>
    </w:p>
    <w:p>
      <w:pPr>
        <w:pStyle w:val="7"/>
        <w:ind w:firstLine="482"/>
      </w:pPr>
      <w:r>
        <w:rPr>
          <w:rFonts w:hint="eastAsia"/>
        </w:rPr>
        <w:t>1.6.1.7、环境风险评价等级</w:t>
      </w:r>
    </w:p>
    <w:p>
      <w:pPr>
        <w:ind w:firstLine="480"/>
      </w:pPr>
      <w:r>
        <w:t>根据《建设项目环境风险评价技术导则》（HJ169-2018），本项目Q＜1，则本项目环境风险潜势为Ⅰ。因此，确定本项目环境风险评价工作等级为简单分析。建设项目环境风险评价工作等级划分依据详见表</w:t>
      </w:r>
      <w:r>
        <w:rPr>
          <w:rFonts w:hint="eastAsia"/>
          <w:lang w:val="en-US" w:eastAsia="zh-CN"/>
        </w:rPr>
        <w:t>1.26</w:t>
      </w:r>
      <w:r>
        <w:t>。</w:t>
      </w:r>
    </w:p>
    <w:p>
      <w:pPr>
        <w:spacing w:line="240" w:lineRule="auto"/>
        <w:ind w:firstLine="482"/>
        <w:jc w:val="center"/>
        <w:rPr>
          <w:b/>
          <w:bCs/>
        </w:rPr>
      </w:pPr>
      <w:r>
        <w:rPr>
          <w:b/>
          <w:bCs/>
        </w:rPr>
        <w:t>表</w:t>
      </w:r>
      <w:r>
        <w:rPr>
          <w:rFonts w:hint="eastAsia"/>
          <w:b/>
          <w:bCs/>
          <w:lang w:val="en-US" w:eastAsia="zh-CN"/>
        </w:rPr>
        <w:t>1.26</w:t>
      </w:r>
      <w:r>
        <w:rPr>
          <w:b/>
          <w:bCs/>
        </w:rPr>
        <w:t xml:space="preserve">    评价工作等级划分依据表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4"/>
        <w:gridCol w:w="1964"/>
        <w:gridCol w:w="1964"/>
        <w:gridCol w:w="1966"/>
        <w:gridCol w:w="1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pct"/>
            <w:tcBorders>
              <w:tl2br w:val="nil"/>
              <w:tr2bl w:val="nil"/>
            </w:tcBorders>
            <w:vAlign w:val="center"/>
          </w:tcPr>
          <w:p>
            <w:pPr>
              <w:spacing w:line="240" w:lineRule="auto"/>
              <w:ind w:firstLine="0" w:firstLineChars="0"/>
              <w:jc w:val="center"/>
              <w:rPr>
                <w:b/>
                <w:bCs/>
                <w:sz w:val="21"/>
                <w:szCs w:val="21"/>
              </w:rPr>
            </w:pPr>
            <w:r>
              <w:rPr>
                <w:b/>
                <w:bCs/>
                <w:sz w:val="21"/>
                <w:szCs w:val="21"/>
              </w:rPr>
              <w:t>环境风险潜势</w:t>
            </w:r>
          </w:p>
        </w:tc>
        <w:tc>
          <w:tcPr>
            <w:tcW w:w="985" w:type="pct"/>
            <w:tcBorders>
              <w:tl2br w:val="nil"/>
              <w:tr2bl w:val="nil"/>
            </w:tcBorders>
            <w:vAlign w:val="center"/>
          </w:tcPr>
          <w:p>
            <w:pPr>
              <w:spacing w:line="240" w:lineRule="auto"/>
              <w:ind w:firstLine="0" w:firstLineChars="0"/>
              <w:jc w:val="center"/>
              <w:rPr>
                <w:b/>
                <w:bCs/>
                <w:sz w:val="21"/>
                <w:szCs w:val="21"/>
              </w:rPr>
            </w:pPr>
            <w:r>
              <w:rPr>
                <w:b/>
                <w:bCs/>
                <w:sz w:val="21"/>
                <w:szCs w:val="21"/>
              </w:rPr>
              <w:t>Ⅳ、Ⅳ</w:t>
            </w:r>
            <w:r>
              <w:rPr>
                <w:b/>
                <w:bCs/>
                <w:sz w:val="21"/>
                <w:szCs w:val="21"/>
                <w:vertAlign w:val="superscript"/>
              </w:rPr>
              <w:t>+</w:t>
            </w:r>
          </w:p>
        </w:tc>
        <w:tc>
          <w:tcPr>
            <w:tcW w:w="985" w:type="pct"/>
            <w:tcBorders>
              <w:tl2br w:val="nil"/>
              <w:tr2bl w:val="nil"/>
            </w:tcBorders>
            <w:vAlign w:val="center"/>
          </w:tcPr>
          <w:p>
            <w:pPr>
              <w:spacing w:line="240" w:lineRule="auto"/>
              <w:ind w:firstLine="0" w:firstLineChars="0"/>
              <w:jc w:val="center"/>
              <w:rPr>
                <w:b/>
                <w:bCs/>
                <w:sz w:val="21"/>
                <w:szCs w:val="21"/>
              </w:rPr>
            </w:pPr>
            <w:r>
              <w:rPr>
                <w:b/>
                <w:bCs/>
                <w:sz w:val="21"/>
                <w:szCs w:val="21"/>
              </w:rPr>
              <w:t>Ⅲ</w:t>
            </w:r>
          </w:p>
        </w:tc>
        <w:tc>
          <w:tcPr>
            <w:tcW w:w="986" w:type="pct"/>
            <w:tcBorders>
              <w:tl2br w:val="nil"/>
              <w:tr2bl w:val="nil"/>
            </w:tcBorders>
            <w:vAlign w:val="center"/>
          </w:tcPr>
          <w:p>
            <w:pPr>
              <w:spacing w:line="240" w:lineRule="auto"/>
              <w:ind w:firstLine="0" w:firstLineChars="0"/>
              <w:jc w:val="center"/>
              <w:rPr>
                <w:b/>
                <w:bCs/>
                <w:sz w:val="21"/>
                <w:szCs w:val="21"/>
              </w:rPr>
            </w:pPr>
            <w:r>
              <w:rPr>
                <w:b/>
                <w:bCs/>
                <w:sz w:val="21"/>
                <w:szCs w:val="21"/>
              </w:rPr>
              <w:t>Ⅱ</w:t>
            </w:r>
          </w:p>
        </w:tc>
        <w:tc>
          <w:tcPr>
            <w:tcW w:w="980"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1" w:type="pct"/>
            <w:tcBorders>
              <w:tl2br w:val="nil"/>
              <w:tr2bl w:val="nil"/>
            </w:tcBorders>
            <w:vAlign w:val="center"/>
          </w:tcPr>
          <w:p>
            <w:pPr>
              <w:spacing w:line="240" w:lineRule="auto"/>
              <w:ind w:firstLine="0" w:firstLineChars="0"/>
              <w:jc w:val="center"/>
              <w:rPr>
                <w:sz w:val="21"/>
                <w:szCs w:val="21"/>
              </w:rPr>
            </w:pPr>
            <w:r>
              <w:rPr>
                <w:sz w:val="21"/>
                <w:szCs w:val="21"/>
              </w:rPr>
              <w:t>评价工作等级</w:t>
            </w:r>
          </w:p>
        </w:tc>
        <w:tc>
          <w:tcPr>
            <w:tcW w:w="985" w:type="pct"/>
            <w:tcBorders>
              <w:tl2br w:val="nil"/>
              <w:tr2bl w:val="nil"/>
            </w:tcBorders>
            <w:vAlign w:val="center"/>
          </w:tcPr>
          <w:p>
            <w:pPr>
              <w:spacing w:line="240" w:lineRule="auto"/>
              <w:ind w:firstLine="0" w:firstLineChars="0"/>
              <w:jc w:val="center"/>
              <w:rPr>
                <w:sz w:val="21"/>
                <w:szCs w:val="21"/>
              </w:rPr>
            </w:pPr>
            <w:r>
              <w:rPr>
                <w:sz w:val="21"/>
                <w:szCs w:val="21"/>
              </w:rPr>
              <w:t>一</w:t>
            </w:r>
          </w:p>
        </w:tc>
        <w:tc>
          <w:tcPr>
            <w:tcW w:w="985" w:type="pct"/>
            <w:tcBorders>
              <w:tl2br w:val="nil"/>
              <w:tr2bl w:val="nil"/>
            </w:tcBorders>
            <w:vAlign w:val="center"/>
          </w:tcPr>
          <w:p>
            <w:pPr>
              <w:spacing w:line="240" w:lineRule="auto"/>
              <w:ind w:firstLine="0" w:firstLineChars="0"/>
              <w:jc w:val="center"/>
              <w:rPr>
                <w:sz w:val="21"/>
                <w:szCs w:val="21"/>
              </w:rPr>
            </w:pPr>
            <w:r>
              <w:rPr>
                <w:sz w:val="21"/>
                <w:szCs w:val="21"/>
              </w:rPr>
              <w:t>二</w:t>
            </w:r>
          </w:p>
        </w:tc>
        <w:tc>
          <w:tcPr>
            <w:tcW w:w="986" w:type="pct"/>
            <w:tcBorders>
              <w:tl2br w:val="nil"/>
              <w:tr2bl w:val="nil"/>
            </w:tcBorders>
            <w:vAlign w:val="center"/>
          </w:tcPr>
          <w:p>
            <w:pPr>
              <w:spacing w:line="240" w:lineRule="auto"/>
              <w:ind w:firstLine="0" w:firstLineChars="0"/>
              <w:jc w:val="center"/>
              <w:rPr>
                <w:sz w:val="21"/>
                <w:szCs w:val="21"/>
              </w:rPr>
            </w:pPr>
            <w:r>
              <w:rPr>
                <w:sz w:val="21"/>
                <w:szCs w:val="21"/>
              </w:rPr>
              <w:t>三</w:t>
            </w:r>
          </w:p>
        </w:tc>
        <w:tc>
          <w:tcPr>
            <w:tcW w:w="980" w:type="pct"/>
            <w:tcBorders>
              <w:tl2br w:val="nil"/>
              <w:tr2bl w:val="nil"/>
            </w:tcBorders>
            <w:shd w:val="clear" w:color="auto" w:fill="auto"/>
            <w:vAlign w:val="center"/>
          </w:tcPr>
          <w:p>
            <w:pPr>
              <w:spacing w:line="240" w:lineRule="auto"/>
              <w:ind w:firstLine="0" w:firstLineChars="0"/>
              <w:jc w:val="center"/>
              <w:rPr>
                <w:sz w:val="21"/>
                <w:szCs w:val="21"/>
              </w:rPr>
            </w:pPr>
            <w:r>
              <w:rPr>
                <w:sz w:val="21"/>
                <w:szCs w:val="21"/>
              </w:rPr>
              <w:t>简单分析a</w:t>
            </w:r>
          </w:p>
        </w:tc>
      </w:tr>
    </w:tbl>
    <w:p>
      <w:pPr>
        <w:pStyle w:val="6"/>
        <w:ind w:firstLine="482"/>
      </w:pPr>
      <w:r>
        <w:t>1.6.2</w:t>
      </w:r>
      <w:r>
        <w:rPr>
          <w:rFonts w:hint="eastAsia"/>
        </w:rPr>
        <w:t>、</w:t>
      </w:r>
      <w:r>
        <w:t>评价范围</w:t>
      </w:r>
      <w:bookmarkEnd w:id="354"/>
      <w:bookmarkEnd w:id="355"/>
      <w:bookmarkEnd w:id="356"/>
      <w:bookmarkEnd w:id="357"/>
    </w:p>
    <w:p>
      <w:pPr>
        <w:pStyle w:val="7"/>
        <w:ind w:firstLine="482"/>
      </w:pPr>
      <w:bookmarkStart w:id="358" w:name="_Toc7528_WPSOffice_Level3"/>
      <w:bookmarkStart w:id="359" w:name="_Toc26319_WPSOffice_Level3"/>
      <w:bookmarkStart w:id="360" w:name="_Toc30591_WPSOffice_Level3"/>
      <w:bookmarkStart w:id="361" w:name="_Toc29491_WPSOffice_Level3"/>
      <w:bookmarkStart w:id="362" w:name="_Toc2111_WPSOffice_Level3"/>
      <w:bookmarkStart w:id="363" w:name="_Toc7053_WPSOffice_Level3"/>
      <w:bookmarkStart w:id="364" w:name="_Toc1746_WPSOffice_Level3"/>
      <w:bookmarkStart w:id="365" w:name="_Toc11493_WPSOffice_Level3"/>
      <w:r>
        <w:t>1.6.2.1</w:t>
      </w:r>
      <w:r>
        <w:rPr>
          <w:rFonts w:hint="eastAsia"/>
        </w:rPr>
        <w:t>、</w:t>
      </w:r>
      <w:r>
        <w:t>大气评价范围</w:t>
      </w:r>
      <w:bookmarkEnd w:id="358"/>
      <w:bookmarkEnd w:id="359"/>
      <w:bookmarkEnd w:id="360"/>
      <w:bookmarkEnd w:id="361"/>
      <w:bookmarkEnd w:id="362"/>
      <w:bookmarkEnd w:id="363"/>
      <w:bookmarkEnd w:id="364"/>
      <w:bookmarkEnd w:id="365"/>
    </w:p>
    <w:p>
      <w:pPr>
        <w:ind w:firstLine="480"/>
      </w:pPr>
      <w:r>
        <w:t>根据《环境影响评价技术导则 大气环境》（HJ2.2-20</w:t>
      </w:r>
      <w:r>
        <w:rPr>
          <w:rFonts w:hint="eastAsia"/>
        </w:rPr>
        <w:t>18</w:t>
      </w:r>
      <w:r>
        <w:t>）中有关规定，结合项目所在地区自身情况及评价等级，确定本次环境空气评价范围</w:t>
      </w:r>
      <w:r>
        <w:rPr>
          <w:rFonts w:hint="eastAsia"/>
        </w:rPr>
        <w:t>为总厂区厂界外扩2.5km形成的区域</w:t>
      </w:r>
      <w:r>
        <w:t>，环境空气具体评价范围见</w:t>
      </w:r>
      <w:r>
        <w:rPr>
          <w:rFonts w:hint="eastAsia"/>
        </w:rPr>
        <w:t>附图3</w:t>
      </w:r>
      <w:r>
        <w:t>。</w:t>
      </w:r>
    </w:p>
    <w:p>
      <w:pPr>
        <w:pStyle w:val="7"/>
        <w:ind w:firstLine="482"/>
      </w:pPr>
      <w:bookmarkStart w:id="366" w:name="_Toc6822_WPSOffice_Level3"/>
      <w:bookmarkStart w:id="367" w:name="_Toc329_WPSOffice_Level3"/>
      <w:bookmarkStart w:id="368" w:name="_Toc10851_WPSOffice_Level3"/>
      <w:bookmarkStart w:id="369" w:name="_Toc31438_WPSOffice_Level3"/>
      <w:bookmarkStart w:id="370" w:name="_Toc26535_WPSOffice_Level3"/>
      <w:bookmarkStart w:id="371" w:name="_Toc21554_WPSOffice_Level3"/>
      <w:bookmarkStart w:id="372" w:name="_Toc6764_WPSOffice_Level3"/>
      <w:bookmarkStart w:id="373" w:name="_Toc14652_WPSOffice_Level3"/>
      <w:r>
        <w:t>1.6.2.2</w:t>
      </w:r>
      <w:r>
        <w:rPr>
          <w:rFonts w:hint="eastAsia"/>
        </w:rPr>
        <w:t>、</w:t>
      </w:r>
      <w:r>
        <w:t>声环境评价范围</w:t>
      </w:r>
      <w:bookmarkEnd w:id="366"/>
      <w:bookmarkEnd w:id="367"/>
      <w:bookmarkEnd w:id="368"/>
      <w:bookmarkEnd w:id="369"/>
      <w:bookmarkEnd w:id="370"/>
      <w:bookmarkEnd w:id="371"/>
      <w:bookmarkEnd w:id="372"/>
      <w:bookmarkEnd w:id="373"/>
    </w:p>
    <w:p>
      <w:pPr>
        <w:ind w:firstLine="480"/>
      </w:pPr>
      <w:r>
        <w:t>根据《环境影响评价技术导则</w:t>
      </w:r>
      <w:r>
        <w:rPr>
          <w:rFonts w:hint="eastAsia"/>
        </w:rPr>
        <w:t xml:space="preserve"> </w:t>
      </w:r>
      <w:r>
        <w:t>声环境》（HJ2.4-</w:t>
      </w:r>
      <w:r>
        <w:rPr>
          <w:rFonts w:hint="eastAsia"/>
        </w:rPr>
        <w:t>2021</w:t>
      </w:r>
      <w:r>
        <w:t>），确定噪声评价范围为</w:t>
      </w:r>
      <w:r>
        <w:rPr>
          <w:rFonts w:hint="eastAsia"/>
        </w:rPr>
        <w:t>项目总厂区边界外扩</w:t>
      </w:r>
      <w:r>
        <w:t>200m</w:t>
      </w:r>
      <w:r>
        <w:rPr>
          <w:rFonts w:hint="eastAsia"/>
        </w:rPr>
        <w:t>形成的区域</w:t>
      </w:r>
      <w:r>
        <w:t>，噪声评价范围见</w:t>
      </w:r>
      <w:r>
        <w:rPr>
          <w:rFonts w:hint="eastAsia"/>
        </w:rPr>
        <w:t>附图4</w:t>
      </w:r>
      <w:r>
        <w:t>。</w:t>
      </w:r>
    </w:p>
    <w:p>
      <w:pPr>
        <w:pStyle w:val="7"/>
        <w:ind w:firstLine="482"/>
      </w:pPr>
      <w:bookmarkStart w:id="374" w:name="_Toc20209_WPSOffice_Level3"/>
      <w:bookmarkStart w:id="375" w:name="_Toc10250_WPSOffice_Level3"/>
      <w:bookmarkStart w:id="376" w:name="_Toc9452_WPSOffice_Level3"/>
      <w:bookmarkStart w:id="377" w:name="_Toc8952_WPSOffice_Level3"/>
      <w:bookmarkStart w:id="378" w:name="_Toc15364_WPSOffice_Level3"/>
      <w:bookmarkStart w:id="379" w:name="_Toc839_WPSOffice_Level3"/>
      <w:bookmarkStart w:id="380" w:name="_Toc22091_WPSOffice_Level3"/>
      <w:bookmarkStart w:id="381" w:name="_Toc27950_WPSOffice_Level3"/>
      <w:r>
        <w:t>1.6.2.3</w:t>
      </w:r>
      <w:r>
        <w:rPr>
          <w:rFonts w:hint="eastAsia"/>
        </w:rPr>
        <w:t>、</w:t>
      </w:r>
      <w:r>
        <w:t>地表水环境评价范围</w:t>
      </w:r>
      <w:bookmarkEnd w:id="374"/>
      <w:bookmarkEnd w:id="375"/>
      <w:bookmarkEnd w:id="376"/>
      <w:bookmarkEnd w:id="377"/>
      <w:bookmarkEnd w:id="378"/>
      <w:bookmarkEnd w:id="379"/>
      <w:bookmarkEnd w:id="380"/>
      <w:bookmarkEnd w:id="381"/>
    </w:p>
    <w:p>
      <w:pPr>
        <w:ind w:firstLine="480"/>
      </w:pPr>
      <w:r>
        <w:t>根据《环境影响评价技术导则</w:t>
      </w:r>
      <w:r>
        <w:rPr>
          <w:rFonts w:hint="eastAsia"/>
        </w:rPr>
        <w:t xml:space="preserve"> </w:t>
      </w:r>
      <w:r>
        <w:t>地</w:t>
      </w:r>
      <w:r>
        <w:rPr>
          <w:rFonts w:hint="eastAsia"/>
        </w:rPr>
        <w:t>表</w:t>
      </w:r>
      <w:r>
        <w:t>水环境》（HJ</w:t>
      </w:r>
      <w:r>
        <w:rPr>
          <w:rFonts w:hint="eastAsia"/>
        </w:rPr>
        <w:t>2.3</w:t>
      </w:r>
      <w:r>
        <w:t>-</w:t>
      </w:r>
      <w:r>
        <w:rPr>
          <w:rFonts w:hint="eastAsia"/>
        </w:rPr>
        <w:t>2018</w:t>
      </w:r>
      <w:r>
        <w:t>），</w:t>
      </w:r>
      <w:r>
        <w:rPr>
          <w:rFonts w:hint="eastAsia"/>
        </w:rPr>
        <w:t>本项目废水不外排，全部用于厂区饲草灌溉，地表水</w:t>
      </w:r>
      <w:r>
        <w:t>评价等级</w:t>
      </w:r>
      <w:r>
        <w:rPr>
          <w:rFonts w:hint="eastAsia"/>
        </w:rPr>
        <w:t>为三级B</w:t>
      </w:r>
      <w:r>
        <w:t>，不划定评价范围。</w:t>
      </w:r>
    </w:p>
    <w:p>
      <w:pPr>
        <w:pStyle w:val="7"/>
        <w:ind w:firstLine="482"/>
      </w:pPr>
      <w:bookmarkStart w:id="382" w:name="_Toc11194_WPSOffice_Level3"/>
      <w:bookmarkStart w:id="383" w:name="_Toc6723_WPSOffice_Level3"/>
      <w:bookmarkStart w:id="384" w:name="_Toc23812_WPSOffice_Level3"/>
      <w:bookmarkStart w:id="385" w:name="_Toc22342_WPSOffice_Level3"/>
      <w:bookmarkStart w:id="386" w:name="_Toc23099_WPSOffice_Level3"/>
      <w:bookmarkStart w:id="387" w:name="_Toc28505_WPSOffice_Level3"/>
      <w:bookmarkStart w:id="388" w:name="_Toc28806_WPSOffice_Level3"/>
      <w:bookmarkStart w:id="389" w:name="_Toc274_WPSOffice_Level3"/>
      <w:r>
        <w:t>1.6.2.4</w:t>
      </w:r>
      <w:r>
        <w:rPr>
          <w:rFonts w:hint="eastAsia"/>
        </w:rPr>
        <w:t>、</w:t>
      </w:r>
      <w:r>
        <w:t>地下水环境评价范围</w:t>
      </w:r>
      <w:bookmarkEnd w:id="382"/>
      <w:bookmarkEnd w:id="383"/>
      <w:bookmarkEnd w:id="384"/>
      <w:bookmarkEnd w:id="385"/>
      <w:bookmarkEnd w:id="386"/>
      <w:bookmarkEnd w:id="387"/>
      <w:bookmarkEnd w:id="388"/>
      <w:bookmarkEnd w:id="389"/>
    </w:p>
    <w:p>
      <w:pPr>
        <w:ind w:firstLine="480"/>
      </w:pPr>
      <w:r>
        <w:t>根据《环境影响评价技术导则 地下水环境》（HJ610-2016），地下水调查范围应包括与拟建项目相关的地下水环境保护目标，同时可足以说明地下水环境的现状、</w:t>
      </w:r>
      <w:r>
        <w:rPr>
          <w:rFonts w:hint="eastAsia"/>
        </w:rPr>
        <w:t>反映</w:t>
      </w:r>
      <w:r>
        <w:t>环境影响评价区域地下水基本流场特征，本项目地下水环境评价范围使用导则中的公式计算法确定，具体如下：</w:t>
      </w:r>
    </w:p>
    <w:p>
      <w:pPr>
        <w:ind w:firstLine="480"/>
        <w:jc w:val="center"/>
      </w:pPr>
      <w:bookmarkStart w:id="390" w:name="_Toc17618_WPSOffice_Level2"/>
      <w:bookmarkStart w:id="391" w:name="_Toc26416_WPSOffice_Level2"/>
      <w:bookmarkStart w:id="392" w:name="_Toc16042_WPSOffice_Level2"/>
      <w:bookmarkStart w:id="393" w:name="_Toc19895_WPSOffice_Level2"/>
      <w:bookmarkStart w:id="394" w:name="_Toc31852_WPSOffice_Level2"/>
      <w:bookmarkStart w:id="395" w:name="_Toc1336_WPSOffice_Level2"/>
      <w:r>
        <w:t>L=α×K×I×T/ne</w:t>
      </w:r>
      <w:bookmarkEnd w:id="390"/>
      <w:bookmarkEnd w:id="391"/>
      <w:bookmarkEnd w:id="392"/>
      <w:bookmarkEnd w:id="393"/>
      <w:bookmarkEnd w:id="394"/>
      <w:bookmarkEnd w:id="395"/>
    </w:p>
    <w:p>
      <w:pPr>
        <w:ind w:firstLine="480"/>
      </w:pPr>
      <w:r>
        <w:t>其中：L—下游迁移距离，m；</w:t>
      </w:r>
    </w:p>
    <w:p>
      <w:pPr>
        <w:ind w:firstLine="480"/>
      </w:pPr>
      <w:r>
        <w:t>α—变化系数，</w:t>
      </w:r>
      <w:r>
        <w:rPr>
          <w:color w:val="auto"/>
          <w:szCs w:val="22"/>
        </w:rPr>
        <w:t>本次评价取2</w:t>
      </w:r>
      <w:r>
        <w:t>；</w:t>
      </w:r>
    </w:p>
    <w:p>
      <w:pPr>
        <w:ind w:firstLine="480"/>
      </w:pPr>
      <w:r>
        <w:t>K—渗透系数，m/d（</w:t>
      </w:r>
      <w:r>
        <w:rPr>
          <w:rFonts w:hint="eastAsia"/>
        </w:rPr>
        <w:t>主要以细砂、中砂为主，取25</w:t>
      </w:r>
      <w:r>
        <w:t>m/d）；</w:t>
      </w:r>
    </w:p>
    <w:p>
      <w:pPr>
        <w:ind w:firstLine="480"/>
      </w:pPr>
      <w:r>
        <w:t>I—水力坡度，无量纲</w:t>
      </w:r>
      <w:r>
        <w:rPr>
          <w:rFonts w:hint="eastAsia"/>
          <w:lang w:eastAsia="zh-CN"/>
        </w:rPr>
        <w:t>，</w:t>
      </w:r>
      <w:r>
        <w:rPr>
          <w:color w:val="auto"/>
          <w:szCs w:val="22"/>
        </w:rPr>
        <w:t>本项目所在地的水力坡度为</w:t>
      </w:r>
      <w:r>
        <w:rPr>
          <w:rFonts w:hint="eastAsia"/>
          <w:lang w:val="en-US" w:eastAsia="zh-CN"/>
        </w:rPr>
        <w:t>0.3%</w:t>
      </w:r>
      <w:r>
        <w:t>；</w:t>
      </w:r>
    </w:p>
    <w:p>
      <w:pPr>
        <w:ind w:firstLine="480"/>
      </w:pPr>
      <w:r>
        <w:t>T—质点迁移天数，取值≥5000d，本项目取值</w:t>
      </w:r>
      <w:r>
        <w:rPr>
          <w:rFonts w:hint="eastAsia"/>
        </w:rPr>
        <w:t>5</w:t>
      </w:r>
      <w:r>
        <w:t>000d；</w:t>
      </w:r>
    </w:p>
    <w:p>
      <w:pPr>
        <w:ind w:firstLine="480"/>
      </w:pPr>
      <w:r>
        <w:t>ne—有效孔隙度，无量纲，本项目取值</w:t>
      </w:r>
      <w:r>
        <w:rPr>
          <w:rFonts w:hint="eastAsia"/>
        </w:rPr>
        <w:t>参照《水文地质手册（第二册）》</w:t>
      </w:r>
      <w:r>
        <w:rPr>
          <w:rFonts w:hint="eastAsia"/>
          <w:lang w:val="en-US" w:eastAsia="zh-CN"/>
        </w:rPr>
        <w:t>中的数据，</w:t>
      </w:r>
      <w:r>
        <w:t>有效孔隙度一般取值为0.2~0.4，</w:t>
      </w:r>
      <w:r>
        <w:rPr>
          <w:rFonts w:hint="eastAsia"/>
          <w:lang w:val="en-US" w:eastAsia="zh-CN"/>
        </w:rPr>
        <w:t>结合本项目实际情况，本环评</w:t>
      </w:r>
      <w:r>
        <w:rPr>
          <w:rFonts w:hint="eastAsia"/>
        </w:rPr>
        <w:t>取0.25</w:t>
      </w:r>
      <w:r>
        <w:t>；</w:t>
      </w:r>
    </w:p>
    <w:p>
      <w:pPr>
        <w:ind w:firstLine="480"/>
      </w:pPr>
      <w:r>
        <w:t>由上式计算</w:t>
      </w:r>
      <w:r>
        <w:rPr>
          <w:rFonts w:hint="eastAsia"/>
        </w:rPr>
        <w:t>下游迁移距离</w:t>
      </w:r>
      <w:r>
        <w:t>L</w:t>
      </w:r>
      <w:r>
        <w:rPr>
          <w:rFonts w:hint="eastAsia"/>
        </w:rPr>
        <w:t>为3000</w:t>
      </w:r>
      <w:r>
        <w:t>m</w:t>
      </w:r>
      <w:r>
        <w:rPr>
          <w:rFonts w:hint="eastAsia"/>
        </w:rPr>
        <w:t>。本次评价按照</w:t>
      </w:r>
      <w:r>
        <w:t>导则要求</w:t>
      </w:r>
      <w:r>
        <w:rPr>
          <w:rFonts w:hint="eastAsia"/>
        </w:rPr>
        <w:t>，</w:t>
      </w:r>
      <w:r>
        <w:t>场地</w:t>
      </w:r>
      <w:r>
        <w:rPr>
          <w:rFonts w:hint="eastAsia"/>
        </w:rPr>
        <w:t>地下水上游（东侧）以总厂区边界外扩1000m为界，下游（西侧）以总厂区边界外扩3000m，</w:t>
      </w:r>
      <w:r>
        <w:t>场地两侧区域</w:t>
      </w:r>
      <w:r>
        <w:rPr>
          <w:rFonts w:hint="eastAsia"/>
        </w:rPr>
        <w:t>以总厂区外扩边界外扩15</w:t>
      </w:r>
      <w:r>
        <w:t>00m</w:t>
      </w:r>
      <w:r>
        <w:rPr>
          <w:rFonts w:hint="eastAsia"/>
        </w:rPr>
        <w:t>为界，最终确定本次地下水环境评价区面积共计27.74km</w:t>
      </w:r>
      <w:r>
        <w:rPr>
          <w:rFonts w:hint="eastAsia"/>
          <w:vertAlign w:val="superscript"/>
        </w:rPr>
        <w:t>2</w:t>
      </w:r>
      <w:r>
        <w:rPr>
          <w:rFonts w:hint="eastAsia"/>
        </w:rPr>
        <w:t>。</w:t>
      </w:r>
      <w:r>
        <w:t>本项目地下水评价范围见</w:t>
      </w:r>
      <w:r>
        <w:rPr>
          <w:rFonts w:hint="eastAsia"/>
        </w:rPr>
        <w:t>附图5</w:t>
      </w:r>
      <w:r>
        <w:t>。</w:t>
      </w:r>
    </w:p>
    <w:p>
      <w:pPr>
        <w:pStyle w:val="7"/>
        <w:ind w:firstLine="482"/>
      </w:pPr>
      <w:bookmarkStart w:id="396" w:name="_Toc16531"/>
      <w:bookmarkStart w:id="397" w:name="_Toc352"/>
      <w:bookmarkStart w:id="398" w:name="_Toc23990"/>
      <w:bookmarkStart w:id="399" w:name="_Toc5078_WPSOffice_Level1"/>
      <w:bookmarkStart w:id="400" w:name="_Toc23126"/>
      <w:bookmarkStart w:id="401" w:name="_Toc23300_WPSOffice_Level1"/>
      <w:bookmarkStart w:id="402" w:name="_Toc9169"/>
      <w:r>
        <w:rPr>
          <w:rFonts w:hint="eastAsia"/>
        </w:rPr>
        <w:t>1.6.2.5、土壤环境评价范围</w:t>
      </w:r>
    </w:p>
    <w:p>
      <w:pPr>
        <w:ind w:firstLine="480"/>
      </w:pPr>
      <w:r>
        <w:rPr>
          <w:rFonts w:hint="eastAsia"/>
        </w:rPr>
        <w:t>本项目不开展土壤环境影响评价工作，</w:t>
      </w:r>
      <w:r>
        <w:t>因此，不设</w:t>
      </w:r>
      <w:r>
        <w:rPr>
          <w:rFonts w:hint="eastAsia"/>
        </w:rPr>
        <w:t>土壤环境</w:t>
      </w:r>
      <w:r>
        <w:t>评价范围。</w:t>
      </w:r>
    </w:p>
    <w:p>
      <w:pPr>
        <w:pStyle w:val="7"/>
        <w:ind w:firstLine="482"/>
      </w:pPr>
      <w:r>
        <w:rPr>
          <w:rFonts w:hint="eastAsia"/>
        </w:rPr>
        <w:t>1.6.2.6、生态环境评价范围</w:t>
      </w:r>
    </w:p>
    <w:p>
      <w:pPr>
        <w:ind w:firstLine="480"/>
      </w:pPr>
      <w:r>
        <w:t>根据《环境影响评价技术导则 生态影响》（HJ19—2022）</w:t>
      </w:r>
      <w:r>
        <w:rPr>
          <w:rFonts w:hint="eastAsia"/>
        </w:rPr>
        <w:t>中的的要求，污染影响类建设项目评价范围应涵盖直接占用区域以及污染物排放产生的间接生态影响区域。故确定本项目生态环境影响范围为</w:t>
      </w:r>
      <w:r>
        <w:rPr>
          <w:rFonts w:hint="eastAsia"/>
          <w:lang w:val="en-US" w:eastAsia="zh-CN"/>
        </w:rPr>
        <w:t>总</w:t>
      </w:r>
      <w:r>
        <w:rPr>
          <w:rFonts w:hint="eastAsia"/>
        </w:rPr>
        <w:t>厂区边界外扩200m形成的矩形区域。详见附图4。</w:t>
      </w:r>
    </w:p>
    <w:p>
      <w:pPr>
        <w:pStyle w:val="7"/>
        <w:ind w:firstLine="482"/>
      </w:pPr>
      <w:r>
        <w:rPr>
          <w:rFonts w:hint="eastAsia"/>
        </w:rPr>
        <w:t>1.6.2.7、环境风险评价范围</w:t>
      </w:r>
    </w:p>
    <w:p>
      <w:pPr>
        <w:ind w:firstLine="480"/>
      </w:pPr>
      <w:r>
        <w:t>本项目环境风险评价工作等级为简单分析。</w:t>
      </w:r>
      <w:r>
        <w:rPr>
          <w:rFonts w:hint="eastAsia"/>
        </w:rPr>
        <w:t>同时结合</w:t>
      </w:r>
      <w:r>
        <w:t>《建设项目环境风险评价技术导则》（HJ169-2018）</w:t>
      </w:r>
      <w:r>
        <w:rPr>
          <w:rFonts w:hint="eastAsia"/>
        </w:rPr>
        <w:t>中的要求</w:t>
      </w:r>
      <w:r>
        <w:t>，简单分析</w:t>
      </w:r>
      <w:r>
        <w:rPr>
          <w:rFonts w:hint="eastAsia"/>
        </w:rPr>
        <w:t>可不设置评价范围。</w:t>
      </w:r>
    </w:p>
    <w:p>
      <w:pPr>
        <w:pStyle w:val="5"/>
        <w:spacing w:before="78" w:after="78"/>
        <w:ind w:firstLine="562"/>
      </w:pPr>
      <w:bookmarkStart w:id="403" w:name="_Toc27200"/>
      <w:r>
        <w:t>1.7</w:t>
      </w:r>
      <w:r>
        <w:rPr>
          <w:rFonts w:hint="eastAsia"/>
        </w:rPr>
        <w:t>、</w:t>
      </w:r>
      <w:r>
        <w:t>评价时段</w:t>
      </w:r>
      <w:bookmarkEnd w:id="396"/>
      <w:bookmarkEnd w:id="397"/>
      <w:bookmarkEnd w:id="398"/>
      <w:bookmarkEnd w:id="399"/>
      <w:bookmarkEnd w:id="400"/>
      <w:bookmarkEnd w:id="401"/>
      <w:bookmarkEnd w:id="402"/>
      <w:bookmarkEnd w:id="403"/>
    </w:p>
    <w:p>
      <w:pPr>
        <w:ind w:firstLine="480"/>
        <w:rPr>
          <w:rFonts w:hint="default" w:eastAsia="宋体"/>
          <w:lang w:val="en-US" w:eastAsia="zh-CN"/>
        </w:rPr>
      </w:pPr>
      <w:r>
        <w:t>本项目评价时段确定为项目施工期及运营期。</w:t>
      </w:r>
    </w:p>
    <w:p>
      <w:pPr>
        <w:pStyle w:val="5"/>
        <w:spacing w:before="78" w:after="78"/>
        <w:ind w:firstLine="562"/>
      </w:pPr>
      <w:bookmarkStart w:id="404" w:name="_Toc6552"/>
      <w:bookmarkStart w:id="405" w:name="_Toc30040"/>
      <w:bookmarkStart w:id="406" w:name="_Toc30543"/>
      <w:bookmarkStart w:id="407" w:name="_Toc17452"/>
      <w:bookmarkStart w:id="408" w:name="_Toc26889"/>
      <w:bookmarkStart w:id="409" w:name="_Toc5585"/>
      <w:bookmarkStart w:id="410" w:name="_Toc5887_WPSOffice_Level1"/>
      <w:r>
        <w:t>1.8</w:t>
      </w:r>
      <w:r>
        <w:rPr>
          <w:rFonts w:hint="eastAsia"/>
        </w:rPr>
        <w:t>、</w:t>
      </w:r>
      <w:r>
        <w:t>主要环境保护目标</w:t>
      </w:r>
      <w:bookmarkEnd w:id="404"/>
      <w:bookmarkEnd w:id="405"/>
      <w:bookmarkEnd w:id="406"/>
      <w:bookmarkEnd w:id="407"/>
      <w:r>
        <w:t>及环境敏感点</w:t>
      </w:r>
      <w:bookmarkEnd w:id="408"/>
      <w:bookmarkEnd w:id="409"/>
      <w:bookmarkEnd w:id="410"/>
    </w:p>
    <w:p>
      <w:pPr>
        <w:pStyle w:val="6"/>
        <w:ind w:firstLine="482"/>
      </w:pPr>
      <w:bookmarkStart w:id="411" w:name="_Toc22298"/>
      <w:bookmarkStart w:id="412" w:name="_Toc19952_WPSOffice_Level2"/>
      <w:bookmarkStart w:id="413" w:name="_Toc12023_WPSOffice_Level2"/>
      <w:r>
        <w:t>1.8.1</w:t>
      </w:r>
      <w:r>
        <w:rPr>
          <w:rFonts w:hint="eastAsia"/>
        </w:rPr>
        <w:t>、</w:t>
      </w:r>
      <w:r>
        <w:t>环境保护目标</w:t>
      </w:r>
      <w:bookmarkEnd w:id="411"/>
      <w:bookmarkEnd w:id="412"/>
      <w:bookmarkEnd w:id="413"/>
    </w:p>
    <w:p>
      <w:pPr>
        <w:ind w:firstLine="480"/>
      </w:pPr>
      <w:r>
        <w:t>根据本工程环境现状、环境功能和工程的施工、运行特点，确定环境保护目标为：</w:t>
      </w:r>
    </w:p>
    <w:p>
      <w:pPr>
        <w:ind w:firstLine="480"/>
      </w:pPr>
      <w:r>
        <w:rPr>
          <w:rFonts w:hint="eastAsia"/>
        </w:rPr>
        <w:t>1、</w:t>
      </w:r>
      <w:r>
        <w:t>大气环境：评价区的大气环境质量达到《环境空气质量标准》（GB3095-2012）中的二级标准限值；</w:t>
      </w:r>
    </w:p>
    <w:p>
      <w:pPr>
        <w:ind w:firstLine="480"/>
      </w:pPr>
      <w:r>
        <w:rPr>
          <w:rFonts w:hint="eastAsia"/>
        </w:rPr>
        <w:t>2、</w:t>
      </w:r>
      <w:r>
        <w:t>地下水环境：保证项目区地下水体水环境质量满足《地下水环境质量标准》（GB14848-2017）Ⅲ类标准要求限值。</w:t>
      </w:r>
    </w:p>
    <w:p>
      <w:pPr>
        <w:ind w:firstLine="480"/>
      </w:pPr>
      <w:r>
        <w:rPr>
          <w:rFonts w:hint="eastAsia"/>
        </w:rPr>
        <w:t>3、</w:t>
      </w:r>
      <w:r>
        <w:t>声环境：保证项目周围敏感点声环境质量达到《声环境质量标准》（GB3096-2008）中3类标准要求限值。</w:t>
      </w:r>
    </w:p>
    <w:p>
      <w:pPr>
        <w:pStyle w:val="6"/>
        <w:ind w:firstLine="482"/>
      </w:pPr>
      <w:bookmarkStart w:id="414" w:name="_Toc30115_WPSOffice_Level2"/>
      <w:bookmarkStart w:id="415" w:name="_Toc25956_WPSOffice_Level2"/>
      <w:bookmarkStart w:id="416" w:name="_Toc598"/>
      <w:r>
        <w:t>1.8.2</w:t>
      </w:r>
      <w:r>
        <w:rPr>
          <w:rFonts w:hint="eastAsia"/>
        </w:rPr>
        <w:t>、</w:t>
      </w:r>
      <w:r>
        <w:t>环境敏感点</w:t>
      </w:r>
      <w:bookmarkEnd w:id="414"/>
      <w:bookmarkEnd w:id="415"/>
      <w:bookmarkEnd w:id="416"/>
    </w:p>
    <w:p>
      <w:pPr>
        <w:ind w:firstLine="480"/>
      </w:pPr>
      <w:r>
        <w:t>根据现场调查，</w:t>
      </w:r>
      <w:r>
        <w:rPr>
          <w:rFonts w:hint="eastAsia"/>
        </w:rPr>
        <w:t>项目周边环境敏感点</w:t>
      </w:r>
      <w:r>
        <w:t>信息如表</w:t>
      </w:r>
      <w:r>
        <w:rPr>
          <w:rFonts w:hint="eastAsia"/>
          <w:lang w:val="en-US" w:eastAsia="zh-CN"/>
        </w:rPr>
        <w:t>1.27</w:t>
      </w:r>
      <w:r>
        <w:t>，敏感点图见</w:t>
      </w:r>
      <w:r>
        <w:rPr>
          <w:rFonts w:hint="eastAsia"/>
        </w:rPr>
        <w:t>附图6</w:t>
      </w:r>
      <w:r>
        <w:t>。</w:t>
      </w:r>
    </w:p>
    <w:p>
      <w:pPr>
        <w:spacing w:line="240" w:lineRule="auto"/>
        <w:ind w:firstLine="482"/>
        <w:jc w:val="center"/>
        <w:rPr>
          <w:b/>
          <w:bCs/>
        </w:rPr>
      </w:pPr>
      <w:r>
        <w:rPr>
          <w:b/>
          <w:bCs/>
        </w:rPr>
        <w:t>表</w:t>
      </w:r>
      <w:r>
        <w:rPr>
          <w:rFonts w:hint="eastAsia"/>
          <w:b/>
          <w:bCs/>
          <w:lang w:val="en-US" w:eastAsia="zh-CN"/>
        </w:rPr>
        <w:t>1.27</w:t>
      </w:r>
      <w:r>
        <w:rPr>
          <w:b/>
          <w:bCs/>
        </w:rPr>
        <w:t xml:space="preserve">    </w:t>
      </w:r>
      <w:r>
        <w:rPr>
          <w:rFonts w:hint="eastAsia"/>
          <w:b/>
          <w:bCs/>
        </w:rPr>
        <w:t>环境空气</w:t>
      </w:r>
      <w:r>
        <w:rPr>
          <w:b/>
          <w:bCs/>
        </w:rPr>
        <w:t>敏感点调查信息</w:t>
      </w:r>
    </w:p>
    <w:tbl>
      <w:tblPr>
        <w:tblStyle w:val="32"/>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2"/>
        <w:gridCol w:w="1489"/>
        <w:gridCol w:w="1455"/>
        <w:gridCol w:w="941"/>
        <w:gridCol w:w="762"/>
        <w:gridCol w:w="1140"/>
        <w:gridCol w:w="1100"/>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vMerge w:val="restar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名称</w:t>
            </w:r>
          </w:p>
        </w:tc>
        <w:tc>
          <w:tcPr>
            <w:tcW w:w="1479"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坐标</w:t>
            </w:r>
          </w:p>
        </w:tc>
        <w:tc>
          <w:tcPr>
            <w:tcW w:w="855" w:type="pct"/>
            <w:gridSpan w:val="2"/>
            <w:vMerge w:val="restar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保护对象</w:t>
            </w:r>
          </w:p>
        </w:tc>
        <w:tc>
          <w:tcPr>
            <w:tcW w:w="573"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环境功能区</w:t>
            </w:r>
          </w:p>
        </w:tc>
        <w:tc>
          <w:tcPr>
            <w:tcW w:w="553"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相对厂址方位</w:t>
            </w:r>
          </w:p>
        </w:tc>
        <w:tc>
          <w:tcPr>
            <w:tcW w:w="623"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相对厂界距离/km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4" w:type="pct"/>
            <w:vMerge w:val="continue"/>
            <w:tcBorders>
              <w:tl2br w:val="nil"/>
              <w:tr2bl w:val="nil"/>
            </w:tcBorders>
            <w:vAlign w:val="center"/>
          </w:tcPr>
          <w:p>
            <w:pPr>
              <w:spacing w:line="240" w:lineRule="auto"/>
              <w:ind w:firstLine="0" w:firstLineChars="0"/>
              <w:rPr>
                <w:sz w:val="21"/>
                <w:szCs w:val="21"/>
              </w:rPr>
            </w:pPr>
          </w:p>
        </w:tc>
        <w:tc>
          <w:tcPr>
            <w:tcW w:w="748" w:type="pct"/>
            <w:tcBorders>
              <w:tl2br w:val="nil"/>
              <w:tr2bl w:val="nil"/>
            </w:tcBorders>
            <w:vAlign w:val="center"/>
          </w:tcPr>
          <w:p>
            <w:pPr>
              <w:spacing w:line="240" w:lineRule="auto"/>
              <w:ind w:firstLine="0" w:firstLineChars="0"/>
              <w:jc w:val="center"/>
              <w:rPr>
                <w:b/>
                <w:bCs/>
                <w:sz w:val="21"/>
                <w:szCs w:val="21"/>
              </w:rPr>
            </w:pPr>
            <w:r>
              <w:rPr>
                <w:b/>
                <w:bCs/>
                <w:sz w:val="21"/>
                <w:szCs w:val="21"/>
              </w:rPr>
              <w:t>X</w:t>
            </w:r>
          </w:p>
        </w:tc>
        <w:tc>
          <w:tcPr>
            <w:tcW w:w="730" w:type="pct"/>
            <w:tcBorders>
              <w:tl2br w:val="nil"/>
              <w:tr2bl w:val="nil"/>
            </w:tcBorders>
            <w:vAlign w:val="center"/>
          </w:tcPr>
          <w:p>
            <w:pPr>
              <w:spacing w:line="240" w:lineRule="auto"/>
              <w:ind w:firstLine="0" w:firstLineChars="0"/>
              <w:jc w:val="center"/>
              <w:rPr>
                <w:b/>
                <w:bCs/>
                <w:sz w:val="21"/>
                <w:szCs w:val="21"/>
              </w:rPr>
            </w:pPr>
            <w:r>
              <w:rPr>
                <w:b/>
                <w:bCs/>
                <w:sz w:val="21"/>
                <w:szCs w:val="21"/>
              </w:rPr>
              <w:t>Y</w:t>
            </w:r>
          </w:p>
        </w:tc>
        <w:tc>
          <w:tcPr>
            <w:tcW w:w="855" w:type="pct"/>
            <w:gridSpan w:val="2"/>
            <w:vMerge w:val="continue"/>
            <w:tcBorders>
              <w:tl2br w:val="nil"/>
              <w:tr2bl w:val="nil"/>
            </w:tcBorders>
            <w:vAlign w:val="center"/>
          </w:tcPr>
          <w:p>
            <w:pPr>
              <w:spacing w:line="240" w:lineRule="auto"/>
              <w:ind w:firstLine="0" w:firstLineChars="0"/>
              <w:rPr>
                <w:sz w:val="21"/>
                <w:szCs w:val="21"/>
              </w:rPr>
            </w:pPr>
          </w:p>
        </w:tc>
        <w:tc>
          <w:tcPr>
            <w:tcW w:w="573" w:type="pct"/>
            <w:vMerge w:val="continue"/>
            <w:tcBorders>
              <w:tl2br w:val="nil"/>
              <w:tr2bl w:val="nil"/>
            </w:tcBorders>
            <w:vAlign w:val="center"/>
          </w:tcPr>
          <w:p>
            <w:pPr>
              <w:spacing w:line="240" w:lineRule="auto"/>
              <w:ind w:firstLine="0" w:firstLineChars="0"/>
              <w:rPr>
                <w:sz w:val="21"/>
                <w:szCs w:val="21"/>
              </w:rPr>
            </w:pPr>
          </w:p>
        </w:tc>
        <w:tc>
          <w:tcPr>
            <w:tcW w:w="553" w:type="pct"/>
            <w:vMerge w:val="continue"/>
            <w:tcBorders>
              <w:tl2br w:val="nil"/>
              <w:tr2bl w:val="nil"/>
            </w:tcBorders>
            <w:vAlign w:val="center"/>
          </w:tcPr>
          <w:p>
            <w:pPr>
              <w:spacing w:line="240" w:lineRule="auto"/>
              <w:ind w:firstLine="0" w:firstLineChars="0"/>
              <w:rPr>
                <w:sz w:val="21"/>
                <w:szCs w:val="21"/>
              </w:rPr>
            </w:pPr>
          </w:p>
        </w:tc>
        <w:tc>
          <w:tcPr>
            <w:tcW w:w="623"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光明村五社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100.247311</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38.982254</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88</w:t>
            </w:r>
          </w:p>
        </w:tc>
        <w:tc>
          <w:tcPr>
            <w:tcW w:w="573" w:type="pct"/>
            <w:vMerge w:val="restart"/>
            <w:tcBorders>
              <w:tl2br w:val="nil"/>
              <w:tr2bl w:val="nil"/>
            </w:tcBorders>
            <w:vAlign w:val="center"/>
          </w:tcPr>
          <w:p>
            <w:pPr>
              <w:spacing w:line="240" w:lineRule="auto"/>
              <w:ind w:firstLine="0" w:firstLineChars="0"/>
              <w:jc w:val="center"/>
              <w:rPr>
                <w:sz w:val="21"/>
                <w:szCs w:val="21"/>
              </w:rPr>
            </w:pPr>
            <w:r>
              <w:rPr>
                <w:sz w:val="21"/>
                <w:szCs w:val="21"/>
              </w:rPr>
              <w:t>环境空气二类</w:t>
            </w:r>
          </w:p>
          <w:p>
            <w:pPr>
              <w:spacing w:line="240" w:lineRule="auto"/>
              <w:ind w:firstLine="0" w:firstLineChars="0"/>
              <w:jc w:val="center"/>
              <w:rPr>
                <w:sz w:val="21"/>
                <w:szCs w:val="21"/>
              </w:rPr>
            </w:pPr>
            <w:r>
              <w:rPr>
                <w:sz w:val="21"/>
                <w:szCs w:val="21"/>
              </w:rPr>
              <w:t>功能区</w:t>
            </w: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光明村六社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100.24190</w:t>
            </w:r>
            <w:r>
              <w:rPr>
                <w:rFonts w:hint="eastAsia"/>
                <w:sz w:val="21"/>
                <w:szCs w:val="21"/>
              </w:rPr>
              <w:t>4</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38.985258</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93</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光明村八社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100.23726</w:t>
            </w:r>
            <w:r>
              <w:rPr>
                <w:rFonts w:hint="eastAsia"/>
                <w:sz w:val="21"/>
                <w:szCs w:val="21"/>
              </w:rPr>
              <w:t>9</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38.98860</w:t>
            </w:r>
            <w:r>
              <w:rPr>
                <w:rFonts w:hint="eastAsia"/>
                <w:sz w:val="21"/>
                <w:szCs w:val="21"/>
              </w:rPr>
              <w:t>6</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72</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光明村四社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100.242762</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38.977748</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81</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光明村七社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100.236625</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38.984743</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105</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光明村村委会</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100.234007</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38.981610</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69</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光明村三社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100.233535</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38.97500</w:t>
            </w:r>
            <w:r>
              <w:rPr>
                <w:rFonts w:hint="eastAsia"/>
                <w:sz w:val="21"/>
                <w:szCs w:val="21"/>
              </w:rPr>
              <w:t>2</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74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速展村六社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100.23336</w:t>
            </w:r>
            <w:r>
              <w:rPr>
                <w:rFonts w:hint="eastAsia"/>
                <w:sz w:val="21"/>
                <w:szCs w:val="21"/>
              </w:rPr>
              <w:t>4</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38.965517</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78</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速展村七社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100.22890</w:t>
            </w:r>
            <w:r>
              <w:rPr>
                <w:rFonts w:hint="eastAsia"/>
                <w:sz w:val="21"/>
                <w:szCs w:val="21"/>
              </w:rPr>
              <w:t>1</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38.96783</w:t>
            </w:r>
            <w:r>
              <w:rPr>
                <w:rFonts w:hint="eastAsia"/>
                <w:sz w:val="21"/>
                <w:szCs w:val="21"/>
              </w:rPr>
              <w:t>5</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86</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速展村五社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100.2327</w:t>
            </w:r>
            <w:r>
              <w:rPr>
                <w:rFonts w:hint="eastAsia"/>
                <w:sz w:val="21"/>
                <w:szCs w:val="21"/>
              </w:rPr>
              <w:t>20</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38.96126</w:t>
            </w:r>
            <w:r>
              <w:rPr>
                <w:rFonts w:hint="eastAsia"/>
                <w:sz w:val="21"/>
                <w:szCs w:val="21"/>
              </w:rPr>
              <w:t>9</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94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速展村四社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100.22370</w:t>
            </w:r>
            <w:r>
              <w:rPr>
                <w:rFonts w:hint="eastAsia"/>
                <w:sz w:val="21"/>
                <w:szCs w:val="21"/>
              </w:rPr>
              <w:t>8</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38.962641</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87</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速展小学</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100.22516</w:t>
            </w:r>
            <w:r>
              <w:rPr>
                <w:rFonts w:hint="eastAsia"/>
                <w:sz w:val="21"/>
                <w:szCs w:val="21"/>
              </w:rPr>
              <w:t>7</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38.95959</w:t>
            </w:r>
            <w:r>
              <w:rPr>
                <w:rFonts w:hint="eastAsia"/>
                <w:sz w:val="21"/>
                <w:szCs w:val="21"/>
              </w:rPr>
              <w:t>5</w:t>
            </w:r>
          </w:p>
        </w:tc>
        <w:tc>
          <w:tcPr>
            <w:tcW w:w="472" w:type="pct"/>
            <w:tcBorders>
              <w:tl2br w:val="nil"/>
              <w:tr2bl w:val="nil"/>
            </w:tcBorders>
            <w:vAlign w:val="center"/>
          </w:tcPr>
          <w:p>
            <w:pPr>
              <w:spacing w:line="240" w:lineRule="auto"/>
              <w:ind w:firstLine="0" w:firstLineChars="0"/>
              <w:jc w:val="center"/>
              <w:rPr>
                <w:sz w:val="21"/>
                <w:szCs w:val="21"/>
              </w:rPr>
            </w:pPr>
            <w:r>
              <w:rPr>
                <w:rFonts w:hint="eastAsia"/>
                <w:sz w:val="21"/>
                <w:szCs w:val="21"/>
              </w:rPr>
              <w:t>师生</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318</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速展村十社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100.23529</w:t>
            </w:r>
            <w:r>
              <w:rPr>
                <w:rFonts w:hint="eastAsia"/>
                <w:sz w:val="21"/>
                <w:szCs w:val="21"/>
              </w:rPr>
              <w:t>5</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38.94500</w:t>
            </w:r>
            <w:r>
              <w:rPr>
                <w:rFonts w:hint="eastAsia"/>
                <w:sz w:val="21"/>
                <w:szCs w:val="21"/>
              </w:rPr>
              <w:t>4</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82</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速展村十一社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100.23430</w:t>
            </w:r>
            <w:r>
              <w:rPr>
                <w:rFonts w:hint="eastAsia"/>
                <w:sz w:val="21"/>
                <w:szCs w:val="21"/>
              </w:rPr>
              <w:t>8</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38.941184</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94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西南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沿河村五社</w:t>
            </w:r>
          </w:p>
        </w:tc>
        <w:tc>
          <w:tcPr>
            <w:tcW w:w="748" w:type="pct"/>
            <w:tcBorders>
              <w:tl2br w:val="nil"/>
              <w:tr2bl w:val="nil"/>
            </w:tcBorders>
            <w:vAlign w:val="center"/>
          </w:tcPr>
          <w:p>
            <w:pPr>
              <w:spacing w:line="240" w:lineRule="auto"/>
              <w:ind w:firstLine="0" w:firstLineChars="0"/>
              <w:jc w:val="center"/>
              <w:rPr>
                <w:sz w:val="21"/>
                <w:szCs w:val="21"/>
              </w:rPr>
            </w:pPr>
            <w:r>
              <w:rPr>
                <w:rFonts w:hint="eastAsia"/>
                <w:sz w:val="21"/>
                <w:szCs w:val="21"/>
              </w:rPr>
              <w:t>100.303230</w:t>
            </w:r>
          </w:p>
        </w:tc>
        <w:tc>
          <w:tcPr>
            <w:tcW w:w="730" w:type="pct"/>
            <w:tcBorders>
              <w:tl2br w:val="nil"/>
              <w:tr2bl w:val="nil"/>
            </w:tcBorders>
            <w:vAlign w:val="center"/>
          </w:tcPr>
          <w:p>
            <w:pPr>
              <w:spacing w:line="240" w:lineRule="auto"/>
              <w:ind w:firstLine="0" w:firstLineChars="0"/>
              <w:jc w:val="center"/>
              <w:rPr>
                <w:sz w:val="21"/>
                <w:szCs w:val="21"/>
              </w:rPr>
            </w:pPr>
            <w:r>
              <w:rPr>
                <w:rFonts w:hint="eastAsia"/>
                <w:sz w:val="21"/>
                <w:szCs w:val="21"/>
              </w:rPr>
              <w:t>38.954917</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78</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沿河村四社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100.311126</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38.955475</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68</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沿河村六社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100.303573</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38.96264</w:t>
            </w:r>
            <w:r>
              <w:rPr>
                <w:rFonts w:hint="eastAsia"/>
                <w:sz w:val="21"/>
                <w:szCs w:val="21"/>
              </w:rPr>
              <w:t>2</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武家村</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100.295977</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38.970109</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54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武家闸村</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100.291857</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38.975645</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124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缪家村</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100.28241</w:t>
            </w:r>
            <w:r>
              <w:rPr>
                <w:rFonts w:hint="eastAsia"/>
                <w:sz w:val="21"/>
                <w:szCs w:val="21"/>
              </w:rPr>
              <w:t>6</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38.969680</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64</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王家村二社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100.28348</w:t>
            </w:r>
            <w:r>
              <w:rPr>
                <w:rFonts w:hint="eastAsia"/>
                <w:sz w:val="21"/>
                <w:szCs w:val="21"/>
              </w:rPr>
              <w:t>9</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38.976074</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78</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王家村一社</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100.2861</w:t>
            </w:r>
            <w:r>
              <w:rPr>
                <w:rFonts w:hint="eastAsia"/>
                <w:sz w:val="21"/>
                <w:szCs w:val="21"/>
              </w:rPr>
              <w:t>50</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38.979808</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82</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东北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4" w:type="pct"/>
            <w:tcBorders>
              <w:tl2br w:val="nil"/>
              <w:tr2bl w:val="nil"/>
            </w:tcBorders>
            <w:vAlign w:val="center"/>
          </w:tcPr>
          <w:p>
            <w:pPr>
              <w:spacing w:line="240" w:lineRule="auto"/>
              <w:ind w:firstLine="0" w:firstLineChars="0"/>
              <w:jc w:val="center"/>
              <w:rPr>
                <w:sz w:val="21"/>
                <w:szCs w:val="21"/>
              </w:rPr>
            </w:pPr>
            <w:r>
              <w:rPr>
                <w:rFonts w:hint="eastAsia"/>
                <w:sz w:val="21"/>
                <w:szCs w:val="21"/>
              </w:rPr>
              <w:t>徐家村</w:t>
            </w:r>
          </w:p>
        </w:tc>
        <w:tc>
          <w:tcPr>
            <w:tcW w:w="748" w:type="pct"/>
            <w:tcBorders>
              <w:tl2br w:val="nil"/>
              <w:tr2bl w:val="nil"/>
            </w:tcBorders>
            <w:vAlign w:val="center"/>
          </w:tcPr>
          <w:p>
            <w:pPr>
              <w:spacing w:line="240" w:lineRule="auto"/>
              <w:ind w:firstLine="0" w:firstLineChars="0"/>
              <w:jc w:val="center"/>
              <w:rPr>
                <w:sz w:val="21"/>
                <w:szCs w:val="21"/>
              </w:rPr>
            </w:pPr>
            <w:r>
              <w:rPr>
                <w:sz w:val="21"/>
                <w:szCs w:val="21"/>
              </w:rPr>
              <w:t>100.2683</w:t>
            </w:r>
            <w:r>
              <w:rPr>
                <w:rFonts w:hint="eastAsia"/>
                <w:sz w:val="21"/>
                <w:szCs w:val="21"/>
              </w:rPr>
              <w:t>3</w:t>
            </w:r>
          </w:p>
        </w:tc>
        <w:tc>
          <w:tcPr>
            <w:tcW w:w="730" w:type="pct"/>
            <w:tcBorders>
              <w:tl2br w:val="nil"/>
              <w:tr2bl w:val="nil"/>
            </w:tcBorders>
            <w:vAlign w:val="center"/>
          </w:tcPr>
          <w:p>
            <w:pPr>
              <w:spacing w:line="240" w:lineRule="auto"/>
              <w:ind w:firstLine="0" w:firstLineChars="0"/>
              <w:jc w:val="center"/>
              <w:rPr>
                <w:sz w:val="21"/>
                <w:szCs w:val="21"/>
              </w:rPr>
            </w:pPr>
            <w:r>
              <w:rPr>
                <w:sz w:val="21"/>
                <w:szCs w:val="21"/>
              </w:rPr>
              <w:t>38.977276</w:t>
            </w:r>
          </w:p>
        </w:tc>
        <w:tc>
          <w:tcPr>
            <w:tcW w:w="472" w:type="pct"/>
            <w:tcBorders>
              <w:tl2br w:val="nil"/>
              <w:tr2bl w:val="nil"/>
            </w:tcBorders>
            <w:vAlign w:val="center"/>
          </w:tcPr>
          <w:p>
            <w:pPr>
              <w:spacing w:line="240" w:lineRule="auto"/>
              <w:ind w:firstLine="0" w:firstLineChars="0"/>
              <w:jc w:val="center"/>
              <w:rPr>
                <w:sz w:val="21"/>
                <w:szCs w:val="21"/>
              </w:rPr>
            </w:pPr>
            <w:r>
              <w:rPr>
                <w:sz w:val="21"/>
                <w:szCs w:val="21"/>
              </w:rPr>
              <w:t>居民</w:t>
            </w:r>
          </w:p>
        </w:tc>
        <w:tc>
          <w:tcPr>
            <w:tcW w:w="383" w:type="pct"/>
            <w:tcBorders>
              <w:tl2br w:val="nil"/>
              <w:tr2bl w:val="nil"/>
            </w:tcBorders>
            <w:vAlign w:val="center"/>
          </w:tcPr>
          <w:p>
            <w:pPr>
              <w:spacing w:line="240" w:lineRule="auto"/>
              <w:ind w:firstLine="0" w:firstLineChars="0"/>
              <w:jc w:val="center"/>
              <w:rPr>
                <w:sz w:val="21"/>
                <w:szCs w:val="21"/>
              </w:rPr>
            </w:pPr>
            <w:r>
              <w:rPr>
                <w:rFonts w:hint="eastAsia"/>
                <w:sz w:val="21"/>
                <w:szCs w:val="21"/>
              </w:rPr>
              <w:t>73</w:t>
            </w:r>
          </w:p>
        </w:tc>
        <w:tc>
          <w:tcPr>
            <w:tcW w:w="573" w:type="pct"/>
            <w:vMerge w:val="continue"/>
            <w:tcBorders>
              <w:tl2br w:val="nil"/>
              <w:tr2bl w:val="nil"/>
            </w:tcBorders>
            <w:vAlign w:val="center"/>
          </w:tcPr>
          <w:p>
            <w:pPr>
              <w:spacing w:line="240" w:lineRule="auto"/>
              <w:ind w:firstLine="0" w:firstLineChars="0"/>
              <w:jc w:val="center"/>
              <w:rPr>
                <w:sz w:val="21"/>
                <w:szCs w:val="21"/>
              </w:rPr>
            </w:pPr>
          </w:p>
        </w:tc>
        <w:tc>
          <w:tcPr>
            <w:tcW w:w="553" w:type="pct"/>
            <w:tcBorders>
              <w:tl2br w:val="nil"/>
              <w:tr2bl w:val="nil"/>
            </w:tcBorders>
            <w:vAlign w:val="center"/>
          </w:tcPr>
          <w:p>
            <w:pPr>
              <w:spacing w:line="240" w:lineRule="auto"/>
              <w:ind w:firstLine="0" w:firstLineChars="0"/>
              <w:jc w:val="center"/>
              <w:rPr>
                <w:sz w:val="21"/>
                <w:szCs w:val="21"/>
              </w:rPr>
            </w:pPr>
            <w:r>
              <w:rPr>
                <w:rFonts w:hint="eastAsia"/>
                <w:sz w:val="21"/>
                <w:szCs w:val="21"/>
              </w:rPr>
              <w:t>北</w:t>
            </w:r>
          </w:p>
        </w:tc>
        <w:tc>
          <w:tcPr>
            <w:tcW w:w="623" w:type="pct"/>
            <w:tcBorders>
              <w:tl2br w:val="nil"/>
              <w:tr2bl w:val="nil"/>
            </w:tcBorders>
            <w:vAlign w:val="center"/>
          </w:tcPr>
          <w:p>
            <w:pPr>
              <w:spacing w:line="240" w:lineRule="auto"/>
              <w:ind w:firstLine="0" w:firstLineChars="0"/>
              <w:jc w:val="center"/>
              <w:rPr>
                <w:sz w:val="21"/>
                <w:szCs w:val="21"/>
              </w:rPr>
            </w:pPr>
            <w:r>
              <w:rPr>
                <w:rFonts w:hint="eastAsia"/>
                <w:sz w:val="21"/>
                <w:szCs w:val="21"/>
              </w:rPr>
              <w:t>2.6</w:t>
            </w:r>
          </w:p>
        </w:tc>
      </w:tr>
    </w:tbl>
    <w:p>
      <w:pPr>
        <w:spacing w:line="240" w:lineRule="auto"/>
        <w:ind w:firstLine="482"/>
        <w:jc w:val="center"/>
        <w:rPr>
          <w:b/>
          <w:bCs/>
        </w:rPr>
      </w:pPr>
      <w:r>
        <w:rPr>
          <w:b/>
          <w:bCs/>
        </w:rPr>
        <w:t>表</w:t>
      </w:r>
      <w:r>
        <w:rPr>
          <w:rFonts w:hint="eastAsia"/>
          <w:b/>
          <w:bCs/>
          <w:lang w:val="en-US" w:eastAsia="zh-CN"/>
        </w:rPr>
        <w:t>1.28</w:t>
      </w:r>
      <w:r>
        <w:rPr>
          <w:b/>
          <w:bCs/>
        </w:rPr>
        <w:t xml:space="preserve">    </w:t>
      </w:r>
      <w:r>
        <w:rPr>
          <w:rFonts w:hint="eastAsia"/>
          <w:b/>
          <w:bCs/>
        </w:rPr>
        <w:t>地下水</w:t>
      </w:r>
      <w:r>
        <w:rPr>
          <w:b/>
          <w:bCs/>
        </w:rPr>
        <w:t>敏感点调查信息</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754"/>
        <w:gridCol w:w="2108"/>
        <w:gridCol w:w="863"/>
        <w:gridCol w:w="1072"/>
        <w:gridCol w:w="2272"/>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tcBorders>
              <w:tl2br w:val="nil"/>
              <w:tr2bl w:val="nil"/>
            </w:tcBorders>
            <w:vAlign w:val="center"/>
          </w:tcPr>
          <w:p>
            <w:pPr>
              <w:spacing w:line="240" w:lineRule="auto"/>
              <w:ind w:firstLine="0" w:firstLineChars="0"/>
              <w:jc w:val="center"/>
              <w:rPr>
                <w:b/>
                <w:bCs/>
                <w:sz w:val="21"/>
                <w:szCs w:val="21"/>
              </w:rPr>
            </w:pPr>
            <w:r>
              <w:rPr>
                <w:b/>
                <w:bCs/>
                <w:sz w:val="21"/>
                <w:szCs w:val="21"/>
              </w:rPr>
              <w:t>环境</w:t>
            </w:r>
          </w:p>
          <w:p>
            <w:pPr>
              <w:spacing w:line="240" w:lineRule="auto"/>
              <w:ind w:firstLine="0" w:firstLineChars="0"/>
              <w:jc w:val="center"/>
              <w:rPr>
                <w:b/>
                <w:bCs/>
                <w:sz w:val="21"/>
                <w:szCs w:val="21"/>
              </w:rPr>
            </w:pPr>
            <w:r>
              <w:rPr>
                <w:b/>
                <w:bCs/>
                <w:sz w:val="21"/>
                <w:szCs w:val="21"/>
              </w:rPr>
              <w:t>要素</w:t>
            </w:r>
          </w:p>
        </w:tc>
        <w:tc>
          <w:tcPr>
            <w:tcW w:w="1938"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敏感点</w:t>
            </w:r>
          </w:p>
        </w:tc>
        <w:tc>
          <w:tcPr>
            <w:tcW w:w="433" w:type="pct"/>
            <w:tcBorders>
              <w:tl2br w:val="nil"/>
              <w:tr2bl w:val="nil"/>
            </w:tcBorders>
            <w:vAlign w:val="center"/>
          </w:tcPr>
          <w:p>
            <w:pPr>
              <w:spacing w:line="240" w:lineRule="auto"/>
              <w:ind w:firstLine="0" w:firstLineChars="0"/>
              <w:jc w:val="center"/>
              <w:rPr>
                <w:b/>
                <w:bCs/>
                <w:sz w:val="21"/>
                <w:szCs w:val="21"/>
              </w:rPr>
            </w:pPr>
            <w:r>
              <w:rPr>
                <w:b/>
                <w:bCs/>
                <w:sz w:val="21"/>
                <w:szCs w:val="21"/>
              </w:rPr>
              <w:t>方位</w:t>
            </w:r>
          </w:p>
        </w:tc>
        <w:tc>
          <w:tcPr>
            <w:tcW w:w="538" w:type="pct"/>
            <w:tcBorders>
              <w:tl2br w:val="nil"/>
              <w:tr2bl w:val="nil"/>
            </w:tcBorders>
            <w:vAlign w:val="center"/>
          </w:tcPr>
          <w:p>
            <w:pPr>
              <w:spacing w:line="240" w:lineRule="auto"/>
              <w:ind w:firstLine="0" w:firstLineChars="0"/>
              <w:jc w:val="center"/>
              <w:rPr>
                <w:b/>
                <w:bCs/>
                <w:sz w:val="21"/>
                <w:szCs w:val="21"/>
              </w:rPr>
            </w:pPr>
            <w:r>
              <w:rPr>
                <w:b/>
                <w:bCs/>
                <w:sz w:val="21"/>
                <w:szCs w:val="21"/>
              </w:rPr>
              <w:t>距离</w:t>
            </w:r>
          </w:p>
        </w:tc>
        <w:tc>
          <w:tcPr>
            <w:tcW w:w="1140" w:type="pct"/>
            <w:tcBorders>
              <w:tl2br w:val="nil"/>
              <w:tr2bl w:val="nil"/>
            </w:tcBorders>
            <w:vAlign w:val="center"/>
          </w:tcPr>
          <w:p>
            <w:pPr>
              <w:spacing w:line="240" w:lineRule="auto"/>
              <w:ind w:firstLine="0" w:firstLineChars="0"/>
              <w:jc w:val="center"/>
              <w:rPr>
                <w:b/>
                <w:bCs/>
                <w:sz w:val="21"/>
                <w:szCs w:val="21"/>
              </w:rPr>
            </w:pPr>
            <w:r>
              <w:rPr>
                <w:b/>
                <w:bCs/>
                <w:sz w:val="21"/>
                <w:szCs w:val="21"/>
              </w:rPr>
              <w:t>保护要求</w:t>
            </w:r>
          </w:p>
        </w:tc>
        <w:tc>
          <w:tcPr>
            <w:tcW w:w="535" w:type="pct"/>
            <w:tcBorders>
              <w:tl2br w:val="nil"/>
              <w:tr2bl w:val="nil"/>
            </w:tcBorders>
            <w:vAlign w:val="center"/>
          </w:tcPr>
          <w:p>
            <w:pPr>
              <w:spacing w:line="240" w:lineRule="auto"/>
              <w:ind w:firstLine="0" w:firstLineChars="0"/>
              <w:jc w:val="center"/>
              <w:rPr>
                <w:b/>
                <w:bCs/>
                <w:sz w:val="21"/>
                <w:szCs w:val="21"/>
              </w:rPr>
            </w:pPr>
            <w:r>
              <w:rPr>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3" w:type="pct"/>
            <w:vMerge w:val="restart"/>
            <w:tcBorders>
              <w:tl2br w:val="nil"/>
              <w:tr2bl w:val="nil"/>
            </w:tcBorders>
            <w:vAlign w:val="center"/>
          </w:tcPr>
          <w:p>
            <w:pPr>
              <w:spacing w:line="240" w:lineRule="auto"/>
              <w:ind w:firstLine="0" w:firstLineChars="0"/>
              <w:jc w:val="center"/>
              <w:rPr>
                <w:sz w:val="21"/>
                <w:szCs w:val="21"/>
              </w:rPr>
            </w:pPr>
            <w:r>
              <w:rPr>
                <w:sz w:val="21"/>
                <w:szCs w:val="21"/>
              </w:rPr>
              <w:t>地下水</w:t>
            </w:r>
          </w:p>
        </w:tc>
        <w:tc>
          <w:tcPr>
            <w:tcW w:w="880" w:type="pct"/>
            <w:vMerge w:val="restart"/>
            <w:tcBorders>
              <w:tl2br w:val="nil"/>
              <w:tr2bl w:val="nil"/>
            </w:tcBorders>
            <w:vAlign w:val="center"/>
          </w:tcPr>
          <w:p>
            <w:pPr>
              <w:spacing w:line="240" w:lineRule="auto"/>
              <w:ind w:firstLine="0" w:firstLineChars="0"/>
              <w:jc w:val="center"/>
              <w:rPr>
                <w:sz w:val="21"/>
                <w:szCs w:val="21"/>
              </w:rPr>
            </w:pPr>
            <w:r>
              <w:rPr>
                <w:sz w:val="21"/>
                <w:szCs w:val="21"/>
              </w:rPr>
              <w:t>滨河集中饮用水源保护区</w:t>
            </w:r>
          </w:p>
        </w:tc>
        <w:tc>
          <w:tcPr>
            <w:tcW w:w="1058" w:type="pct"/>
            <w:tcBorders>
              <w:tl2br w:val="nil"/>
              <w:tr2bl w:val="nil"/>
            </w:tcBorders>
            <w:vAlign w:val="center"/>
          </w:tcPr>
          <w:p>
            <w:pPr>
              <w:spacing w:line="240" w:lineRule="auto"/>
              <w:ind w:firstLine="0" w:firstLineChars="0"/>
              <w:jc w:val="center"/>
              <w:rPr>
                <w:sz w:val="21"/>
                <w:szCs w:val="21"/>
              </w:rPr>
            </w:pPr>
            <w:r>
              <w:rPr>
                <w:sz w:val="21"/>
                <w:szCs w:val="21"/>
              </w:rPr>
              <w:t>二级保护区边界</w:t>
            </w:r>
          </w:p>
        </w:tc>
        <w:tc>
          <w:tcPr>
            <w:tcW w:w="433" w:type="pct"/>
            <w:vMerge w:val="restart"/>
            <w:tcBorders>
              <w:tl2br w:val="nil"/>
              <w:tr2bl w:val="nil"/>
            </w:tcBorders>
            <w:vAlign w:val="center"/>
          </w:tcPr>
          <w:p>
            <w:pPr>
              <w:spacing w:line="240" w:lineRule="auto"/>
              <w:ind w:firstLine="0" w:firstLineChars="0"/>
              <w:jc w:val="center"/>
              <w:rPr>
                <w:sz w:val="21"/>
                <w:szCs w:val="21"/>
              </w:rPr>
            </w:pPr>
            <w:r>
              <w:rPr>
                <w:sz w:val="21"/>
                <w:szCs w:val="21"/>
              </w:rPr>
              <w:t>E</w:t>
            </w:r>
          </w:p>
        </w:tc>
        <w:tc>
          <w:tcPr>
            <w:tcW w:w="538" w:type="pct"/>
            <w:tcBorders>
              <w:tl2br w:val="nil"/>
              <w:tr2bl w:val="nil"/>
            </w:tcBorders>
            <w:vAlign w:val="center"/>
          </w:tcPr>
          <w:p>
            <w:pPr>
              <w:spacing w:line="240" w:lineRule="auto"/>
              <w:ind w:firstLine="0" w:firstLineChars="0"/>
              <w:jc w:val="center"/>
              <w:rPr>
                <w:sz w:val="21"/>
                <w:szCs w:val="21"/>
              </w:rPr>
            </w:pPr>
            <w:r>
              <w:rPr>
                <w:sz w:val="21"/>
                <w:szCs w:val="21"/>
              </w:rPr>
              <w:t>5.24km</w:t>
            </w:r>
          </w:p>
        </w:tc>
        <w:tc>
          <w:tcPr>
            <w:tcW w:w="1140"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《地下水环境质量标准》（GB14848-2017）中的</w:t>
            </w:r>
            <w:r>
              <w:rPr>
                <w:sz w:val="21"/>
                <w:szCs w:val="21"/>
              </w:rPr>
              <w:t>Ⅲ类标准</w:t>
            </w:r>
          </w:p>
        </w:tc>
        <w:tc>
          <w:tcPr>
            <w:tcW w:w="535" w:type="pct"/>
            <w:vMerge w:val="restart"/>
            <w:tcBorders>
              <w:tl2br w:val="nil"/>
              <w:tr2bl w:val="nil"/>
            </w:tcBorders>
            <w:vAlign w:val="center"/>
          </w:tcPr>
          <w:p>
            <w:pPr>
              <w:spacing w:line="240" w:lineRule="auto"/>
              <w:ind w:firstLine="0" w:firstLineChars="0"/>
              <w:jc w:val="center"/>
              <w:rPr>
                <w:sz w:val="21"/>
                <w:szCs w:val="21"/>
              </w:rPr>
            </w:pPr>
            <w:r>
              <w:rPr>
                <w:sz w:val="21"/>
                <w:szCs w:val="21"/>
              </w:rPr>
              <w:t>地下水流向自东南向西北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 w:type="pct"/>
            <w:vMerge w:val="continue"/>
            <w:tcBorders>
              <w:tl2br w:val="nil"/>
              <w:tr2bl w:val="nil"/>
            </w:tcBorders>
            <w:vAlign w:val="center"/>
          </w:tcPr>
          <w:p>
            <w:pPr>
              <w:spacing w:line="240" w:lineRule="auto"/>
              <w:ind w:firstLine="0" w:firstLineChars="0"/>
              <w:rPr>
                <w:sz w:val="21"/>
                <w:szCs w:val="21"/>
              </w:rPr>
            </w:pPr>
          </w:p>
        </w:tc>
        <w:tc>
          <w:tcPr>
            <w:tcW w:w="880" w:type="pct"/>
            <w:vMerge w:val="continue"/>
            <w:tcBorders>
              <w:tl2br w:val="nil"/>
              <w:tr2bl w:val="nil"/>
            </w:tcBorders>
            <w:vAlign w:val="center"/>
          </w:tcPr>
          <w:p>
            <w:pPr>
              <w:spacing w:line="240" w:lineRule="auto"/>
              <w:ind w:firstLine="0" w:firstLineChars="0"/>
              <w:rPr>
                <w:sz w:val="21"/>
                <w:szCs w:val="21"/>
              </w:rPr>
            </w:pPr>
          </w:p>
        </w:tc>
        <w:tc>
          <w:tcPr>
            <w:tcW w:w="1058" w:type="pct"/>
            <w:tcBorders>
              <w:tl2br w:val="nil"/>
              <w:tr2bl w:val="nil"/>
            </w:tcBorders>
            <w:vAlign w:val="center"/>
          </w:tcPr>
          <w:p>
            <w:pPr>
              <w:spacing w:line="240" w:lineRule="auto"/>
              <w:ind w:firstLine="0" w:firstLineChars="0"/>
              <w:jc w:val="center"/>
              <w:rPr>
                <w:sz w:val="21"/>
                <w:szCs w:val="21"/>
              </w:rPr>
            </w:pPr>
            <w:r>
              <w:rPr>
                <w:sz w:val="21"/>
                <w:szCs w:val="21"/>
              </w:rPr>
              <w:t>一级保护区边界</w:t>
            </w:r>
          </w:p>
        </w:tc>
        <w:tc>
          <w:tcPr>
            <w:tcW w:w="433" w:type="pct"/>
            <w:vMerge w:val="continue"/>
            <w:tcBorders>
              <w:tl2br w:val="nil"/>
              <w:tr2bl w:val="nil"/>
            </w:tcBorders>
            <w:vAlign w:val="center"/>
          </w:tcPr>
          <w:p>
            <w:pPr>
              <w:spacing w:line="240" w:lineRule="auto"/>
              <w:ind w:firstLine="0" w:firstLineChars="0"/>
              <w:jc w:val="center"/>
              <w:rPr>
                <w:sz w:val="21"/>
                <w:szCs w:val="21"/>
              </w:rPr>
            </w:pPr>
          </w:p>
        </w:tc>
        <w:tc>
          <w:tcPr>
            <w:tcW w:w="538" w:type="pct"/>
            <w:tcBorders>
              <w:tl2br w:val="nil"/>
              <w:tr2bl w:val="nil"/>
            </w:tcBorders>
            <w:vAlign w:val="center"/>
          </w:tcPr>
          <w:p>
            <w:pPr>
              <w:spacing w:line="240" w:lineRule="auto"/>
              <w:ind w:firstLine="0" w:firstLineChars="0"/>
              <w:jc w:val="center"/>
              <w:rPr>
                <w:sz w:val="21"/>
                <w:szCs w:val="21"/>
              </w:rPr>
            </w:pPr>
            <w:r>
              <w:rPr>
                <w:sz w:val="21"/>
                <w:szCs w:val="21"/>
              </w:rPr>
              <w:t>5.72km</w:t>
            </w:r>
          </w:p>
        </w:tc>
        <w:tc>
          <w:tcPr>
            <w:tcW w:w="1140" w:type="pct"/>
            <w:vMerge w:val="continue"/>
            <w:tcBorders>
              <w:tl2br w:val="nil"/>
              <w:tr2bl w:val="nil"/>
            </w:tcBorders>
            <w:vAlign w:val="center"/>
          </w:tcPr>
          <w:p>
            <w:pPr>
              <w:spacing w:line="240" w:lineRule="auto"/>
              <w:rPr>
                <w:sz w:val="21"/>
                <w:szCs w:val="21"/>
              </w:rPr>
            </w:pPr>
          </w:p>
        </w:tc>
        <w:tc>
          <w:tcPr>
            <w:tcW w:w="535" w:type="pct"/>
            <w:vMerge w:val="continue"/>
            <w:tcBorders>
              <w:tl2br w:val="nil"/>
              <w:tr2bl w:val="nil"/>
            </w:tcBorders>
            <w:vAlign w:val="center"/>
          </w:tcPr>
          <w:p>
            <w:pPr>
              <w:spacing w:line="240" w:lineRule="auto"/>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 w:type="pct"/>
            <w:vMerge w:val="continue"/>
            <w:tcBorders>
              <w:tl2br w:val="nil"/>
              <w:tr2bl w:val="nil"/>
            </w:tcBorders>
            <w:vAlign w:val="center"/>
          </w:tcPr>
          <w:p>
            <w:pPr>
              <w:spacing w:line="240" w:lineRule="auto"/>
              <w:ind w:firstLine="0" w:firstLineChars="0"/>
              <w:rPr>
                <w:sz w:val="21"/>
                <w:szCs w:val="21"/>
              </w:rPr>
            </w:pPr>
          </w:p>
        </w:tc>
        <w:tc>
          <w:tcPr>
            <w:tcW w:w="880" w:type="pct"/>
            <w:vMerge w:val="restart"/>
            <w:tcBorders>
              <w:tl2br w:val="nil"/>
              <w:tr2bl w:val="nil"/>
            </w:tcBorders>
            <w:vAlign w:val="center"/>
          </w:tcPr>
          <w:p>
            <w:pPr>
              <w:spacing w:line="240" w:lineRule="auto"/>
              <w:ind w:firstLine="0" w:firstLineChars="0"/>
              <w:jc w:val="center"/>
              <w:rPr>
                <w:sz w:val="21"/>
                <w:szCs w:val="21"/>
              </w:rPr>
            </w:pPr>
            <w:r>
              <w:rPr>
                <w:sz w:val="21"/>
                <w:szCs w:val="21"/>
              </w:rPr>
              <w:t>沙井镇一水厂供水井</w:t>
            </w:r>
          </w:p>
        </w:tc>
        <w:tc>
          <w:tcPr>
            <w:tcW w:w="1058" w:type="pct"/>
            <w:tcBorders>
              <w:tl2br w:val="nil"/>
              <w:tr2bl w:val="nil"/>
            </w:tcBorders>
            <w:vAlign w:val="center"/>
          </w:tcPr>
          <w:p>
            <w:pPr>
              <w:spacing w:line="240" w:lineRule="auto"/>
              <w:ind w:firstLine="0" w:firstLineChars="0"/>
              <w:jc w:val="center"/>
              <w:rPr>
                <w:sz w:val="21"/>
                <w:szCs w:val="21"/>
              </w:rPr>
            </w:pPr>
            <w:r>
              <w:rPr>
                <w:sz w:val="21"/>
                <w:szCs w:val="21"/>
              </w:rPr>
              <w:t>二级保护区边界</w:t>
            </w:r>
          </w:p>
        </w:tc>
        <w:tc>
          <w:tcPr>
            <w:tcW w:w="433" w:type="pct"/>
            <w:vMerge w:val="restart"/>
            <w:tcBorders>
              <w:tl2br w:val="nil"/>
              <w:tr2bl w:val="nil"/>
            </w:tcBorders>
            <w:vAlign w:val="center"/>
          </w:tcPr>
          <w:p>
            <w:pPr>
              <w:spacing w:line="240" w:lineRule="auto"/>
              <w:ind w:firstLine="0" w:firstLineChars="0"/>
              <w:jc w:val="center"/>
              <w:rPr>
                <w:sz w:val="21"/>
                <w:szCs w:val="21"/>
              </w:rPr>
            </w:pPr>
            <w:r>
              <w:rPr>
                <w:sz w:val="21"/>
                <w:szCs w:val="21"/>
              </w:rPr>
              <w:t>NW</w:t>
            </w:r>
          </w:p>
        </w:tc>
        <w:tc>
          <w:tcPr>
            <w:tcW w:w="538" w:type="pct"/>
            <w:tcBorders>
              <w:tl2br w:val="nil"/>
              <w:tr2bl w:val="nil"/>
            </w:tcBorders>
            <w:vAlign w:val="center"/>
          </w:tcPr>
          <w:p>
            <w:pPr>
              <w:spacing w:line="240" w:lineRule="auto"/>
              <w:ind w:firstLine="0" w:firstLineChars="0"/>
              <w:jc w:val="center"/>
              <w:rPr>
                <w:sz w:val="21"/>
                <w:szCs w:val="21"/>
              </w:rPr>
            </w:pPr>
            <w:r>
              <w:rPr>
                <w:sz w:val="21"/>
                <w:szCs w:val="21"/>
              </w:rPr>
              <w:t>3.45km</w:t>
            </w:r>
          </w:p>
        </w:tc>
        <w:tc>
          <w:tcPr>
            <w:tcW w:w="1140" w:type="pct"/>
            <w:vMerge w:val="continue"/>
            <w:tcBorders>
              <w:tl2br w:val="nil"/>
              <w:tr2bl w:val="nil"/>
            </w:tcBorders>
            <w:vAlign w:val="center"/>
          </w:tcPr>
          <w:p>
            <w:pPr>
              <w:spacing w:line="240" w:lineRule="auto"/>
              <w:rPr>
                <w:sz w:val="21"/>
                <w:szCs w:val="21"/>
              </w:rPr>
            </w:pPr>
          </w:p>
        </w:tc>
        <w:tc>
          <w:tcPr>
            <w:tcW w:w="535" w:type="pct"/>
            <w:vMerge w:val="continue"/>
            <w:tcBorders>
              <w:tl2br w:val="nil"/>
              <w:tr2bl w:val="nil"/>
            </w:tcBorders>
            <w:vAlign w:val="center"/>
          </w:tcPr>
          <w:p>
            <w:pPr>
              <w:spacing w:line="240" w:lineRule="auto"/>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3" w:type="pct"/>
            <w:vMerge w:val="continue"/>
            <w:tcBorders>
              <w:tl2br w:val="nil"/>
              <w:tr2bl w:val="nil"/>
            </w:tcBorders>
            <w:vAlign w:val="center"/>
          </w:tcPr>
          <w:p>
            <w:pPr>
              <w:spacing w:line="240" w:lineRule="auto"/>
              <w:ind w:firstLine="0" w:firstLineChars="0"/>
              <w:rPr>
                <w:sz w:val="21"/>
                <w:szCs w:val="21"/>
              </w:rPr>
            </w:pPr>
          </w:p>
        </w:tc>
        <w:tc>
          <w:tcPr>
            <w:tcW w:w="880" w:type="pct"/>
            <w:vMerge w:val="continue"/>
            <w:tcBorders>
              <w:tl2br w:val="nil"/>
              <w:tr2bl w:val="nil"/>
            </w:tcBorders>
            <w:vAlign w:val="center"/>
          </w:tcPr>
          <w:p>
            <w:pPr>
              <w:spacing w:line="240" w:lineRule="auto"/>
              <w:ind w:firstLine="0" w:firstLineChars="0"/>
              <w:rPr>
                <w:sz w:val="21"/>
                <w:szCs w:val="21"/>
              </w:rPr>
            </w:pPr>
          </w:p>
        </w:tc>
        <w:tc>
          <w:tcPr>
            <w:tcW w:w="1058" w:type="pct"/>
            <w:tcBorders>
              <w:tl2br w:val="nil"/>
              <w:tr2bl w:val="nil"/>
            </w:tcBorders>
            <w:vAlign w:val="center"/>
          </w:tcPr>
          <w:p>
            <w:pPr>
              <w:spacing w:line="240" w:lineRule="auto"/>
              <w:ind w:firstLine="0" w:firstLineChars="0"/>
              <w:jc w:val="center"/>
              <w:rPr>
                <w:sz w:val="21"/>
                <w:szCs w:val="21"/>
              </w:rPr>
            </w:pPr>
            <w:r>
              <w:rPr>
                <w:sz w:val="21"/>
                <w:szCs w:val="21"/>
              </w:rPr>
              <w:t>一级保护区边界</w:t>
            </w:r>
          </w:p>
        </w:tc>
        <w:tc>
          <w:tcPr>
            <w:tcW w:w="433" w:type="pct"/>
            <w:vMerge w:val="continue"/>
            <w:tcBorders>
              <w:tl2br w:val="nil"/>
              <w:tr2bl w:val="nil"/>
            </w:tcBorders>
            <w:vAlign w:val="center"/>
          </w:tcPr>
          <w:p>
            <w:pPr>
              <w:spacing w:line="240" w:lineRule="auto"/>
              <w:ind w:firstLine="0" w:firstLineChars="0"/>
              <w:jc w:val="center"/>
              <w:rPr>
                <w:sz w:val="21"/>
                <w:szCs w:val="21"/>
              </w:rPr>
            </w:pPr>
          </w:p>
        </w:tc>
        <w:tc>
          <w:tcPr>
            <w:tcW w:w="538" w:type="pct"/>
            <w:tcBorders>
              <w:tl2br w:val="nil"/>
              <w:tr2bl w:val="nil"/>
            </w:tcBorders>
            <w:vAlign w:val="center"/>
          </w:tcPr>
          <w:p>
            <w:pPr>
              <w:spacing w:line="240" w:lineRule="auto"/>
              <w:ind w:firstLine="0" w:firstLineChars="0"/>
              <w:jc w:val="center"/>
              <w:rPr>
                <w:sz w:val="21"/>
                <w:szCs w:val="21"/>
              </w:rPr>
            </w:pPr>
            <w:r>
              <w:rPr>
                <w:sz w:val="21"/>
                <w:szCs w:val="21"/>
              </w:rPr>
              <w:t>4.17km</w:t>
            </w:r>
          </w:p>
        </w:tc>
        <w:tc>
          <w:tcPr>
            <w:tcW w:w="1140" w:type="pct"/>
            <w:vMerge w:val="continue"/>
            <w:tcBorders>
              <w:tl2br w:val="nil"/>
              <w:tr2bl w:val="nil"/>
            </w:tcBorders>
            <w:vAlign w:val="center"/>
          </w:tcPr>
          <w:p>
            <w:pPr>
              <w:spacing w:line="240" w:lineRule="auto"/>
              <w:rPr>
                <w:sz w:val="21"/>
                <w:szCs w:val="21"/>
              </w:rPr>
            </w:pPr>
          </w:p>
        </w:tc>
        <w:tc>
          <w:tcPr>
            <w:tcW w:w="535" w:type="pct"/>
            <w:vMerge w:val="continue"/>
            <w:tcBorders>
              <w:tl2br w:val="nil"/>
              <w:tr2bl w:val="nil"/>
            </w:tcBorders>
            <w:vAlign w:val="center"/>
          </w:tcPr>
          <w:p>
            <w:pPr>
              <w:spacing w:line="240" w:lineRule="auto"/>
              <w:rPr>
                <w:sz w:val="21"/>
                <w:szCs w:val="21"/>
              </w:rPr>
            </w:pPr>
          </w:p>
        </w:tc>
      </w:tr>
    </w:tbl>
    <w:p>
      <w:pPr>
        <w:pStyle w:val="2"/>
        <w:rPr>
          <w:color w:val="auto"/>
        </w:rPr>
      </w:pPr>
    </w:p>
    <w:p>
      <w:pPr>
        <w:pStyle w:val="4"/>
        <w:sectPr>
          <w:headerReference r:id="rId11" w:type="default"/>
          <w:footerReference r:id="rId12" w:type="default"/>
          <w:pgSz w:w="11906" w:h="16838"/>
          <w:pgMar w:top="1440" w:right="1080" w:bottom="1440" w:left="1080" w:header="964" w:footer="992" w:gutter="0"/>
          <w:pgBorders>
            <w:top w:val="none" w:sz="0" w:space="0"/>
            <w:left w:val="none" w:sz="0" w:space="0"/>
            <w:bottom w:val="none" w:sz="0" w:space="0"/>
            <w:right w:val="none" w:sz="0" w:space="0"/>
          </w:pgBorders>
          <w:cols w:space="425" w:num="1"/>
          <w:docGrid w:type="lines" w:linePitch="312" w:charSpace="0"/>
        </w:sectPr>
      </w:pPr>
    </w:p>
    <w:p>
      <w:pPr>
        <w:pStyle w:val="4"/>
        <w:rPr>
          <w:rFonts w:hint="default" w:eastAsia="宋体"/>
          <w:lang w:val="en-US" w:eastAsia="zh-CN"/>
        </w:rPr>
      </w:pPr>
      <w:bookmarkStart w:id="417" w:name="_Toc12023_WPSOffice_Level1"/>
      <w:bookmarkStart w:id="418" w:name="_Toc1151"/>
      <w:bookmarkStart w:id="419" w:name="_Toc6097"/>
      <w:r>
        <w:t>2</w:t>
      </w:r>
      <w:r>
        <w:rPr>
          <w:rFonts w:hint="eastAsia"/>
        </w:rPr>
        <w:t>、</w:t>
      </w:r>
      <w:bookmarkEnd w:id="417"/>
      <w:r>
        <w:rPr>
          <w:rFonts w:hint="eastAsia"/>
          <w:lang w:val="en-US" w:eastAsia="zh-CN"/>
        </w:rPr>
        <w:t>现有工程</w:t>
      </w:r>
      <w:bookmarkEnd w:id="418"/>
    </w:p>
    <w:p>
      <w:pPr>
        <w:pStyle w:val="5"/>
        <w:bidi w:val="0"/>
        <w:rPr>
          <w:rFonts w:hint="default"/>
          <w:lang w:val="en-US" w:eastAsia="zh-CN"/>
        </w:rPr>
      </w:pPr>
      <w:bookmarkStart w:id="420" w:name="_Toc13597"/>
      <w:r>
        <w:rPr>
          <w:rFonts w:hint="eastAsia"/>
          <w:lang w:val="en-US" w:eastAsia="zh-CN"/>
        </w:rPr>
        <w:t>2.1、公司简介</w:t>
      </w:r>
      <w:bookmarkEnd w:id="420"/>
    </w:p>
    <w:p>
      <w:pPr>
        <w:bidi w:val="0"/>
      </w:pPr>
      <w:r>
        <w:t>张掖市沅博农牧产业开发有限公司是一家从事家禽养殖</w:t>
      </w:r>
      <w:r>
        <w:rPr>
          <w:rFonts w:hint="eastAsia"/>
          <w:lang w:eastAsia="zh-CN"/>
        </w:rPr>
        <w:t>，</w:t>
      </w:r>
      <w:r>
        <w:t>家畜的养殖</w:t>
      </w:r>
      <w:r>
        <w:rPr>
          <w:rFonts w:hint="eastAsia"/>
          <w:lang w:eastAsia="zh-CN"/>
        </w:rPr>
        <w:t>，</w:t>
      </w:r>
      <w:r>
        <w:t>谷物种植等业务的公司，成立于2001年03月14日，公司坐落在甘肃省张掖市甘州区张肃公路19公里处</w:t>
      </w:r>
      <w:r>
        <w:rPr>
          <w:rFonts w:hint="eastAsia"/>
          <w:lang w:eastAsia="zh-CN"/>
        </w:rPr>
        <w:t>，</w:t>
      </w:r>
      <w:r>
        <w:t>张掖市沅博农牧产业开发有限公司的信用代码/税号为916207027190633369，法人</w:t>
      </w:r>
      <w:r>
        <w:rPr>
          <w:rFonts w:hint="eastAsia"/>
          <w:lang w:val="en-US" w:eastAsia="zh-CN"/>
        </w:rPr>
        <w:t>为</w:t>
      </w:r>
      <w:r>
        <w:t>吴建立，注册资本为9866万人民币，企业的经营范围为</w:t>
      </w:r>
      <w:r>
        <w:rPr>
          <w:rFonts w:hint="eastAsia"/>
          <w:lang w:eastAsia="zh-CN"/>
        </w:rPr>
        <w:t>：</w:t>
      </w:r>
      <w:r>
        <w:t>家禽、家畜（不含种畜禽）的养殖，谷物、油菜、豆类、中药材、瓜类、果品、蔬菜（不含种子种苗）的种植，粮食收购、销售，农产品市场管理服务。</w:t>
      </w:r>
    </w:p>
    <w:p>
      <w:pPr>
        <w:pStyle w:val="5"/>
        <w:bidi w:val="0"/>
        <w:rPr>
          <w:rFonts w:hint="eastAsia"/>
        </w:rPr>
      </w:pPr>
      <w:bookmarkStart w:id="421" w:name="_Toc31473"/>
      <w:r>
        <w:rPr>
          <w:rFonts w:hint="eastAsia"/>
        </w:rPr>
        <w:t>2.</w:t>
      </w:r>
      <w:r>
        <w:rPr>
          <w:rFonts w:hint="eastAsia"/>
          <w:lang w:val="en-US" w:eastAsia="zh-CN"/>
        </w:rPr>
        <w:t>2</w:t>
      </w:r>
      <w:r>
        <w:rPr>
          <w:rFonts w:hint="eastAsia"/>
          <w:lang w:eastAsia="zh-CN"/>
        </w:rPr>
        <w:t>、</w:t>
      </w:r>
      <w:r>
        <w:rPr>
          <w:rFonts w:hint="eastAsia"/>
          <w:lang w:val="en-US" w:eastAsia="zh-CN"/>
        </w:rPr>
        <w:t>现有工程</w:t>
      </w:r>
      <w:r>
        <w:rPr>
          <w:rFonts w:hint="eastAsia"/>
        </w:rPr>
        <w:t>环保手续履行情况</w:t>
      </w:r>
      <w:bookmarkEnd w:id="421"/>
    </w:p>
    <w:p>
      <w:pPr>
        <w:bidi w:val="0"/>
        <w:rPr>
          <w:rFonts w:hint="default"/>
          <w:lang w:val="en-US" w:eastAsia="zh-CN"/>
        </w:rPr>
      </w:pPr>
      <w:bookmarkStart w:id="422" w:name="_Toc23185"/>
      <w:bookmarkStart w:id="423" w:name="_Toc30252"/>
      <w:r>
        <w:t>本项目</w:t>
      </w:r>
      <w:r>
        <w:rPr>
          <w:rFonts w:hint="eastAsia"/>
          <w:lang w:val="en-US" w:eastAsia="zh-CN"/>
        </w:rPr>
        <w:t>位于张掖市甘州区巴吉滩农产品产业园张掖市沅博农牧产业开发有限公司内</w:t>
      </w:r>
      <w:r>
        <w:t>。现有工程概况资料主要</w:t>
      </w:r>
      <w:r>
        <w:rPr>
          <w:rFonts w:hint="eastAsia"/>
          <w:lang w:val="en-US" w:eastAsia="zh-CN"/>
        </w:rPr>
        <w:t>根据实际建设内容获得，同时结合厂区</w:t>
      </w:r>
      <w:r>
        <w:t>现有生产线环评报告、验收报告、排污许可证等资料</w:t>
      </w:r>
      <w:r>
        <w:rPr>
          <w:rFonts w:hint="eastAsia"/>
          <w:lang w:eastAsia="zh-CN"/>
        </w:rPr>
        <w:t>，</w:t>
      </w:r>
      <w:r>
        <w:rPr>
          <w:rFonts w:hint="eastAsia"/>
          <w:lang w:val="en-US" w:eastAsia="zh-CN"/>
        </w:rPr>
        <w:t>现有工程环保手续办理情况详见下表。</w:t>
      </w:r>
    </w:p>
    <w:p>
      <w:pPr>
        <w:bidi w:val="0"/>
        <w:spacing w:line="240" w:lineRule="auto"/>
        <w:ind w:left="0" w:leftChars="0" w:firstLine="0" w:firstLineChars="0"/>
        <w:jc w:val="center"/>
      </w:pPr>
      <w:r>
        <w:rPr>
          <w:b/>
          <w:bCs/>
        </w:rPr>
        <w:t xml:space="preserve">表2.1 </w:t>
      </w:r>
      <w:r>
        <w:rPr>
          <w:rFonts w:hint="eastAsia"/>
          <w:b/>
          <w:bCs/>
          <w:lang w:val="en-US" w:eastAsia="zh-CN"/>
        </w:rPr>
        <w:t xml:space="preserve">   张掖市沅博农牧产业开发有限公司</w:t>
      </w:r>
      <w:r>
        <w:rPr>
          <w:b/>
          <w:bCs/>
        </w:rPr>
        <w:t>现有生产线</w:t>
      </w:r>
      <w:r>
        <w:rPr>
          <w:rFonts w:hint="eastAsia"/>
          <w:b/>
          <w:bCs/>
          <w:lang w:val="en-US"/>
        </w:rPr>
        <w:t>环保手续履行情况</w:t>
      </w:r>
      <w:r>
        <w:rPr>
          <w:b/>
          <w:bCs/>
        </w:rPr>
        <w:t>一览表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5"/>
        <w:gridCol w:w="548"/>
        <w:gridCol w:w="2634"/>
        <w:gridCol w:w="1650"/>
        <w:gridCol w:w="2684"/>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277" w:type="pct"/>
            <w:gridSpan w:val="2"/>
            <w:tcBorders>
              <w:tl2br w:val="nil"/>
              <w:tr2bl w:val="nil"/>
            </w:tcBorders>
            <w:noWrap w:val="0"/>
            <w:vAlign w:val="center"/>
          </w:tcPr>
          <w:p>
            <w:pPr>
              <w:bidi w:val="0"/>
              <w:spacing w:line="240" w:lineRule="auto"/>
              <w:ind w:left="0" w:leftChars="0" w:firstLine="0" w:firstLineChars="0"/>
              <w:jc w:val="center"/>
              <w:rPr>
                <w:rFonts w:hint="eastAsia" w:ascii="Times New Roman" w:hAnsi="Times New Roman" w:eastAsia="宋体" w:cs="Times New Roman"/>
                <w:b/>
                <w:bCs/>
                <w:sz w:val="21"/>
                <w:szCs w:val="21"/>
                <w:lang w:val="en-US" w:eastAsia="zh-CN"/>
              </w:rPr>
            </w:pPr>
            <w:r>
              <w:rPr>
                <w:rFonts w:hint="eastAsia" w:cs="Times New Roman"/>
                <w:b/>
                <w:bCs/>
                <w:sz w:val="21"/>
                <w:szCs w:val="21"/>
                <w:lang w:val="en-US" w:eastAsia="zh-CN"/>
              </w:rPr>
              <w:t>类型</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项目名称</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批准文号</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eastAsia" w:cs="Times New Roman"/>
                <w:b/>
                <w:bCs/>
                <w:sz w:val="21"/>
                <w:szCs w:val="21"/>
                <w:lang w:val="en-US" w:eastAsia="zh-CN"/>
              </w:rPr>
              <w:t>环评批复单位/</w:t>
            </w:r>
            <w:r>
              <w:rPr>
                <w:rFonts w:hint="default" w:ascii="Times New Roman" w:hAnsi="Times New Roman" w:eastAsia="宋体" w:cs="Times New Roman"/>
                <w:b/>
                <w:bCs/>
                <w:sz w:val="21"/>
                <w:szCs w:val="21"/>
                <w:lang w:val="en-US" w:eastAsia="zh-CN"/>
              </w:rPr>
              <w:t>验收单位</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批复时间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2"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277" w:type="pct"/>
            <w:gridSpan w:val="2"/>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环评</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万吨清真肉品冷链物流配送市场服务体系建设项目环境影响报告表</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张环评发</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2013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71</w:t>
            </w:r>
            <w:r>
              <w:rPr>
                <w:rFonts w:hint="default" w:ascii="Times New Roman" w:hAnsi="Times New Roman" w:eastAsia="宋体" w:cs="Times New Roman"/>
                <w:sz w:val="21"/>
                <w:szCs w:val="21"/>
              </w:rPr>
              <w:t>号</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张掖市环境保护局</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w:t>
            </w:r>
            <w:r>
              <w:rPr>
                <w:rFonts w:hint="eastAsia" w:cs="Times New Roman"/>
                <w:sz w:val="21"/>
                <w:szCs w:val="21"/>
                <w:lang w:val="en-US" w:eastAsia="zh-CN"/>
              </w:rPr>
              <w:t>称</w:t>
            </w:r>
            <w:r>
              <w:rPr>
                <w:rFonts w:hint="default" w:ascii="Times New Roman" w:hAnsi="Times New Roman" w:eastAsia="宋体" w:cs="Times New Roman"/>
                <w:sz w:val="21"/>
                <w:szCs w:val="21"/>
                <w:lang w:val="en-US" w:eastAsia="zh-CN"/>
              </w:rPr>
              <w:t>张掖市生态环境局</w:t>
            </w:r>
            <w:r>
              <w:rPr>
                <w:rFonts w:hint="default" w:ascii="Times New Roman" w:hAnsi="Times New Roman" w:eastAsia="宋体" w:cs="Times New Roman"/>
                <w:sz w:val="21"/>
                <w:szCs w:val="21"/>
              </w:rPr>
              <w:t>）</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13</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月</w:t>
            </w:r>
            <w:r>
              <w:rPr>
                <w:rFonts w:hint="default" w:ascii="Times New Roman" w:hAnsi="Times New Roman" w:eastAsia="宋体" w:cs="Times New Roman"/>
                <w:sz w:val="21"/>
                <w:szCs w:val="21"/>
                <w:lang w:val="en-US" w:eastAsia="zh-CN"/>
              </w:rPr>
              <w:t>22</w:t>
            </w:r>
            <w:r>
              <w:rPr>
                <w:rFonts w:hint="default" w:ascii="Times New Roman" w:hAnsi="Times New Roman" w:eastAsia="宋体" w:cs="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2"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277" w:type="pct"/>
            <w:gridSpan w:val="2"/>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验收</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万吨清真肉品冷链物流配送市场服务体系建设项目</w:t>
            </w:r>
            <w:r>
              <w:rPr>
                <w:rFonts w:hint="default" w:ascii="Times New Roman" w:hAnsi="Times New Roman" w:eastAsia="宋体" w:cs="Times New Roman"/>
                <w:sz w:val="21"/>
                <w:szCs w:val="21"/>
              </w:rPr>
              <w:t>竣工环境保护验收</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张掖市沅博农牧</w:t>
            </w:r>
            <w:r>
              <w:rPr>
                <w:rFonts w:hint="eastAsia" w:ascii="Times New Roman" w:hAnsi="Times New Roman" w:eastAsia="宋体" w:cs="Times New Roman"/>
                <w:sz w:val="21"/>
                <w:szCs w:val="21"/>
                <w:lang w:val="en-US" w:eastAsia="zh-CN"/>
              </w:rPr>
              <w:t>产</w:t>
            </w:r>
            <w:r>
              <w:rPr>
                <w:rFonts w:hint="default" w:ascii="Times New Roman" w:hAnsi="Times New Roman" w:eastAsia="宋体" w:cs="Times New Roman"/>
                <w:sz w:val="21"/>
                <w:szCs w:val="21"/>
                <w:lang w:val="en-US" w:eastAsia="zh-CN"/>
              </w:rPr>
              <w:t>业开发有限公司</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17</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eastAsia="zh-CN"/>
              </w:rPr>
              <w:t>11</w:t>
            </w:r>
            <w:r>
              <w:rPr>
                <w:rFonts w:hint="default" w:ascii="Times New Roman" w:hAnsi="Times New Roman" w:eastAsia="宋体" w:cs="Times New Roman"/>
                <w:sz w:val="21"/>
                <w:szCs w:val="21"/>
              </w:rPr>
              <w:t>月</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环评</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3万头/年肉牛精深加工生产项目环境影响报告表</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张环评发</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2013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70</w:t>
            </w:r>
            <w:r>
              <w:rPr>
                <w:rFonts w:hint="default" w:ascii="Times New Roman" w:hAnsi="Times New Roman" w:eastAsia="宋体" w:cs="Times New Roman"/>
                <w:sz w:val="21"/>
                <w:szCs w:val="21"/>
              </w:rPr>
              <w:t>号</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张掖市环境保护局</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w:t>
            </w:r>
            <w:r>
              <w:rPr>
                <w:rFonts w:hint="default" w:ascii="Times New Roman" w:hAnsi="Times New Roman" w:eastAsia="宋体" w:cs="Times New Roman"/>
                <w:sz w:val="21"/>
                <w:szCs w:val="21"/>
                <w:lang w:val="en-US" w:eastAsia="zh-CN"/>
              </w:rPr>
              <w:t>张掖市生态环境局</w:t>
            </w:r>
            <w:r>
              <w:rPr>
                <w:rFonts w:hint="default" w:ascii="Times New Roman" w:hAnsi="Times New Roman" w:eastAsia="宋体" w:cs="Times New Roman"/>
                <w:sz w:val="21"/>
                <w:szCs w:val="21"/>
              </w:rPr>
              <w:t>）</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13</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月</w:t>
            </w:r>
            <w:r>
              <w:rPr>
                <w:rFonts w:hint="default" w:ascii="Times New Roman" w:hAnsi="Times New Roman" w:eastAsia="宋体" w:cs="Times New Roman"/>
                <w:sz w:val="21"/>
                <w:szCs w:val="21"/>
                <w:lang w:val="en-US" w:eastAsia="zh-CN"/>
              </w:rPr>
              <w:t>22</w:t>
            </w:r>
            <w:r>
              <w:rPr>
                <w:rFonts w:hint="default" w:ascii="Times New Roman" w:hAnsi="Times New Roman" w:eastAsia="宋体" w:cs="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验收</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3万头/年肉牛精深加工生产项目</w:t>
            </w:r>
            <w:r>
              <w:rPr>
                <w:rFonts w:hint="default" w:ascii="Times New Roman" w:hAnsi="Times New Roman" w:eastAsia="宋体" w:cs="Times New Roman"/>
                <w:sz w:val="21"/>
                <w:szCs w:val="21"/>
              </w:rPr>
              <w:t>竣工环境保护验收</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张掖市沅博农牧</w:t>
            </w:r>
            <w:r>
              <w:rPr>
                <w:rFonts w:hint="eastAsia" w:ascii="Times New Roman" w:hAnsi="Times New Roman" w:eastAsia="宋体" w:cs="Times New Roman"/>
                <w:sz w:val="21"/>
                <w:szCs w:val="21"/>
                <w:lang w:val="en-US" w:eastAsia="zh-CN"/>
              </w:rPr>
              <w:t>产</w:t>
            </w:r>
            <w:r>
              <w:rPr>
                <w:rFonts w:hint="default" w:ascii="Times New Roman" w:hAnsi="Times New Roman" w:eastAsia="宋体" w:cs="Times New Roman"/>
                <w:sz w:val="21"/>
                <w:szCs w:val="21"/>
                <w:lang w:val="en-US" w:eastAsia="zh-CN"/>
              </w:rPr>
              <w:t>业开发有限公司</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17</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eastAsia="zh-CN"/>
              </w:rPr>
              <w:t>11</w:t>
            </w:r>
            <w:r>
              <w:rPr>
                <w:rFonts w:hint="default" w:ascii="Times New Roman" w:hAnsi="Times New Roman" w:eastAsia="宋体" w:cs="Times New Roman"/>
                <w:sz w:val="21"/>
                <w:szCs w:val="21"/>
              </w:rPr>
              <w:t>月</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环评</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5000头肉牛繁育基地基础设施建设项目</w:t>
            </w:r>
            <w:r>
              <w:rPr>
                <w:rFonts w:hint="default" w:ascii="Times New Roman" w:hAnsi="Times New Roman" w:eastAsia="宋体" w:cs="Times New Roman"/>
                <w:sz w:val="21"/>
                <w:szCs w:val="21"/>
              </w:rPr>
              <w:t>环境影响报告书</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张环评发</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2013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69</w:t>
            </w:r>
            <w:r>
              <w:rPr>
                <w:rFonts w:hint="default" w:ascii="Times New Roman" w:hAnsi="Times New Roman" w:eastAsia="宋体" w:cs="Times New Roman"/>
                <w:sz w:val="21"/>
                <w:szCs w:val="21"/>
              </w:rPr>
              <w:t>号</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张掖市环境保护局</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（现</w:t>
            </w:r>
            <w:r>
              <w:rPr>
                <w:rFonts w:hint="default" w:ascii="Times New Roman" w:hAnsi="Times New Roman" w:eastAsia="宋体" w:cs="Times New Roman"/>
                <w:sz w:val="21"/>
                <w:szCs w:val="21"/>
                <w:lang w:val="en-US" w:eastAsia="zh-CN"/>
              </w:rPr>
              <w:t>张掖市生态环境局</w:t>
            </w:r>
            <w:r>
              <w:rPr>
                <w:rFonts w:hint="default" w:ascii="Times New Roman" w:hAnsi="Times New Roman" w:eastAsia="宋体" w:cs="Times New Roman"/>
                <w:sz w:val="21"/>
                <w:szCs w:val="21"/>
              </w:rPr>
              <w:t>）</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13</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月</w:t>
            </w:r>
            <w:r>
              <w:rPr>
                <w:rFonts w:hint="default" w:ascii="Times New Roman" w:hAnsi="Times New Roman" w:eastAsia="宋体" w:cs="Times New Roman"/>
                <w:sz w:val="21"/>
                <w:szCs w:val="21"/>
                <w:lang w:val="en-US" w:eastAsia="zh-CN"/>
              </w:rPr>
              <w:t>22</w:t>
            </w:r>
            <w:r>
              <w:rPr>
                <w:rFonts w:hint="default" w:ascii="Times New Roman" w:hAnsi="Times New Roman" w:eastAsia="宋体" w:cs="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continue"/>
            <w:tcBorders>
              <w:tl2br w:val="nil"/>
              <w:tr2bl w:val="nil"/>
            </w:tcBorders>
            <w:noWrap w:val="0"/>
            <w:vAlign w:val="center"/>
          </w:tcPr>
          <w:p>
            <w:pPr>
              <w:bidi w:val="0"/>
              <w:spacing w:line="240" w:lineRule="auto"/>
              <w:jc w:val="center"/>
              <w:rPr>
                <w:rFonts w:hint="default" w:ascii="Times New Roman" w:hAnsi="Times New Roman" w:eastAsia="宋体" w:cs="Times New Roman"/>
                <w:sz w:val="21"/>
                <w:szCs w:val="21"/>
              </w:rPr>
            </w:pP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验收</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5000头肉牛繁育基地基础设施建设项目</w:t>
            </w:r>
            <w:r>
              <w:rPr>
                <w:rFonts w:hint="default" w:ascii="Times New Roman" w:hAnsi="Times New Roman" w:eastAsia="宋体" w:cs="Times New Roman"/>
                <w:sz w:val="21"/>
                <w:szCs w:val="21"/>
              </w:rPr>
              <w:t>竣工环境保护验收</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张掖市沅博农牧</w:t>
            </w:r>
            <w:r>
              <w:rPr>
                <w:rFonts w:hint="eastAsia" w:ascii="Times New Roman" w:hAnsi="Times New Roman" w:eastAsia="宋体" w:cs="Times New Roman"/>
                <w:sz w:val="21"/>
                <w:szCs w:val="21"/>
                <w:lang w:val="en-US" w:eastAsia="zh-CN"/>
              </w:rPr>
              <w:t>产</w:t>
            </w:r>
            <w:r>
              <w:rPr>
                <w:rFonts w:hint="default" w:ascii="Times New Roman" w:hAnsi="Times New Roman" w:eastAsia="宋体" w:cs="Times New Roman"/>
                <w:sz w:val="21"/>
                <w:szCs w:val="21"/>
                <w:lang w:val="en-US" w:eastAsia="zh-CN"/>
              </w:rPr>
              <w:t>业开发有限公司</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r>
              <w:rPr>
                <w:rFonts w:hint="default" w:ascii="Times New Roman" w:hAnsi="Times New Roman" w:eastAsia="宋体" w:cs="Times New Roman"/>
                <w:sz w:val="21"/>
                <w:szCs w:val="21"/>
                <w:lang w:val="en-US" w:eastAsia="zh-CN"/>
              </w:rPr>
              <w:t>17</w:t>
            </w:r>
            <w:r>
              <w:rPr>
                <w:rFonts w:hint="default" w:ascii="Times New Roman" w:hAnsi="Times New Roman" w:eastAsia="宋体" w:cs="Times New Roman"/>
                <w:sz w:val="21"/>
                <w:szCs w:val="21"/>
              </w:rPr>
              <w:t>年</w:t>
            </w:r>
            <w:r>
              <w:rPr>
                <w:rFonts w:hint="default" w:ascii="Times New Roman" w:hAnsi="Times New Roman" w:eastAsia="宋体" w:cs="Times New Roman"/>
                <w:sz w:val="21"/>
                <w:szCs w:val="21"/>
                <w:lang w:val="en-US" w:eastAsia="zh-CN"/>
              </w:rPr>
              <w:t>11</w:t>
            </w:r>
            <w:r>
              <w:rPr>
                <w:rFonts w:hint="default" w:ascii="Times New Roman" w:hAnsi="Times New Roman" w:eastAsia="宋体" w:cs="Times New Roman"/>
                <w:sz w:val="21"/>
                <w:szCs w:val="21"/>
              </w:rPr>
              <w:t>月</w:t>
            </w:r>
            <w:r>
              <w:rPr>
                <w:rFonts w:hint="default" w:ascii="Times New Roman" w:hAnsi="Times New Roman" w:eastAsia="宋体" w:cs="Times New Roman"/>
                <w:sz w:val="21"/>
                <w:szCs w:val="21"/>
                <w:lang w:val="en-US" w:eastAsia="zh-CN"/>
              </w:rPr>
              <w:t>15</w:t>
            </w:r>
            <w:r>
              <w:rPr>
                <w:rFonts w:hint="default" w:ascii="Times New Roman" w:hAnsi="Times New Roman" w:eastAsia="宋体" w:cs="Times New Roman"/>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环评</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牛羊屠宰副产物综合利用项目环境影响报告表</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甘区环发</w:t>
            </w:r>
          </w:p>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2018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674</w:t>
            </w:r>
            <w:r>
              <w:rPr>
                <w:rFonts w:hint="default" w:ascii="Times New Roman" w:hAnsi="Times New Roman" w:eastAsia="宋体" w:cs="Times New Roman"/>
                <w:sz w:val="21"/>
                <w:szCs w:val="21"/>
              </w:rPr>
              <w:t>号</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甘州区环境保护局（现张掖市生态环境局甘州分局）</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2018年9月26日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continue"/>
            <w:tcBorders>
              <w:tl2br w:val="nil"/>
              <w:tr2bl w:val="nil"/>
            </w:tcBorders>
            <w:noWrap w:val="0"/>
            <w:vAlign w:val="center"/>
          </w:tcPr>
          <w:p>
            <w:pPr>
              <w:bidi w:val="0"/>
              <w:spacing w:line="240" w:lineRule="auto"/>
              <w:rPr>
                <w:rFonts w:hint="default" w:ascii="Times New Roman" w:hAnsi="Times New Roman" w:eastAsia="宋体" w:cs="Times New Roman"/>
                <w:sz w:val="21"/>
                <w:szCs w:val="21"/>
              </w:rPr>
            </w:pP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验收</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牛羊屠宰副产物综合利用项目</w:t>
            </w:r>
            <w:r>
              <w:rPr>
                <w:rFonts w:hint="default" w:ascii="Times New Roman" w:hAnsi="Times New Roman" w:eastAsia="宋体" w:cs="Times New Roman"/>
                <w:sz w:val="21"/>
                <w:szCs w:val="21"/>
              </w:rPr>
              <w:t>竣工环境保护验收</w:t>
            </w:r>
          </w:p>
        </w:tc>
        <w:tc>
          <w:tcPr>
            <w:tcW w:w="828" w:type="pct"/>
            <w:tcBorders>
              <w:tl2br w:val="nil"/>
              <w:tr2bl w:val="nil"/>
            </w:tcBorders>
            <w:noWrap w:val="0"/>
            <w:vAlign w:val="center"/>
          </w:tcPr>
          <w:p>
            <w:pPr>
              <w:bidi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张掖市沅博农牧</w:t>
            </w:r>
            <w:r>
              <w:rPr>
                <w:rFonts w:hint="eastAsia" w:ascii="Times New Roman" w:hAnsi="Times New Roman" w:eastAsia="宋体" w:cs="Times New Roman"/>
                <w:sz w:val="21"/>
                <w:szCs w:val="21"/>
                <w:lang w:val="en-US" w:eastAsia="zh-CN"/>
              </w:rPr>
              <w:t>产</w:t>
            </w:r>
            <w:r>
              <w:rPr>
                <w:rFonts w:hint="default" w:ascii="Times New Roman" w:hAnsi="Times New Roman" w:eastAsia="宋体" w:cs="Times New Roman"/>
                <w:sz w:val="21"/>
                <w:szCs w:val="21"/>
                <w:lang w:val="en-US" w:eastAsia="zh-CN"/>
              </w:rPr>
              <w:t>业开发有限公司</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2022</w:t>
            </w:r>
            <w:r>
              <w:rPr>
                <w:rFonts w:hint="default" w:ascii="Times New Roman" w:hAnsi="Times New Roman" w:eastAsia="宋体" w:cs="Times New Roman"/>
                <w:sz w:val="21"/>
                <w:szCs w:val="21"/>
                <w:lang w:eastAsia="zh-CN"/>
              </w:rPr>
              <w:t>年</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环评</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节水型工农业复合循环体系改造升级</w:t>
            </w:r>
            <w:r>
              <w:rPr>
                <w:rFonts w:hint="default" w:ascii="Times New Roman" w:hAnsi="Times New Roman" w:eastAsia="宋体" w:cs="Times New Roman"/>
                <w:sz w:val="21"/>
                <w:szCs w:val="21"/>
              </w:rPr>
              <w:t>项目环境影响报告书</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张环评发</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2019</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号</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张掖市环境保护局</w:t>
            </w:r>
          </w:p>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（现</w:t>
            </w:r>
            <w:r>
              <w:rPr>
                <w:rFonts w:hint="default" w:ascii="Times New Roman" w:hAnsi="Times New Roman" w:eastAsia="宋体" w:cs="Times New Roman"/>
                <w:sz w:val="21"/>
                <w:szCs w:val="21"/>
                <w:lang w:val="en-US" w:eastAsia="zh-CN"/>
              </w:rPr>
              <w:t>张掖市生态环境局</w:t>
            </w:r>
            <w:r>
              <w:rPr>
                <w:rFonts w:hint="default" w:ascii="Times New Roman" w:hAnsi="Times New Roman" w:eastAsia="宋体" w:cs="Times New Roman"/>
                <w:sz w:val="21"/>
                <w:szCs w:val="21"/>
              </w:rPr>
              <w:t>）</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201</w:t>
            </w: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年</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16</w:t>
            </w:r>
            <w:r>
              <w:rPr>
                <w:rFonts w:hint="default" w:ascii="Times New Roman" w:hAnsi="Times New Roman" w:eastAsia="宋体" w:cs="Times New Roman"/>
                <w:sz w:val="21"/>
                <w:szCs w:val="21"/>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74" w:type="pct"/>
            <w:gridSpan w:val="2"/>
            <w:vMerge w:val="continue"/>
            <w:tcBorders>
              <w:tl2br w:val="nil"/>
              <w:tr2bl w:val="nil"/>
            </w:tcBorders>
            <w:noWrap w:val="0"/>
            <w:vAlign w:val="center"/>
          </w:tcPr>
          <w:p>
            <w:pPr>
              <w:bidi w:val="0"/>
              <w:spacing w:line="240" w:lineRule="auto"/>
              <w:rPr>
                <w:rFonts w:hint="default" w:ascii="Times New Roman" w:hAnsi="Times New Roman" w:eastAsia="宋体" w:cs="Times New Roman"/>
                <w:sz w:val="21"/>
                <w:szCs w:val="21"/>
              </w:rPr>
            </w:pPr>
          </w:p>
        </w:tc>
        <w:tc>
          <w:tcPr>
            <w:tcW w:w="2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验收</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节水型工农业复合循环体系改造升级</w:t>
            </w:r>
            <w:r>
              <w:rPr>
                <w:rFonts w:hint="default" w:ascii="Times New Roman" w:hAnsi="Times New Roman" w:eastAsia="宋体" w:cs="Times New Roman"/>
                <w:sz w:val="21"/>
                <w:szCs w:val="21"/>
              </w:rPr>
              <w:t>项目竣工环境保护验收</w:t>
            </w:r>
          </w:p>
        </w:tc>
        <w:tc>
          <w:tcPr>
            <w:tcW w:w="828" w:type="pct"/>
            <w:tcBorders>
              <w:tl2br w:val="nil"/>
              <w:tr2bl w:val="nil"/>
            </w:tcBorders>
            <w:noWrap w:val="0"/>
            <w:vAlign w:val="center"/>
          </w:tcPr>
          <w:p>
            <w:pPr>
              <w:bidi w:val="0"/>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张掖市沅博农牧</w:t>
            </w:r>
            <w:r>
              <w:rPr>
                <w:rFonts w:hint="eastAsia" w:ascii="Times New Roman" w:hAnsi="Times New Roman" w:eastAsia="宋体" w:cs="Times New Roman"/>
                <w:sz w:val="21"/>
                <w:szCs w:val="21"/>
                <w:lang w:val="en-US" w:eastAsia="zh-CN"/>
              </w:rPr>
              <w:t>产</w:t>
            </w:r>
            <w:r>
              <w:rPr>
                <w:rFonts w:hint="default" w:ascii="Times New Roman" w:hAnsi="Times New Roman" w:eastAsia="宋体" w:cs="Times New Roman"/>
                <w:sz w:val="21"/>
                <w:szCs w:val="21"/>
                <w:lang w:val="en-US" w:eastAsia="zh-CN"/>
              </w:rPr>
              <w:t>业开发有限公司</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2022</w:t>
            </w:r>
            <w:r>
              <w:rPr>
                <w:rFonts w:hint="default" w:ascii="Times New Roman" w:hAnsi="Times New Roman" w:eastAsia="宋体" w:cs="Times New Roman"/>
                <w:sz w:val="21"/>
                <w:szCs w:val="21"/>
                <w:lang w:eastAsia="zh-CN"/>
              </w:rPr>
              <w:t>年</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月</w:t>
            </w:r>
            <w:r>
              <w:rPr>
                <w:rFonts w:hint="default" w:ascii="Times New Roman" w:hAnsi="Times New Roman" w:eastAsia="宋体" w:cs="Times New Roman"/>
                <w:sz w:val="21"/>
                <w:szCs w:val="21"/>
                <w:lang w:val="en-US" w:eastAsia="zh-CN"/>
              </w:rPr>
              <w:t>9</w:t>
            </w:r>
            <w:r>
              <w:rPr>
                <w:rFonts w:hint="default" w:ascii="Times New Roman" w:hAnsi="Times New Roman" w:eastAsia="宋体" w:cs="Times New Roman"/>
                <w:sz w:val="21"/>
                <w:szCs w:val="21"/>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9"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6</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lang w:val="en-US" w:eastAsia="zh-CN"/>
              </w:rPr>
              <w:t>甘肃祁连牧歌实业有限公司</w:t>
            </w:r>
            <w:r>
              <w:rPr>
                <w:rFonts w:hint="default" w:ascii="Times New Roman" w:hAnsi="Times New Roman" w:eastAsia="宋体" w:cs="Times New Roman"/>
                <w:color w:val="0000FF"/>
                <w:sz w:val="21"/>
                <w:szCs w:val="21"/>
              </w:rPr>
              <w:t>排污许可证</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lang w:val="en-US" w:eastAsia="zh-CN"/>
              </w:rPr>
              <w:t>91620702MA74N7307H001V</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lang w:val="en-US" w:eastAsia="zh-CN"/>
              </w:rPr>
              <w:t>张掖市生态环境局</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20</w:t>
            </w:r>
            <w:r>
              <w:rPr>
                <w:rFonts w:hint="default" w:ascii="Times New Roman" w:hAnsi="Times New Roman" w:eastAsia="宋体" w:cs="Times New Roman"/>
                <w:color w:val="0000FF"/>
                <w:sz w:val="21"/>
                <w:szCs w:val="21"/>
                <w:lang w:val="en-US" w:eastAsia="zh-CN"/>
              </w:rPr>
              <w:t>21</w:t>
            </w:r>
            <w:r>
              <w:rPr>
                <w:rFonts w:hint="default" w:ascii="Times New Roman" w:hAnsi="Times New Roman" w:eastAsia="宋体" w:cs="Times New Roman"/>
                <w:color w:val="0000FF"/>
                <w:sz w:val="21"/>
                <w:szCs w:val="21"/>
              </w:rPr>
              <w:t>年12月</w:t>
            </w:r>
            <w:r>
              <w:rPr>
                <w:rFonts w:hint="default" w:ascii="Times New Roman" w:hAnsi="Times New Roman" w:eastAsia="宋体" w:cs="Times New Roman"/>
                <w:color w:val="0000FF"/>
                <w:sz w:val="21"/>
                <w:szCs w:val="21"/>
                <w:lang w:val="en-US" w:eastAsia="zh-CN"/>
              </w:rPr>
              <w:t>18</w:t>
            </w:r>
            <w:r>
              <w:rPr>
                <w:rFonts w:hint="default" w:ascii="Times New Roman" w:hAnsi="Times New Roman" w:eastAsia="宋体" w:cs="Times New Roman"/>
                <w:color w:val="0000FF"/>
                <w:sz w:val="21"/>
                <w:szCs w:val="21"/>
              </w:rPr>
              <w:t>日起至20</w:t>
            </w:r>
            <w:r>
              <w:rPr>
                <w:rFonts w:hint="default" w:ascii="Times New Roman" w:hAnsi="Times New Roman" w:eastAsia="宋体" w:cs="Times New Roman"/>
                <w:color w:val="0000FF"/>
                <w:sz w:val="21"/>
                <w:szCs w:val="21"/>
                <w:lang w:val="en-US" w:eastAsia="zh-CN"/>
              </w:rPr>
              <w:t>26</w:t>
            </w:r>
            <w:r>
              <w:rPr>
                <w:rFonts w:hint="default" w:ascii="Times New Roman" w:hAnsi="Times New Roman" w:eastAsia="宋体" w:cs="Times New Roman"/>
                <w:color w:val="0000FF"/>
                <w:sz w:val="21"/>
                <w:szCs w:val="21"/>
              </w:rPr>
              <w:t>年12月</w:t>
            </w:r>
            <w:r>
              <w:rPr>
                <w:rFonts w:hint="default" w:ascii="Times New Roman" w:hAnsi="Times New Roman" w:eastAsia="宋体" w:cs="Times New Roman"/>
                <w:color w:val="0000FF"/>
                <w:sz w:val="21"/>
                <w:szCs w:val="21"/>
                <w:lang w:val="en-US" w:eastAsia="zh-CN"/>
              </w:rPr>
              <w:t>17</w:t>
            </w:r>
            <w:r>
              <w:rPr>
                <w:rFonts w:hint="default" w:ascii="Times New Roman" w:hAnsi="Times New Roman" w:eastAsia="宋体" w:cs="Times New Roman"/>
                <w:color w:val="0000FF"/>
                <w:sz w:val="21"/>
                <w:szCs w:val="21"/>
              </w:rPr>
              <w:t>日有效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9"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132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甘肃沅搏农牧产业开发有限公司</w:t>
            </w:r>
            <w:r>
              <w:rPr>
                <w:rFonts w:hint="default" w:ascii="Times New Roman" w:hAnsi="Times New Roman" w:eastAsia="宋体" w:cs="Times New Roman"/>
                <w:color w:val="auto"/>
                <w:sz w:val="21"/>
                <w:szCs w:val="21"/>
              </w:rPr>
              <w:t>突发环境事件应急预案</w:t>
            </w:r>
          </w:p>
        </w:tc>
        <w:tc>
          <w:tcPr>
            <w:tcW w:w="82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620</w:t>
            </w:r>
            <w:r>
              <w:rPr>
                <w:rFonts w:hint="default" w:ascii="Times New Roman" w:hAnsi="Times New Roman" w:eastAsia="宋体" w:cs="Times New Roman"/>
                <w:color w:val="auto"/>
                <w:sz w:val="21"/>
                <w:szCs w:val="21"/>
                <w:lang w:val="en-US" w:eastAsia="zh-CN"/>
              </w:rPr>
              <w:t>720（经开区）</w:t>
            </w:r>
            <w:r>
              <w:rPr>
                <w:rFonts w:hint="default" w:ascii="Times New Roman" w:hAnsi="Times New Roman" w:eastAsia="宋体" w:cs="Times New Roman"/>
                <w:color w:val="auto"/>
                <w:sz w:val="21"/>
                <w:szCs w:val="21"/>
              </w:rPr>
              <w:t>-202</w:t>
            </w: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002</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L</w:t>
            </w:r>
          </w:p>
        </w:tc>
        <w:tc>
          <w:tcPr>
            <w:tcW w:w="13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张掖经济技术开发区生态环境局</w:t>
            </w:r>
          </w:p>
        </w:tc>
        <w:tc>
          <w:tcPr>
            <w:tcW w:w="952"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r>
              <w:rPr>
                <w:rFonts w:hint="default" w:ascii="Times New Roman" w:hAnsi="Times New Roman" w:eastAsia="宋体" w:cs="Times New Roman"/>
                <w:color w:val="auto"/>
                <w:sz w:val="21"/>
                <w:szCs w:val="21"/>
                <w:lang w:val="en-US" w:eastAsia="zh-CN"/>
              </w:rPr>
              <w:t>22</w:t>
            </w:r>
            <w:r>
              <w:rPr>
                <w:rFonts w:hint="default" w:ascii="Times New Roman" w:hAnsi="Times New Roman" w:eastAsia="宋体" w:cs="Times New Roman"/>
                <w:color w:val="auto"/>
                <w:sz w:val="21"/>
                <w:szCs w:val="21"/>
              </w:rPr>
              <w:t>年</w:t>
            </w: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月</w:t>
            </w:r>
            <w:r>
              <w:rPr>
                <w:rFonts w:hint="default" w:ascii="Times New Roman" w:hAnsi="Times New Roman" w:eastAsia="宋体" w:cs="Times New Roman"/>
                <w:color w:val="auto"/>
                <w:sz w:val="21"/>
                <w:szCs w:val="21"/>
                <w:lang w:val="en-US" w:eastAsia="zh-CN"/>
              </w:rPr>
              <w:t>7</w:t>
            </w:r>
            <w:r>
              <w:rPr>
                <w:rFonts w:hint="default" w:ascii="Times New Roman" w:hAnsi="Times New Roman" w:eastAsia="宋体" w:cs="Times New Roman"/>
                <w:color w:val="auto"/>
                <w:sz w:val="21"/>
                <w:szCs w:val="21"/>
              </w:rPr>
              <w:t>日</w:t>
            </w:r>
          </w:p>
        </w:tc>
      </w:tr>
    </w:tbl>
    <w:p>
      <w:pPr>
        <w:pStyle w:val="5"/>
        <w:bidi w:val="0"/>
      </w:pPr>
      <w:bookmarkStart w:id="424" w:name="_Toc16473"/>
      <w:r>
        <w:t>2.</w:t>
      </w:r>
      <w:r>
        <w:rPr>
          <w:rFonts w:hint="eastAsia"/>
          <w:lang w:val="en-US" w:eastAsia="zh-CN"/>
        </w:rPr>
        <w:t>3</w:t>
      </w:r>
      <w:r>
        <w:rPr>
          <w:rFonts w:hint="eastAsia"/>
          <w:lang w:eastAsia="zh-CN"/>
        </w:rPr>
        <w:t>、</w:t>
      </w:r>
      <w:r>
        <w:t>现有工程概况</w:t>
      </w:r>
      <w:bookmarkEnd w:id="422"/>
      <w:bookmarkEnd w:id="423"/>
      <w:bookmarkEnd w:id="424"/>
    </w:p>
    <w:p>
      <w:pPr>
        <w:bidi w:val="0"/>
        <w:rPr>
          <w:rFonts w:hint="eastAsia"/>
        </w:rPr>
      </w:pPr>
      <w:r>
        <w:rPr>
          <w:rFonts w:hint="eastAsia"/>
          <w:lang w:val="en-US" w:eastAsia="zh-CN"/>
        </w:rPr>
        <w:t>根据建设单位提供的资料，同时结合现场调查和资料收集，张掖市沅博农牧产业开发有限公司</w:t>
      </w:r>
      <w:r>
        <w:rPr>
          <w:rFonts w:hint="eastAsia"/>
        </w:rPr>
        <w:t>现有工程</w:t>
      </w:r>
      <w:r>
        <w:rPr>
          <w:rFonts w:hint="eastAsia"/>
          <w:lang w:val="en-US" w:eastAsia="zh-CN"/>
        </w:rPr>
        <w:t>具体</w:t>
      </w:r>
      <w:r>
        <w:rPr>
          <w:rFonts w:hint="eastAsia"/>
        </w:rPr>
        <w:t>建设情况见表</w:t>
      </w:r>
      <w:r>
        <w:rPr>
          <w:rFonts w:hint="eastAsia"/>
          <w:lang w:val="en-US" w:eastAsia="zh-CN"/>
        </w:rPr>
        <w:t>2.2</w:t>
      </w:r>
      <w:r>
        <w:rPr>
          <w:rFonts w:hint="eastAsia"/>
        </w:rPr>
        <w:t>。</w:t>
      </w:r>
    </w:p>
    <w:p>
      <w:pPr>
        <w:bidi w:val="0"/>
        <w:spacing w:line="240" w:lineRule="auto"/>
        <w:jc w:val="center"/>
        <w:rPr>
          <w:rFonts w:hint="default"/>
          <w:b/>
          <w:bCs/>
          <w:lang w:eastAsia="zh-CN"/>
        </w:rPr>
      </w:pPr>
      <w:r>
        <w:rPr>
          <w:rFonts w:hint="default"/>
          <w:b/>
          <w:bCs/>
          <w:lang w:eastAsia="zh-CN"/>
        </w:rPr>
        <w:t>表</w:t>
      </w:r>
      <w:r>
        <w:rPr>
          <w:rFonts w:hint="eastAsia"/>
          <w:b/>
          <w:bCs/>
          <w:lang w:val="en-US" w:eastAsia="zh-CN"/>
        </w:rPr>
        <w:t>2.2</w:t>
      </w:r>
      <w:r>
        <w:rPr>
          <w:rFonts w:hint="default"/>
          <w:b/>
          <w:bCs/>
          <w:lang w:val="en-US" w:eastAsia="zh-CN"/>
        </w:rPr>
        <w:t xml:space="preserve">    </w:t>
      </w:r>
      <w:r>
        <w:rPr>
          <w:rFonts w:hint="eastAsia"/>
          <w:b/>
          <w:bCs/>
          <w:lang w:val="en-US" w:eastAsia="zh-CN"/>
        </w:rPr>
        <w:t>现有工程</w:t>
      </w:r>
      <w:r>
        <w:rPr>
          <w:rFonts w:hint="default"/>
          <w:b/>
          <w:bCs/>
          <w:lang w:val="en-US" w:eastAsia="zh-CN"/>
        </w:rPr>
        <w:t>主要建设内容</w:t>
      </w:r>
    </w:p>
    <w:tbl>
      <w:tblPr>
        <w:tblStyle w:val="33"/>
        <w:tblW w:w="4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
        <w:gridCol w:w="691"/>
        <w:gridCol w:w="1554"/>
        <w:gridCol w:w="6242"/>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序号</w:t>
            </w:r>
          </w:p>
        </w:tc>
        <w:tc>
          <w:tcPr>
            <w:tcW w:w="1131" w:type="pct"/>
            <w:gridSpan w:val="2"/>
            <w:tcBorders>
              <w:tl2br w:val="nil"/>
              <w:tr2bl w:val="nil"/>
            </w:tcBorders>
            <w:noWrap w:val="0"/>
            <w:vAlign w:val="center"/>
          </w:tcPr>
          <w:p>
            <w:pPr>
              <w:widowControl/>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项目组成</w:t>
            </w:r>
          </w:p>
        </w:tc>
        <w:tc>
          <w:tcPr>
            <w:tcW w:w="3145" w:type="pct"/>
            <w:tcBorders>
              <w:tl2br w:val="nil"/>
              <w:tr2bl w:val="nil"/>
            </w:tcBorders>
            <w:noWrap w:val="0"/>
            <w:vAlign w:val="center"/>
          </w:tcPr>
          <w:p>
            <w:pPr>
              <w:widowControl/>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主要建设内容</w:t>
            </w:r>
          </w:p>
        </w:tc>
        <w:tc>
          <w:tcPr>
            <w:tcW w:w="403" w:type="pct"/>
            <w:tcBorders>
              <w:tl2br w:val="nil"/>
              <w:tr2bl w:val="nil"/>
            </w:tcBorders>
            <w:noWrap w:val="0"/>
            <w:vAlign w:val="center"/>
          </w:tcPr>
          <w:p>
            <w:pPr>
              <w:widowControl/>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sz w:val="21"/>
                <w:szCs w:val="21"/>
                <w:vertAlign w:val="baseline"/>
                <w:lang w:val="en-US" w:eastAsia="zh-CN"/>
              </w:rPr>
              <w:t>一</w:t>
            </w:r>
            <w:r>
              <w:rPr>
                <w:rFonts w:hint="eastAsia" w:cs="Times New Roman"/>
                <w:b/>
                <w:bCs/>
                <w:color w:val="auto"/>
                <w:sz w:val="21"/>
                <w:szCs w:val="21"/>
                <w:vertAlign w:val="baseline"/>
                <w:lang w:val="en-US" w:eastAsia="zh-CN"/>
              </w:rPr>
              <w:t>、</w:t>
            </w:r>
            <w:r>
              <w:rPr>
                <w:rFonts w:hint="default" w:ascii="Times New Roman" w:hAnsi="Times New Roman" w:eastAsia="宋体" w:cs="Times New Roman"/>
                <w:b/>
                <w:bCs/>
                <w:sz w:val="21"/>
                <w:szCs w:val="21"/>
                <w:vertAlign w:val="baseline"/>
                <w:lang w:val="en-US" w:eastAsia="zh-CN"/>
              </w:rPr>
              <w:t>万吨清真肉品冷链物流配送市场服务体系建设项目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1.1</w:t>
            </w:r>
          </w:p>
        </w:tc>
        <w:tc>
          <w:tcPr>
            <w:tcW w:w="348" w:type="pct"/>
            <w:vMerge w:val="restar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主体工程</w:t>
            </w:r>
          </w:p>
        </w:tc>
        <w:tc>
          <w:tcPr>
            <w:tcW w:w="783" w:type="pc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冷库</w:t>
            </w:r>
          </w:p>
        </w:tc>
        <w:tc>
          <w:tcPr>
            <w:tcW w:w="3145" w:type="pct"/>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占地面积4212m</w:t>
            </w:r>
            <w:r>
              <w:rPr>
                <w:rFonts w:hint="eastAsia" w:cs="Times New Roman"/>
                <w:color w:val="auto"/>
                <w:sz w:val="21"/>
                <w:szCs w:val="21"/>
                <w:vertAlign w:val="superscript"/>
                <w:lang w:val="en-US" w:eastAsia="zh-CN"/>
              </w:rPr>
              <w:t>2</w:t>
            </w:r>
            <w:r>
              <w:rPr>
                <w:rFonts w:hint="eastAsia" w:cs="Times New Roman"/>
                <w:color w:val="auto"/>
                <w:sz w:val="21"/>
                <w:szCs w:val="21"/>
                <w:vertAlign w:val="baseline"/>
                <w:lang w:val="en-US" w:eastAsia="zh-CN"/>
              </w:rPr>
              <w:t>，静态容量5000t。</w:t>
            </w:r>
          </w:p>
        </w:tc>
        <w:tc>
          <w:tcPr>
            <w:tcW w:w="403" w:type="pct"/>
            <w:vMerge w:val="restart"/>
            <w:tcBorders>
              <w:tl2br w:val="nil"/>
              <w:tr2bl w:val="nil"/>
            </w:tcBorders>
            <w:noWrap w:val="0"/>
            <w:vAlign w:val="center"/>
          </w:tcPr>
          <w:p>
            <w:pPr>
              <w:widowControl/>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已完成环评，</w:t>
            </w:r>
            <w:r>
              <w:rPr>
                <w:rFonts w:hint="default" w:ascii="Times New Roman" w:hAnsi="Times New Roman" w:eastAsia="宋体" w:cs="Times New Roman"/>
                <w:color w:val="auto"/>
                <w:sz w:val="21"/>
                <w:szCs w:val="21"/>
                <w:lang w:val="en-US" w:eastAsia="zh-CN"/>
              </w:rPr>
              <w:t>已完成验收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质检中心</w:t>
            </w:r>
          </w:p>
        </w:tc>
        <w:tc>
          <w:tcPr>
            <w:tcW w:w="3145" w:type="pct"/>
            <w:tcBorders>
              <w:tl2br w:val="nil"/>
              <w:tr2bl w:val="nil"/>
            </w:tcBorders>
            <w:noWrap w:val="0"/>
            <w:vAlign w:val="center"/>
          </w:tcPr>
          <w:p>
            <w:pPr>
              <w:widowControl/>
              <w:spacing w:line="240" w:lineRule="auto"/>
              <w:ind w:left="0" w:leftChars="0" w:firstLine="0" w:firstLineChars="0"/>
              <w:jc w:val="both"/>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位于肉牛精深加工项目综合办公楼1层，配备必要的质检设备及信息交换设备置，占地面积600m</w:t>
            </w:r>
            <w:r>
              <w:rPr>
                <w:rFonts w:hint="eastAsia" w:cs="Times New Roman"/>
                <w:color w:val="auto"/>
                <w:sz w:val="21"/>
                <w:szCs w:val="21"/>
                <w:vertAlign w:val="superscript"/>
                <w:lang w:val="en-US" w:eastAsia="zh-CN"/>
              </w:rPr>
              <w:t>2</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1.2</w:t>
            </w:r>
          </w:p>
        </w:tc>
        <w:tc>
          <w:tcPr>
            <w:tcW w:w="348" w:type="pct"/>
            <w:vMerge w:val="restart"/>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环保工程</w:t>
            </w:r>
          </w:p>
        </w:tc>
        <w:tc>
          <w:tcPr>
            <w:tcW w:w="783" w:type="pc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噪声治理措施</w:t>
            </w:r>
          </w:p>
        </w:tc>
        <w:tc>
          <w:tcPr>
            <w:tcW w:w="3145" w:type="pct"/>
            <w:tcBorders>
              <w:tl2br w:val="nil"/>
              <w:tr2bl w:val="nil"/>
            </w:tcBorders>
            <w:noWrap w:val="0"/>
            <w:vAlign w:val="center"/>
          </w:tcPr>
          <w:p>
            <w:pPr>
              <w:widowControl/>
              <w:spacing w:line="240" w:lineRule="auto"/>
              <w:ind w:left="0" w:leftChars="0" w:firstLine="0" w:firstLineChars="0"/>
              <w:jc w:val="both"/>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减振基座、厂房隔声等。</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废水治理措施</w:t>
            </w:r>
          </w:p>
        </w:tc>
        <w:tc>
          <w:tcPr>
            <w:tcW w:w="3145" w:type="pct"/>
            <w:tcBorders>
              <w:tl2br w:val="nil"/>
              <w:tr2bl w:val="nil"/>
            </w:tcBorders>
            <w:noWrap w:val="0"/>
            <w:vAlign w:val="center"/>
          </w:tcPr>
          <w:p>
            <w:pPr>
              <w:spacing w:line="240" w:lineRule="auto"/>
              <w:ind w:left="0" w:leftChars="0" w:firstLine="0" w:firstLineChars="0"/>
              <w:jc w:val="both"/>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依托厂区污水处理站处理后用于饲草区灌溉。</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固废治理措施</w:t>
            </w:r>
          </w:p>
        </w:tc>
        <w:tc>
          <w:tcPr>
            <w:tcW w:w="3145" w:type="pct"/>
            <w:tcBorders>
              <w:tl2br w:val="nil"/>
              <w:tr2bl w:val="nil"/>
            </w:tcBorders>
            <w:noWrap w:val="0"/>
            <w:vAlign w:val="center"/>
          </w:tcPr>
          <w:p>
            <w:pPr>
              <w:spacing w:line="240" w:lineRule="auto"/>
              <w:ind w:left="0" w:leftChars="0" w:firstLine="0" w:firstLineChars="0"/>
              <w:jc w:val="both"/>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集中收集后交由园区环卫部门统一处理。</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事故防范措施</w:t>
            </w:r>
          </w:p>
        </w:tc>
        <w:tc>
          <w:tcPr>
            <w:tcW w:w="3145" w:type="pct"/>
            <w:tcBorders>
              <w:tl2br w:val="nil"/>
              <w:tr2bl w:val="nil"/>
            </w:tcBorders>
            <w:noWrap w:val="0"/>
            <w:vAlign w:val="center"/>
          </w:tcPr>
          <w:p>
            <w:pPr>
              <w:spacing w:line="240" w:lineRule="auto"/>
              <w:ind w:left="0" w:leftChars="0" w:firstLine="0" w:firstLineChars="0"/>
              <w:jc w:val="both"/>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为了防范储存区液氨泄漏可能产生事故，储区设置围堰。</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vertAlign w:val="baseline"/>
                <w:lang w:val="en-US" w:eastAsia="zh-CN"/>
              </w:rPr>
              <w:t>二、</w:t>
            </w:r>
            <w:r>
              <w:rPr>
                <w:rFonts w:hint="default" w:ascii="Times New Roman" w:hAnsi="Times New Roman" w:eastAsia="宋体" w:cs="Times New Roman"/>
                <w:b/>
                <w:bCs/>
                <w:sz w:val="21"/>
                <w:szCs w:val="21"/>
                <w:vertAlign w:val="baseline"/>
                <w:lang w:val="en-US" w:eastAsia="zh-CN"/>
              </w:rPr>
              <w:t>3万头/年肉牛精深加工生产项目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2.1</w:t>
            </w:r>
          </w:p>
        </w:tc>
        <w:tc>
          <w:tcPr>
            <w:tcW w:w="348" w:type="pct"/>
            <w:vMerge w:val="restart"/>
            <w:tcBorders>
              <w:tl2br w:val="nil"/>
              <w:tr2bl w:val="nil"/>
            </w:tcBorders>
            <w:noWrap w:val="0"/>
            <w:vAlign w:val="center"/>
          </w:tcPr>
          <w:p>
            <w:pPr>
              <w:spacing w:line="240" w:lineRule="auto"/>
              <w:ind w:left="0" w:leftChars="0" w:firstLine="0" w:firstLineChars="0"/>
              <w:jc w:val="center"/>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主体工程</w:t>
            </w:r>
          </w:p>
        </w:tc>
        <w:tc>
          <w:tcPr>
            <w:tcW w:w="783" w:type="pct"/>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eastAsia="zh-CN"/>
              </w:rPr>
              <w:t>待宰圈</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位于厂区入口右侧、占地面积</w:t>
            </w:r>
            <w:r>
              <w:rPr>
                <w:rFonts w:hint="default" w:ascii="Times New Roman" w:hAnsi="Times New Roman" w:eastAsia="宋体" w:cs="Times New Roman"/>
                <w:color w:val="auto"/>
                <w:sz w:val="21"/>
                <w:szCs w:val="21"/>
                <w:vertAlign w:val="baseline"/>
                <w:lang w:val="en-US" w:eastAsia="zh-CN"/>
              </w:rPr>
              <w:t>756</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r>
              <w:rPr>
                <w:rFonts w:hint="eastAsia"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lang w:eastAsia="zh-CN"/>
              </w:rPr>
              <w:t>轻钢结构</w:t>
            </w:r>
            <w:r>
              <w:rPr>
                <w:rFonts w:hint="eastAsia" w:ascii="Times New Roman" w:hAnsi="Times New Roman" w:eastAsia="宋体" w:cs="Times New Roman"/>
                <w:color w:val="auto"/>
                <w:sz w:val="21"/>
                <w:szCs w:val="21"/>
                <w:vertAlign w:val="baseline"/>
                <w:lang w:eastAsia="zh-CN"/>
              </w:rPr>
              <w:t>。</w:t>
            </w:r>
          </w:p>
        </w:tc>
        <w:tc>
          <w:tcPr>
            <w:tcW w:w="403" w:type="pct"/>
            <w:vMerge w:val="restart"/>
            <w:tcBorders>
              <w:tl2br w:val="nil"/>
              <w:tr2bl w:val="nil"/>
            </w:tcBorders>
            <w:noWrap w:val="0"/>
            <w:vAlign w:val="center"/>
          </w:tcPr>
          <w:p>
            <w:pPr>
              <w:widowControl/>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已完成环评，</w:t>
            </w:r>
            <w:r>
              <w:rPr>
                <w:rFonts w:hint="default" w:ascii="Times New Roman" w:hAnsi="Times New Roman" w:eastAsia="宋体" w:cs="Times New Roman"/>
                <w:color w:val="auto"/>
                <w:sz w:val="21"/>
                <w:szCs w:val="21"/>
                <w:lang w:val="en-US" w:eastAsia="zh-CN"/>
              </w:rPr>
              <w:t>已完成验收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eastAsia="zh-CN"/>
              </w:rPr>
              <w:t>屠宰车间</w:t>
            </w:r>
          </w:p>
        </w:tc>
        <w:tc>
          <w:tcPr>
            <w:tcW w:w="3145" w:type="pct"/>
            <w:tcBorders>
              <w:tl2br w:val="nil"/>
              <w:tr2bl w:val="nil"/>
            </w:tcBorders>
            <w:noWrap w:val="0"/>
            <w:vAlign w:val="center"/>
          </w:tcPr>
          <w:p>
            <w:pPr>
              <w:spacing w:line="240" w:lineRule="auto"/>
              <w:ind w:left="0" w:leftChars="0" w:firstLine="0" w:firstLineChars="0"/>
              <w:jc w:val="both"/>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lang w:val="en-US" w:eastAsia="zh-CN"/>
              </w:rPr>
              <w:t>位于生活办公区南侧，占地面积</w:t>
            </w:r>
            <w:r>
              <w:rPr>
                <w:rFonts w:hint="default" w:ascii="Times New Roman" w:hAnsi="Times New Roman" w:eastAsia="宋体" w:cs="Times New Roman"/>
                <w:color w:val="auto"/>
                <w:sz w:val="21"/>
                <w:szCs w:val="21"/>
                <w:lang w:val="en-US" w:eastAsia="zh-CN"/>
              </w:rPr>
              <w:t>2088</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r>
              <w:rPr>
                <w:rFonts w:hint="eastAsia"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lang w:eastAsia="zh-CN"/>
              </w:rPr>
              <w:t>轻钢结构</w:t>
            </w:r>
            <w:r>
              <w:rPr>
                <w:rFonts w:hint="eastAsia" w:ascii="Times New Roman" w:hAnsi="Times New Roman" w:eastAsia="宋体" w:cs="Times New Roman"/>
                <w:color w:val="auto"/>
                <w:sz w:val="21"/>
                <w:szCs w:val="21"/>
                <w:vertAlign w:val="baseline"/>
                <w:lang w:eastAsia="zh-CN"/>
              </w:rPr>
              <w:t>，</w:t>
            </w:r>
            <w:r>
              <w:rPr>
                <w:rFonts w:hint="eastAsia" w:ascii="Times New Roman" w:hAnsi="Times New Roman" w:eastAsia="宋体" w:cs="Times New Roman"/>
                <w:color w:val="auto"/>
                <w:sz w:val="21"/>
                <w:szCs w:val="21"/>
                <w:vertAlign w:val="baseline"/>
                <w:lang w:val="en-US" w:eastAsia="zh-CN"/>
              </w:rPr>
              <w:t>车间内设置屠宰间、内脏处理间、排酸间、剔骨分割间、包装间、辅助用房等。</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highlight w:val="none"/>
                <w:vertAlign w:val="baseline"/>
                <w:lang w:eastAsia="zh-CN"/>
              </w:rPr>
              <w:t>熟肉制品车间</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占地面积</w:t>
            </w:r>
            <w:r>
              <w:rPr>
                <w:rFonts w:hint="default" w:ascii="Times New Roman" w:hAnsi="Times New Roman" w:eastAsia="宋体" w:cs="Times New Roman"/>
                <w:color w:val="auto"/>
                <w:sz w:val="21"/>
                <w:szCs w:val="21"/>
                <w:lang w:val="en-US" w:eastAsia="zh-CN"/>
              </w:rPr>
              <w:t>1260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2</w:t>
            </w:r>
            <w:r>
              <w:rPr>
                <w:rFonts w:hint="eastAsia" w:ascii="Times New Roman" w:hAnsi="Times New Roman" w:eastAsia="宋体" w:cs="Times New Roman"/>
                <w:color w:val="auto"/>
                <w:sz w:val="21"/>
                <w:szCs w:val="21"/>
                <w:vertAlign w:val="baseline"/>
                <w:lang w:eastAsia="zh-CN"/>
              </w:rPr>
              <w:t>，</w:t>
            </w:r>
            <w:r>
              <w:rPr>
                <w:rFonts w:hint="default" w:ascii="Times New Roman" w:hAnsi="Times New Roman" w:eastAsia="宋体" w:cs="Times New Roman"/>
                <w:color w:val="auto"/>
                <w:sz w:val="21"/>
                <w:szCs w:val="21"/>
                <w:vertAlign w:val="baseline"/>
                <w:lang w:eastAsia="zh-CN"/>
              </w:rPr>
              <w:t>轻钢结构</w:t>
            </w:r>
            <w:r>
              <w:rPr>
                <w:rFonts w:hint="eastAsia" w:ascii="Times New Roman" w:hAnsi="Times New Roman" w:eastAsia="宋体" w:cs="Times New Roman"/>
                <w:color w:val="auto"/>
                <w:sz w:val="21"/>
                <w:szCs w:val="21"/>
                <w:vertAlign w:val="baseline"/>
                <w:lang w:eastAsia="zh-CN"/>
              </w:rPr>
              <w:t>。</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2.2</w:t>
            </w:r>
          </w:p>
        </w:tc>
        <w:tc>
          <w:tcPr>
            <w:tcW w:w="348" w:type="pct"/>
            <w:vMerge w:val="restart"/>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环保工程</w:t>
            </w:r>
          </w:p>
        </w:tc>
        <w:tc>
          <w:tcPr>
            <w:tcW w:w="783" w:type="pct"/>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废气处理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widowControl/>
              <w:spacing w:line="240" w:lineRule="auto"/>
              <w:ind w:left="0" w:leftChars="0" w:firstLine="0" w:firstLineChars="0"/>
              <w:jc w:val="both"/>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待宰圈及时清理、喷洒生物除臭剂、周边绿化等；（2）屠宰车间及时清理、安装轴流风机、车间周边绿化等；（3）污水处理站设置地埋式导气管排放，喷洒生物除臭剂及周边绿化；（4）食堂设置油烟净化设备及烟道</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废水处理措施</w:t>
            </w:r>
          </w:p>
        </w:tc>
        <w:tc>
          <w:tcPr>
            <w:tcW w:w="3145" w:type="pct"/>
            <w:tcBorders>
              <w:tl2br w:val="nil"/>
              <w:tr2bl w:val="nil"/>
            </w:tcBorders>
            <w:noWrap w:val="0"/>
            <w:vAlign w:val="center"/>
          </w:tcPr>
          <w:p>
            <w:pPr>
              <w:widowControl/>
              <w:spacing w:line="240" w:lineRule="auto"/>
              <w:ind w:left="0" w:leftChars="0" w:firstLine="0" w:firstLineChars="0"/>
              <w:jc w:val="both"/>
              <w:rPr>
                <w:rFonts w:hint="eastAsia"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生活污水和生产废水经污水处理站处理达标后用于厂区绿化和沅博畜牧科技示范园2000亩饲草种植基地</w:t>
            </w:r>
            <w:r>
              <w:rPr>
                <w:rFonts w:hint="eastAsia" w:cs="Times New Roman"/>
                <w:color w:val="auto"/>
                <w:sz w:val="21"/>
                <w:szCs w:val="21"/>
                <w:vertAlign w:val="baseline"/>
                <w:lang w:val="en-US" w:eastAsia="zh-CN"/>
              </w:rPr>
              <w:t>灌溉用水。</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固废处理措施</w:t>
            </w:r>
          </w:p>
        </w:tc>
        <w:tc>
          <w:tcPr>
            <w:tcW w:w="3145" w:type="pct"/>
            <w:tcBorders>
              <w:tl2br w:val="nil"/>
              <w:tr2bl w:val="nil"/>
            </w:tcBorders>
            <w:noWrap w:val="0"/>
            <w:vAlign w:val="center"/>
          </w:tcPr>
          <w:p>
            <w:pPr>
              <w:widowControl/>
              <w:spacing w:line="240" w:lineRule="auto"/>
              <w:ind w:left="0" w:leftChars="0" w:firstLine="0" w:firstLineChars="0"/>
              <w:jc w:val="both"/>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1）粪便、胃内容物、熟肉蒸煮残渣现直接拉运至有机肥生产车间作为原料使用；（2）不合格牛肉及不合格副产品经收集后由甘州区动物卫生监督所统一处置；（3）污水处理站污泥直接拉运至有机肥生产车间作为原料使用；（4）生活垃圾由环卫部门收集后统一处理；（5）肉屑暂存于暂存间，作为饲料原料外售。</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spacing w:line="240" w:lineRule="auto"/>
              <w:jc w:val="center"/>
              <w:rPr>
                <w:rFonts w:hint="eastAsia" w:cs="Times New Roman"/>
                <w:color w:val="auto"/>
                <w:sz w:val="21"/>
                <w:szCs w:val="21"/>
                <w:vertAlign w:val="baseline"/>
                <w:lang w:val="en-US" w:eastAsia="zh-CN"/>
              </w:rPr>
            </w:pPr>
          </w:p>
        </w:tc>
        <w:tc>
          <w:tcPr>
            <w:tcW w:w="783" w:type="pct"/>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防渗及固废暂存措施</w:t>
            </w:r>
          </w:p>
        </w:tc>
        <w:tc>
          <w:tcPr>
            <w:tcW w:w="3145" w:type="pct"/>
            <w:tcBorders>
              <w:tl2br w:val="nil"/>
              <w:tr2bl w:val="nil"/>
            </w:tcBorders>
            <w:noWrap w:val="0"/>
            <w:vAlign w:val="center"/>
          </w:tcPr>
          <w:p>
            <w:pPr>
              <w:widowControl/>
              <w:spacing w:line="240" w:lineRule="auto"/>
              <w:ind w:left="0" w:leftChars="0" w:firstLine="0" w:firstLineChars="0"/>
              <w:jc w:val="both"/>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项目物料储存区、生产车间及水工构筑物均采用防渗处理等，固体废物均设置暂存场，并做到防漏、防渗。</w:t>
            </w:r>
          </w:p>
        </w:tc>
        <w:tc>
          <w:tcPr>
            <w:tcW w:w="403" w:type="pct"/>
            <w:vMerge w:val="continue"/>
            <w:tcBorders>
              <w:tl2br w:val="nil"/>
              <w:tr2bl w:val="nil"/>
            </w:tcBorders>
            <w:noWrap w:val="0"/>
            <w:vAlign w:val="center"/>
          </w:tcPr>
          <w:p>
            <w:pPr>
              <w:widowControl/>
              <w:spacing w:line="240" w:lineRule="auto"/>
              <w:ind w:left="0" w:leftChars="0" w:firstLine="0" w:firstLineChars="0"/>
              <w:jc w:val="both"/>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vertAlign w:val="baseline"/>
                <w:lang w:val="en-US" w:eastAsia="zh-CN"/>
              </w:rPr>
              <w:t>三</w:t>
            </w:r>
            <w:r>
              <w:rPr>
                <w:rFonts w:hint="eastAsia" w:cs="Times New Roman"/>
                <w:b w:val="0"/>
                <w:bCs w:val="0"/>
                <w:color w:val="auto"/>
                <w:sz w:val="21"/>
                <w:szCs w:val="21"/>
                <w:vertAlign w:val="baseline"/>
                <w:lang w:val="en-US" w:eastAsia="zh-CN"/>
              </w:rPr>
              <w:t>、</w:t>
            </w:r>
            <w:r>
              <w:rPr>
                <w:rFonts w:hint="default" w:ascii="Times New Roman" w:hAnsi="Times New Roman" w:eastAsia="宋体" w:cs="Times New Roman"/>
                <w:b/>
                <w:bCs/>
                <w:color w:val="auto"/>
                <w:sz w:val="21"/>
                <w:szCs w:val="21"/>
                <w:lang w:val="en-US" w:eastAsia="zh-CN"/>
              </w:rPr>
              <w:t>5000头肉牛繁育基地基础设施建设项目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3.1</w:t>
            </w:r>
          </w:p>
        </w:tc>
        <w:tc>
          <w:tcPr>
            <w:tcW w:w="348" w:type="pct"/>
            <w:vMerge w:val="restart"/>
            <w:tcBorders>
              <w:tl2br w:val="nil"/>
              <w:tr2bl w:val="nil"/>
            </w:tcBorders>
            <w:noWrap w:val="0"/>
            <w:vAlign w:val="center"/>
          </w:tcPr>
          <w:p>
            <w:pPr>
              <w:spacing w:line="240" w:lineRule="auto"/>
              <w:ind w:left="0" w:leftChars="0" w:firstLine="0" w:firstLineChars="0"/>
              <w:jc w:val="center"/>
              <w:rPr>
                <w:rFonts w:hint="default" w:cs="Times New Roman"/>
                <w:color w:val="auto"/>
                <w:sz w:val="21"/>
                <w:szCs w:val="21"/>
                <w:vertAlign w:val="baseline"/>
                <w:lang w:val="en-US" w:eastAsia="zh-CN"/>
              </w:rPr>
            </w:pPr>
            <w:r>
              <w:rPr>
                <w:rFonts w:hint="eastAsia" w:cs="Times New Roman"/>
                <w:color w:val="auto"/>
                <w:sz w:val="21"/>
                <w:szCs w:val="21"/>
                <w:vertAlign w:val="baseline"/>
                <w:lang w:val="en-US" w:eastAsia="zh-CN"/>
              </w:rPr>
              <w:t>主体工程</w:t>
            </w: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肉牛舍</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22栋，钢结构</w:t>
            </w:r>
            <w:r>
              <w:rPr>
                <w:rFonts w:hint="eastAsia" w:cs="Times New Roman"/>
                <w:color w:val="auto"/>
                <w:sz w:val="21"/>
                <w:szCs w:val="21"/>
                <w:vertAlign w:val="baseline"/>
                <w:lang w:val="en-US" w:eastAsia="zh-CN"/>
              </w:rPr>
              <w:t>。</w:t>
            </w:r>
          </w:p>
        </w:tc>
        <w:tc>
          <w:tcPr>
            <w:tcW w:w="403"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lang w:val="en-US" w:eastAsia="zh-CN"/>
              </w:rPr>
              <w:t>已完成环评，</w:t>
            </w:r>
            <w:r>
              <w:rPr>
                <w:rFonts w:hint="default" w:ascii="Times New Roman" w:hAnsi="Times New Roman" w:eastAsia="宋体" w:cs="Times New Roman"/>
                <w:color w:val="auto"/>
                <w:sz w:val="21"/>
                <w:szCs w:val="21"/>
                <w:lang w:val="en-US" w:eastAsia="zh-CN"/>
              </w:rPr>
              <w:t>已完成验收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牛运动场</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占地面积75000m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，采用沙卧床</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饲料加工间</w:t>
            </w:r>
          </w:p>
        </w:tc>
        <w:tc>
          <w:tcPr>
            <w:tcW w:w="3145" w:type="pct"/>
            <w:tcBorders>
              <w:tl2br w:val="nil"/>
              <w:tr2bl w:val="nil"/>
            </w:tcBorders>
            <w:noWrap w:val="0"/>
            <w:vAlign w:val="center"/>
          </w:tcPr>
          <w:p>
            <w:pPr>
              <w:spacing w:line="240" w:lineRule="auto"/>
              <w:ind w:left="0" w:leftChars="0" w:firstLine="0" w:firstLineChars="0"/>
              <w:jc w:val="both"/>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占地面积2500m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w:t>
            </w:r>
            <w:r>
              <w:rPr>
                <w:rFonts w:hint="eastAsia" w:cs="Times New Roman"/>
                <w:sz w:val="21"/>
                <w:szCs w:val="21"/>
                <w:lang w:val="en-US" w:eastAsia="zh-CN"/>
              </w:rPr>
              <w:t>年加工生产饲料9.3</w:t>
            </w:r>
            <w:r>
              <w:rPr>
                <w:rFonts w:hint="default" w:ascii="Times New Roman" w:hAnsi="Times New Roman" w:eastAsia="宋体" w:cs="Times New Roman"/>
                <w:sz w:val="21"/>
                <w:szCs w:val="21"/>
                <w:lang w:val="en-US" w:eastAsia="zh-CN"/>
              </w:rPr>
              <w:t>万t/a</w:t>
            </w:r>
            <w:r>
              <w:rPr>
                <w:rFonts w:hint="eastAsia" w:cs="Times New Roman"/>
                <w:sz w:val="21"/>
                <w:szCs w:val="21"/>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饲草棚</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占地面积60000m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，混凝土地坪</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青贮池</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占地面积45000m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，混凝土地坪</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3.2</w:t>
            </w:r>
          </w:p>
        </w:tc>
        <w:tc>
          <w:tcPr>
            <w:tcW w:w="34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环保工程</w:t>
            </w: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废气</w:t>
            </w:r>
            <w:r>
              <w:rPr>
                <w:rFonts w:hint="eastAsia" w:ascii="Times New Roman" w:hAnsi="Times New Roman" w:eastAsia="宋体" w:cs="Times New Roman"/>
                <w:color w:val="auto"/>
                <w:sz w:val="21"/>
                <w:szCs w:val="21"/>
                <w:vertAlign w:val="baseline"/>
                <w:lang w:val="en-US" w:eastAsia="zh-CN"/>
              </w:rPr>
              <w:t>处理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恶臭气体：采用干清粪工艺，日产日清+定期喷洒生物除臭剂；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sz w:val="21"/>
                <w:szCs w:val="21"/>
                <w:lang w:val="en-US" w:eastAsia="zh-CN"/>
              </w:rPr>
              <w:t>粉尘：在原料粉碎、辅料粉碎、产品分装工段产生的粉尘由设备自带的布袋除尘器处理后经15m高排气筒排放（原料粉碎机、辅料粉碎机、产品分装机分别自带1套布袋除尘器，共3套）</w:t>
            </w:r>
            <w:r>
              <w:rPr>
                <w:rFonts w:hint="eastAsia" w:cs="Times New Roman"/>
                <w:sz w:val="21"/>
                <w:szCs w:val="21"/>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废水</w:t>
            </w:r>
            <w:r>
              <w:rPr>
                <w:rFonts w:hint="eastAsia" w:ascii="Times New Roman" w:hAnsi="Times New Roman" w:eastAsia="宋体" w:cs="Times New Roman"/>
                <w:color w:val="auto"/>
                <w:sz w:val="21"/>
                <w:szCs w:val="21"/>
                <w:vertAlign w:val="baseline"/>
                <w:lang w:val="en-US" w:eastAsia="zh-CN"/>
              </w:rPr>
              <w:t>处理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生活及生产废水集中收集后经厂区污水处理站处理后用于厂区饲草区灌溉</w:t>
            </w:r>
            <w:r>
              <w:rPr>
                <w:rFonts w:hint="eastAsia" w:cs="Times New Roman"/>
                <w:color w:val="auto"/>
                <w:kern w:val="2"/>
                <w:sz w:val="21"/>
                <w:szCs w:val="21"/>
                <w:vertAlign w:val="baseline"/>
                <w:lang w:val="en-US" w:eastAsia="zh-CN" w:bidi="ar-SA"/>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固废</w:t>
            </w:r>
            <w:r>
              <w:rPr>
                <w:rFonts w:hint="eastAsia" w:ascii="Times New Roman" w:hAnsi="Times New Roman" w:eastAsia="宋体" w:cs="Times New Roman"/>
                <w:color w:val="auto"/>
                <w:sz w:val="21"/>
                <w:szCs w:val="21"/>
                <w:vertAlign w:val="baseline"/>
                <w:lang w:val="en-US" w:eastAsia="zh-CN"/>
              </w:rPr>
              <w:t>处理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生活垃圾集中收集后交由环卫部门统一处理；牛粪集中收集后拉运至厂区有机肥生产车间作为原料使用；病死牛产生后委托</w:t>
            </w:r>
            <w:r>
              <w:rPr>
                <w:color w:val="auto"/>
                <w:kern w:val="2"/>
                <w:sz w:val="21"/>
                <w:szCs w:val="21"/>
              </w:rPr>
              <w:t>张掖市宏金雁再生能源科技发展有限责任公司进行无害化处理</w:t>
            </w:r>
            <w:r>
              <w:rPr>
                <w:rFonts w:hint="eastAsia"/>
                <w:color w:val="auto"/>
                <w:kern w:val="2"/>
                <w:sz w:val="21"/>
                <w:szCs w:val="21"/>
                <w:lang w:eastAsia="zh-CN"/>
              </w:rPr>
              <w:t>；</w:t>
            </w:r>
            <w:r>
              <w:rPr>
                <w:rFonts w:hint="eastAsia"/>
                <w:color w:val="auto"/>
                <w:kern w:val="2"/>
                <w:sz w:val="21"/>
                <w:szCs w:val="21"/>
                <w:lang w:val="en-US" w:eastAsia="zh-CN"/>
              </w:rPr>
              <w:t>饲料生产线布袋除尘器收尘灰作为饲料生产线原料使用。</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厂区绿化</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绿化面积6000m</w:t>
            </w:r>
            <w:r>
              <w:rPr>
                <w:rFonts w:hint="eastAsia" w:ascii="Times New Roman" w:hAnsi="Times New Roman" w:eastAsia="宋体" w:cs="Times New Roman"/>
                <w:color w:val="auto"/>
                <w:sz w:val="21"/>
                <w:szCs w:val="21"/>
                <w:vertAlign w:val="superscript"/>
                <w:lang w:val="en-US" w:eastAsia="zh-CN"/>
              </w:rPr>
              <w:t>2</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备注：“节水型工农业复合循环体系改造升级项目”对该项目设计的5000头肉牛繁育基地进行了升级改造，升级改造后饲料生产线不发生变化，肉牛养殖规模为</w:t>
            </w:r>
            <w:r>
              <w:rPr>
                <w:rFonts w:hint="eastAsia" w:ascii="Times New Roman" w:hAnsi="Times New Roman" w:eastAsia="宋体" w:cs="Times New Roman"/>
                <w:color w:val="auto"/>
                <w:sz w:val="21"/>
                <w:szCs w:val="21"/>
                <w:lang w:val="en-US" w:eastAsia="zh-CN"/>
              </w:rPr>
              <w:t>年存栏量1.2万头、出栏量1.4万头育肥牛</w:t>
            </w:r>
            <w:r>
              <w:rPr>
                <w:rFonts w:hint="eastAsia"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四</w:t>
            </w:r>
            <w:r>
              <w:rPr>
                <w:rFonts w:hint="eastAsia" w:cs="Times New Roman"/>
                <w:b/>
                <w:bCs/>
                <w:color w:val="auto"/>
                <w:sz w:val="21"/>
                <w:szCs w:val="21"/>
                <w:vertAlign w:val="baseline"/>
                <w:lang w:val="en-US" w:eastAsia="zh-CN"/>
              </w:rPr>
              <w:t>、</w:t>
            </w:r>
            <w:r>
              <w:rPr>
                <w:rFonts w:hint="default" w:ascii="Times New Roman" w:hAnsi="Times New Roman" w:eastAsia="宋体" w:cs="Times New Roman"/>
                <w:b/>
                <w:bCs/>
                <w:sz w:val="21"/>
                <w:szCs w:val="21"/>
                <w:vertAlign w:val="baseline"/>
                <w:lang w:val="en-US" w:eastAsia="zh-CN"/>
              </w:rPr>
              <w:t>牛羊屠宰副产物综合利用项目建设项目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4.1</w:t>
            </w:r>
          </w:p>
        </w:tc>
        <w:tc>
          <w:tcPr>
            <w:tcW w:w="34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主体工程</w:t>
            </w: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副产物综合加工车间</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占地面积4320m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，单层轻钢结构</w:t>
            </w:r>
            <w:r>
              <w:rPr>
                <w:rFonts w:hint="eastAsia" w:cs="Times New Roman"/>
                <w:color w:val="auto"/>
                <w:sz w:val="21"/>
                <w:szCs w:val="21"/>
                <w:vertAlign w:val="baseline"/>
                <w:lang w:val="en-US" w:eastAsia="zh-CN"/>
              </w:rPr>
              <w:t>。</w:t>
            </w:r>
          </w:p>
        </w:tc>
        <w:tc>
          <w:tcPr>
            <w:tcW w:w="403"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lang w:val="en-US" w:eastAsia="zh-CN"/>
              </w:rPr>
              <w:t>已完成环评，</w:t>
            </w:r>
            <w:r>
              <w:rPr>
                <w:rFonts w:hint="default" w:ascii="Times New Roman" w:hAnsi="Times New Roman" w:eastAsia="宋体" w:cs="Times New Roman"/>
                <w:color w:val="auto"/>
                <w:sz w:val="21"/>
                <w:szCs w:val="21"/>
                <w:lang w:val="en-US" w:eastAsia="zh-CN"/>
              </w:rPr>
              <w:t>已完成验收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熟肉制品车间</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占地面积1260m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，单层轻钢结构</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4.2</w:t>
            </w:r>
          </w:p>
        </w:tc>
        <w:tc>
          <w:tcPr>
            <w:tcW w:w="34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环保工程</w:t>
            </w: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废气治理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车间设置排风扇/轴流风机+活性炭吸附装置+15m高排气筒</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废水治理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依托现有污水处理站后达标废水用于饲草区灌溉</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噪声治理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高噪设备设置隔音间、同时采用基座、橡胶垫进行减震</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固废治理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设置分类收集垃圾箱；固废暂存场所进行防渗设置</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环境风险</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200m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钢筋砼结构事故池，依托现有</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110m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钢筋砼结构事故池，新建</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五</w:t>
            </w:r>
            <w:r>
              <w:rPr>
                <w:rFonts w:hint="eastAsia" w:cs="Times New Roman"/>
                <w:b/>
                <w:bCs/>
                <w:color w:val="auto"/>
                <w:sz w:val="21"/>
                <w:szCs w:val="21"/>
                <w:vertAlign w:val="baseline"/>
                <w:lang w:val="en-US" w:eastAsia="zh-CN"/>
              </w:rPr>
              <w:t>、</w:t>
            </w:r>
            <w:r>
              <w:rPr>
                <w:rFonts w:hint="default" w:ascii="Times New Roman" w:hAnsi="Times New Roman" w:eastAsia="宋体" w:cs="Times New Roman"/>
                <w:b/>
                <w:bCs/>
                <w:color w:val="auto"/>
                <w:sz w:val="21"/>
                <w:szCs w:val="21"/>
                <w:vertAlign w:val="baseline"/>
                <w:lang w:val="en-US" w:eastAsia="zh-CN"/>
              </w:rPr>
              <w:t>节水型工农业复合循环体系改造升级项目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5.1</w:t>
            </w:r>
          </w:p>
        </w:tc>
        <w:tc>
          <w:tcPr>
            <w:tcW w:w="34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主体工程</w:t>
            </w: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eastAsia="zh-CN"/>
              </w:rPr>
              <w:t>新建</w:t>
            </w:r>
            <w:r>
              <w:rPr>
                <w:rFonts w:hint="default" w:ascii="Times New Roman" w:hAnsi="Times New Roman" w:eastAsia="宋体" w:cs="Times New Roman"/>
                <w:color w:val="auto"/>
                <w:sz w:val="21"/>
                <w:szCs w:val="21"/>
                <w:lang w:val="en-US" w:eastAsia="zh-CN"/>
              </w:rPr>
              <w:t>的</w:t>
            </w:r>
            <w:r>
              <w:rPr>
                <w:rFonts w:hint="default" w:ascii="Times New Roman" w:hAnsi="Times New Roman" w:eastAsia="宋体" w:cs="Times New Roman"/>
                <w:color w:val="auto"/>
                <w:sz w:val="21"/>
                <w:szCs w:val="21"/>
                <w:lang w:eastAsia="zh-CN"/>
              </w:rPr>
              <w:t>节水型万头智慧牧场</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val="en-US" w:eastAsia="zh-CN"/>
              </w:rPr>
              <w:t>建设1</w:t>
            </w:r>
            <w:r>
              <w:rPr>
                <w:rFonts w:hint="eastAsia" w:ascii="Times New Roman" w:hAnsi="Times New Roman" w:eastAsia="宋体" w:cs="Times New Roman"/>
                <w:color w:val="auto"/>
                <w:sz w:val="21"/>
                <w:szCs w:val="21"/>
                <w:lang w:val="en-US" w:eastAsia="zh-CN"/>
              </w:rPr>
              <w:t>0</w:t>
            </w:r>
            <w:r>
              <w:rPr>
                <w:rFonts w:hint="default" w:ascii="Times New Roman" w:hAnsi="Times New Roman" w:eastAsia="宋体" w:cs="Times New Roman"/>
                <w:color w:val="auto"/>
                <w:sz w:val="21"/>
                <w:szCs w:val="21"/>
                <w:lang w:val="en-US" w:eastAsia="zh-CN"/>
              </w:rPr>
              <w:t>00间肉牛栋圈舍，单间建筑面积</w:t>
            </w:r>
            <w:r>
              <w:rPr>
                <w:rFonts w:hint="eastAsia" w:ascii="Times New Roman" w:hAnsi="Times New Roman" w:eastAsia="宋体" w:cs="Times New Roman"/>
                <w:color w:val="auto"/>
                <w:sz w:val="21"/>
                <w:szCs w:val="21"/>
                <w:lang w:val="en-US" w:eastAsia="zh-CN"/>
              </w:rPr>
              <w:t>324</w:t>
            </w:r>
            <w:r>
              <w:rPr>
                <w:rFonts w:hint="default" w:ascii="Times New Roman" w:hAnsi="Times New Roman" w:eastAsia="宋体" w:cs="Times New Roman"/>
                <w:color w:val="auto"/>
                <w:sz w:val="21"/>
                <w:szCs w:val="21"/>
                <w:lang w:val="en-US" w:eastAsia="zh-CN"/>
              </w:rPr>
              <w:t>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，平面尺寸</w:t>
            </w:r>
            <w:r>
              <w:rPr>
                <w:rFonts w:hint="eastAsia" w:ascii="Times New Roman" w:hAnsi="Times New Roman" w:eastAsia="宋体" w:cs="Times New Roman"/>
                <w:color w:val="auto"/>
                <w:sz w:val="21"/>
                <w:szCs w:val="21"/>
                <w:lang w:val="en-US" w:eastAsia="zh-CN"/>
              </w:rPr>
              <w:t>18</w:t>
            </w:r>
            <w:r>
              <w:rPr>
                <w:rFonts w:hint="default"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lang w:val="en-US" w:eastAsia="zh-CN"/>
              </w:rPr>
              <w:t>18</w:t>
            </w:r>
            <w:r>
              <w:rPr>
                <w:rFonts w:hint="default" w:ascii="Times New Roman" w:hAnsi="Times New Roman" w:eastAsia="宋体" w:cs="Times New Roman"/>
                <w:color w:val="auto"/>
                <w:sz w:val="21"/>
                <w:szCs w:val="21"/>
                <w:lang w:val="en-US" w:eastAsia="zh-CN"/>
              </w:rPr>
              <w:t>m，呈围栏结构</w:t>
            </w:r>
            <w:r>
              <w:rPr>
                <w:rFonts w:hint="eastAsia" w:ascii="Times New Roman" w:hAnsi="Times New Roman" w:eastAsia="宋体" w:cs="Times New Roman"/>
                <w:color w:val="auto"/>
                <w:sz w:val="21"/>
                <w:szCs w:val="21"/>
                <w:lang w:val="en-US" w:eastAsia="zh-CN"/>
              </w:rPr>
              <w:t>，年存栏量1.2万头、出栏量1.4万头</w:t>
            </w:r>
            <w:r>
              <w:rPr>
                <w:rFonts w:hint="eastAsia" w:cs="Times New Roman"/>
                <w:color w:val="auto"/>
                <w:sz w:val="21"/>
                <w:szCs w:val="21"/>
                <w:lang w:val="en-US" w:eastAsia="zh-CN"/>
              </w:rPr>
              <w:t>。</w:t>
            </w:r>
          </w:p>
        </w:tc>
        <w:tc>
          <w:tcPr>
            <w:tcW w:w="403"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lang w:val="en-US" w:eastAsia="zh-CN"/>
              </w:rPr>
              <w:t>已完成环评，</w:t>
            </w:r>
            <w:r>
              <w:rPr>
                <w:rFonts w:hint="default" w:ascii="Times New Roman" w:hAnsi="Times New Roman" w:eastAsia="宋体" w:cs="Times New Roman"/>
                <w:color w:val="auto"/>
                <w:sz w:val="21"/>
                <w:szCs w:val="21"/>
                <w:lang w:val="en-US" w:eastAsia="zh-CN"/>
              </w:rPr>
              <w:t>已完成验收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sz w:val="21"/>
                <w:szCs w:val="21"/>
                <w:lang w:val="en-US" w:eastAsia="zh-CN"/>
              </w:rPr>
              <w:t>有机肥生产线</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sz w:val="21"/>
                <w:szCs w:val="21"/>
                <w:lang w:val="en-US" w:eastAsia="zh-CN"/>
              </w:rPr>
              <w:t>建设综合性生产车间1座，综合车间内设置发酵车间、造粒车间、成品堆放区、原料前处理间等，建筑面积3600m</w:t>
            </w:r>
            <w:r>
              <w:rPr>
                <w:rFonts w:hint="eastAsia"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建筑规格40</w:t>
            </w:r>
            <w:r>
              <w:rPr>
                <w:rFonts w:hint="default"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lang w:val="en-US" w:eastAsia="zh-CN"/>
              </w:rPr>
              <w:t>90</w:t>
            </w:r>
            <w:r>
              <w:rPr>
                <w:rFonts w:hint="default"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sz w:val="21"/>
                <w:szCs w:val="21"/>
                <w:lang w:val="en-US" w:eastAsia="zh-CN"/>
              </w:rPr>
              <w:t>为单层门式彩钢结构</w:t>
            </w:r>
            <w:r>
              <w:rPr>
                <w:rFonts w:hint="eastAsia" w:ascii="Times New Roman" w:hAnsi="Times New Roman" w:eastAsia="宋体" w:cs="Times New Roman"/>
                <w:sz w:val="21"/>
                <w:szCs w:val="21"/>
                <w:lang w:val="en-US" w:eastAsia="zh-CN"/>
              </w:rPr>
              <w:t>，其中</w:t>
            </w:r>
            <w:r>
              <w:rPr>
                <w:rFonts w:hint="default" w:ascii="Times New Roman" w:hAnsi="Times New Roman" w:eastAsia="宋体" w:cs="Times New Roman"/>
                <w:sz w:val="21"/>
                <w:szCs w:val="21"/>
                <w:lang w:val="en-US" w:eastAsia="zh-CN"/>
              </w:rPr>
              <w:t>原料前处理间</w:t>
            </w:r>
            <w:r>
              <w:rPr>
                <w:rFonts w:hint="eastAsia" w:ascii="Times New Roman" w:hAnsi="Times New Roman" w:eastAsia="宋体" w:cs="Times New Roman"/>
                <w:sz w:val="21"/>
                <w:szCs w:val="21"/>
                <w:lang w:val="en-US" w:eastAsia="zh-CN"/>
              </w:rPr>
              <w:t>占地面积900m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lang w:val="en-US" w:eastAsia="zh-CN"/>
              </w:rPr>
              <w:t>发酵车间</w:t>
            </w:r>
            <w:r>
              <w:rPr>
                <w:rFonts w:hint="eastAsia" w:ascii="Times New Roman" w:hAnsi="Times New Roman" w:eastAsia="宋体" w:cs="Times New Roman"/>
                <w:sz w:val="21"/>
                <w:szCs w:val="21"/>
                <w:lang w:val="en-US" w:eastAsia="zh-CN"/>
              </w:rPr>
              <w:t>占地面积450m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lang w:val="en-US" w:eastAsia="zh-CN"/>
              </w:rPr>
              <w:t>造粒及包装车间</w:t>
            </w:r>
            <w:r>
              <w:rPr>
                <w:rFonts w:hint="eastAsia" w:ascii="Times New Roman" w:hAnsi="Times New Roman" w:eastAsia="宋体" w:cs="Times New Roman"/>
                <w:sz w:val="21"/>
                <w:szCs w:val="21"/>
                <w:lang w:val="en-US" w:eastAsia="zh-CN"/>
              </w:rPr>
              <w:t>占地面积1350m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，成品堆放区占地面积450</w:t>
            </w:r>
            <w:r>
              <w:rPr>
                <w:rFonts w:hint="eastAsia" w:ascii="Times New Roman" w:hAnsi="Times New Roman" w:eastAsia="宋体" w:cs="Times New Roman"/>
                <w:sz w:val="21"/>
                <w:szCs w:val="21"/>
                <w:lang w:val="en-US" w:eastAsia="zh-CN"/>
              </w:rPr>
              <w:t>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lang w:val="en-US" w:eastAsia="zh-CN"/>
              </w:rPr>
              <w:t>辅料及包装材料</w:t>
            </w:r>
            <w:r>
              <w:rPr>
                <w:rFonts w:hint="eastAsia" w:ascii="Times New Roman" w:hAnsi="Times New Roman" w:eastAsia="宋体" w:cs="Times New Roman"/>
                <w:sz w:val="21"/>
                <w:szCs w:val="21"/>
                <w:lang w:val="en-US" w:eastAsia="zh-CN"/>
              </w:rPr>
              <w:t>堆放区占地面积450m</w:t>
            </w:r>
            <w:r>
              <w:rPr>
                <w:rFonts w:hint="eastAsia" w:ascii="Times New Roman" w:hAnsi="Times New Roman" w:eastAsia="宋体" w:cs="Times New Roman"/>
                <w:sz w:val="21"/>
                <w:szCs w:val="21"/>
                <w:vertAlign w:val="superscript"/>
                <w:lang w:val="en-US" w:eastAsia="zh-CN"/>
              </w:rPr>
              <w:t>2</w:t>
            </w:r>
            <w:r>
              <w:rPr>
                <w:rFonts w:hint="eastAsia" w:cs="Times New Roman"/>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5.2</w:t>
            </w:r>
          </w:p>
        </w:tc>
        <w:tc>
          <w:tcPr>
            <w:tcW w:w="348"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sz w:val="21"/>
                <w:szCs w:val="21"/>
                <w:lang w:val="en-US" w:eastAsia="zh-CN"/>
              </w:rPr>
              <w:t>环保工程</w:t>
            </w:r>
          </w:p>
        </w:tc>
        <w:tc>
          <w:tcPr>
            <w:tcW w:w="783" w:type="pct"/>
            <w:vMerge w:val="restar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废气治理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sz w:val="21"/>
                <w:szCs w:val="21"/>
                <w:lang w:val="en-US" w:eastAsia="zh-CN"/>
              </w:rPr>
              <w:t>节水型万头</w:t>
            </w:r>
            <w:r>
              <w:rPr>
                <w:rFonts w:hint="eastAsia" w:ascii="Times New Roman" w:hAnsi="Times New Roman" w:eastAsia="宋体" w:cs="Times New Roman"/>
                <w:sz w:val="21"/>
                <w:szCs w:val="21"/>
                <w:lang w:val="en-US" w:eastAsia="zh-CN"/>
              </w:rPr>
              <w:t>智慧</w:t>
            </w:r>
            <w:r>
              <w:rPr>
                <w:rFonts w:hint="default" w:ascii="Times New Roman" w:hAnsi="Times New Roman" w:eastAsia="宋体" w:cs="Times New Roman"/>
                <w:sz w:val="21"/>
                <w:szCs w:val="21"/>
                <w:lang w:val="en-US" w:eastAsia="zh-CN"/>
              </w:rPr>
              <w:t>牧场</w:t>
            </w:r>
            <w:r>
              <w:rPr>
                <w:rFonts w:hint="eastAsia" w:ascii="Times New Roman" w:hAnsi="Times New Roman" w:eastAsia="宋体" w:cs="Times New Roman"/>
                <w:sz w:val="21"/>
                <w:szCs w:val="21"/>
                <w:lang w:val="en-US" w:eastAsia="zh-CN"/>
              </w:rPr>
              <w:t>：采用干清粪工艺，定期喷洒</w:t>
            </w:r>
            <w:r>
              <w:rPr>
                <w:rFonts w:hint="default" w:ascii="Times New Roman" w:hAnsi="Times New Roman" w:eastAsia="宋体" w:cs="Times New Roman"/>
                <w:sz w:val="21"/>
                <w:szCs w:val="21"/>
                <w:lang w:val="en-US" w:eastAsia="zh-CN"/>
              </w:rPr>
              <w:t>生物除臭剂</w:t>
            </w:r>
            <w:r>
              <w:rPr>
                <w:rFonts w:hint="eastAsia" w:ascii="Times New Roman" w:hAnsi="Times New Roman" w:eastAsia="宋体" w:cs="Times New Roman"/>
                <w:sz w:val="21"/>
                <w:szCs w:val="21"/>
                <w:lang w:val="en-US" w:eastAsia="zh-CN"/>
              </w:rPr>
              <w:t>，合理控制饲养密度</w:t>
            </w:r>
            <w:r>
              <w:rPr>
                <w:rFonts w:hint="eastAsia" w:cs="Times New Roman"/>
                <w:sz w:val="21"/>
                <w:szCs w:val="21"/>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78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有机肥加工车间：</w:t>
            </w:r>
            <w:r>
              <w:rPr>
                <w:rFonts w:hint="eastAsia" w:ascii="Times New Roman" w:hAnsi="Times New Roman" w:eastAsia="宋体" w:cs="Times New Roman"/>
                <w:sz w:val="21"/>
                <w:szCs w:val="21"/>
                <w:lang w:val="en-US" w:eastAsia="zh-CN"/>
              </w:rPr>
              <w:t>①发酵车间</w:t>
            </w:r>
            <w:r>
              <w:rPr>
                <w:rFonts w:hint="default" w:ascii="Times New Roman" w:hAnsi="Times New Roman" w:eastAsia="宋体" w:cs="Times New Roman"/>
                <w:sz w:val="21"/>
                <w:szCs w:val="21"/>
                <w:lang w:val="en-US" w:eastAsia="zh-CN"/>
              </w:rPr>
              <w:t>臭气治理</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采用集气罩+</w:t>
            </w:r>
            <w:r>
              <w:rPr>
                <w:rFonts w:hint="eastAsia" w:ascii="Times New Roman" w:hAnsi="Times New Roman" w:eastAsia="宋体" w:cs="Times New Roman"/>
                <w:sz w:val="21"/>
                <w:szCs w:val="21"/>
                <w:lang w:val="en-US" w:eastAsia="zh-CN"/>
              </w:rPr>
              <w:t>布袋除尘器+活性炭</w:t>
            </w:r>
            <w:r>
              <w:rPr>
                <w:rFonts w:hint="default" w:ascii="Times New Roman" w:hAnsi="Times New Roman" w:eastAsia="宋体" w:cs="Times New Roman"/>
                <w:sz w:val="21"/>
                <w:szCs w:val="21"/>
                <w:lang w:val="en-US" w:eastAsia="zh-CN"/>
              </w:rPr>
              <w:t>+15m高排气筒</w:t>
            </w:r>
            <w:r>
              <w:rPr>
                <w:rFonts w:hint="eastAsia" w:ascii="Times New Roman" w:hAnsi="Times New Roman" w:eastAsia="宋体" w:cs="Times New Roman"/>
                <w:sz w:val="21"/>
                <w:szCs w:val="21"/>
                <w:lang w:val="en-US" w:eastAsia="zh-CN"/>
              </w:rPr>
              <w:t>；②原料粉碎、筛选工段：集气罩+</w:t>
            </w:r>
            <w:r>
              <w:rPr>
                <w:rFonts w:hint="default" w:ascii="Times New Roman" w:hAnsi="Times New Roman" w:eastAsia="宋体" w:cs="Times New Roman"/>
                <w:sz w:val="21"/>
                <w:szCs w:val="21"/>
                <w:lang w:val="en-US" w:eastAsia="zh-CN"/>
              </w:rPr>
              <w:t>布袋除尘器+15m高排气筒</w:t>
            </w:r>
            <w:r>
              <w:rPr>
                <w:rFonts w:hint="eastAsia" w:ascii="Times New Roman" w:hAnsi="Times New Roman" w:eastAsia="宋体" w:cs="Times New Roman"/>
                <w:sz w:val="21"/>
                <w:szCs w:val="21"/>
                <w:lang w:val="en-US" w:eastAsia="zh-CN"/>
              </w:rPr>
              <w:t>排放</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③制粒工段：集气罩+</w:t>
            </w:r>
            <w:r>
              <w:rPr>
                <w:rFonts w:hint="default" w:ascii="Times New Roman" w:hAnsi="Times New Roman" w:eastAsia="宋体" w:cs="Times New Roman"/>
                <w:sz w:val="21"/>
                <w:szCs w:val="21"/>
                <w:lang w:val="en-US" w:eastAsia="zh-CN"/>
              </w:rPr>
              <w:t>布袋除尘器+15m高排气筒</w:t>
            </w:r>
            <w:r>
              <w:rPr>
                <w:rFonts w:hint="eastAsia" w:ascii="Times New Roman" w:hAnsi="Times New Roman" w:eastAsia="宋体" w:cs="Times New Roman"/>
                <w:sz w:val="21"/>
                <w:szCs w:val="21"/>
                <w:lang w:val="en-US" w:eastAsia="zh-CN"/>
              </w:rPr>
              <w:t>排放</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④半成品粉碎、筛分工段：破碎机封闭+集气罩+</w:t>
            </w:r>
            <w:r>
              <w:rPr>
                <w:rFonts w:hint="default" w:ascii="Times New Roman" w:hAnsi="Times New Roman" w:eastAsia="宋体" w:cs="Times New Roman"/>
                <w:sz w:val="21"/>
                <w:szCs w:val="21"/>
                <w:lang w:val="en-US" w:eastAsia="zh-CN"/>
              </w:rPr>
              <w:t>布袋除尘器+15m高排气筒</w:t>
            </w:r>
            <w:r>
              <w:rPr>
                <w:rFonts w:hint="eastAsia" w:ascii="Times New Roman" w:hAnsi="Times New Roman" w:eastAsia="宋体" w:cs="Times New Roman"/>
                <w:sz w:val="21"/>
                <w:szCs w:val="21"/>
                <w:lang w:val="en-US" w:eastAsia="zh-CN"/>
              </w:rPr>
              <w:t>排放；</w:t>
            </w:r>
            <w:r>
              <w:rPr>
                <w:rFonts w:hint="default" w:ascii="Times New Roman" w:hAnsi="Times New Roman" w:eastAsia="宋体" w:cs="Times New Roman"/>
                <w:sz w:val="21"/>
                <w:szCs w:val="21"/>
                <w:lang w:val="en-US" w:eastAsia="zh-CN"/>
              </w:rPr>
              <w:t>⑤</w:t>
            </w:r>
            <w:r>
              <w:rPr>
                <w:rFonts w:hint="eastAsia" w:eastAsia="宋体" w:cs="Times New Roman"/>
                <w:sz w:val="21"/>
                <w:szCs w:val="21"/>
                <w:lang w:val="en-US" w:eastAsia="zh-CN"/>
              </w:rPr>
              <w:t>烘干</w:t>
            </w:r>
            <w:r>
              <w:rPr>
                <w:rFonts w:hint="eastAsia" w:ascii="Times New Roman" w:hAnsi="Times New Roman" w:eastAsia="宋体" w:cs="Times New Roman"/>
                <w:sz w:val="21"/>
                <w:szCs w:val="21"/>
                <w:lang w:val="en-US" w:eastAsia="zh-CN"/>
              </w:rPr>
              <w:t>工段：</w:t>
            </w:r>
            <w:r>
              <w:rPr>
                <w:rFonts w:hint="eastAsia" w:eastAsia="宋体" w:cs="Times New Roman"/>
                <w:sz w:val="21"/>
                <w:szCs w:val="21"/>
                <w:lang w:val="en-US" w:eastAsia="zh-CN"/>
              </w:rPr>
              <w:t>降尘室+旋风除尘器+</w:t>
            </w:r>
            <w:r>
              <w:rPr>
                <w:rFonts w:hint="default" w:ascii="Times New Roman" w:hAnsi="Times New Roman" w:eastAsia="宋体" w:cs="Times New Roman"/>
                <w:sz w:val="21"/>
                <w:szCs w:val="21"/>
                <w:lang w:val="en-US" w:eastAsia="zh-CN"/>
              </w:rPr>
              <w:t>15m高排气筒</w:t>
            </w:r>
            <w:r>
              <w:rPr>
                <w:rFonts w:hint="eastAsia" w:ascii="Times New Roman" w:hAnsi="Times New Roman" w:eastAsia="宋体" w:cs="Times New Roman"/>
                <w:sz w:val="21"/>
                <w:szCs w:val="21"/>
                <w:lang w:val="en-US" w:eastAsia="zh-CN"/>
              </w:rPr>
              <w:t>排放</w:t>
            </w:r>
            <w:r>
              <w:rPr>
                <w:rFonts w:hint="default" w:ascii="Times New Roman" w:hAnsi="Times New Roman" w:eastAsia="宋体" w:cs="Times New Roman"/>
                <w:sz w:val="21"/>
                <w:szCs w:val="21"/>
                <w:lang w:val="en-US" w:eastAsia="zh-CN"/>
              </w:rPr>
              <w:t>；⑥</w:t>
            </w:r>
            <w:r>
              <w:rPr>
                <w:rFonts w:hint="eastAsia" w:eastAsia="宋体" w:cs="Times New Roman"/>
                <w:sz w:val="21"/>
                <w:szCs w:val="21"/>
                <w:lang w:val="en-US" w:eastAsia="zh-CN"/>
              </w:rPr>
              <w:t>冷却工段：降尘室+</w:t>
            </w:r>
            <w:r>
              <w:rPr>
                <w:rFonts w:hint="default" w:ascii="Times New Roman" w:hAnsi="Times New Roman" w:eastAsia="宋体" w:cs="Times New Roman"/>
                <w:sz w:val="21"/>
                <w:szCs w:val="21"/>
                <w:lang w:val="en-US" w:eastAsia="zh-CN"/>
              </w:rPr>
              <w:t>15m高排气筒</w:t>
            </w:r>
            <w:r>
              <w:rPr>
                <w:rFonts w:hint="eastAsia" w:ascii="Times New Roman" w:hAnsi="Times New Roman" w:eastAsia="宋体" w:cs="Times New Roman"/>
                <w:sz w:val="21"/>
                <w:szCs w:val="21"/>
                <w:lang w:val="en-US" w:eastAsia="zh-CN"/>
              </w:rPr>
              <w:t>排放</w:t>
            </w:r>
            <w:r>
              <w:rPr>
                <w:rFonts w:hint="eastAsia" w:cs="Times New Roman"/>
                <w:sz w:val="21"/>
                <w:szCs w:val="21"/>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废水治理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spacing w:line="240" w:lineRule="auto"/>
              <w:ind w:left="0" w:leftChars="0" w:firstLine="0" w:firstLineChars="0"/>
              <w:jc w:val="both"/>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color w:val="auto"/>
                <w:sz w:val="21"/>
                <w:szCs w:val="21"/>
                <w:vertAlign w:val="baseline"/>
                <w:lang w:val="en-US" w:eastAsia="zh-CN"/>
              </w:rPr>
              <w:t>依托现有污水处理站处理后达标废水用于饲草区灌溉</w:t>
            </w:r>
            <w:r>
              <w:rPr>
                <w:rFonts w:hint="eastAsia" w:cs="Times New Roman"/>
                <w:color w:val="auto"/>
                <w:sz w:val="21"/>
                <w:szCs w:val="21"/>
                <w:vertAlign w:val="baseline"/>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噪声治理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生产设备全部位于生产厂房内，污水处理站泵机全部位于地下，同时采用基础减震、加强绿化等措施</w:t>
            </w:r>
            <w:r>
              <w:rPr>
                <w:rFonts w:hint="eastAsia" w:cs="Times New Roman"/>
                <w:sz w:val="21"/>
                <w:szCs w:val="21"/>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p>
        </w:tc>
        <w:tc>
          <w:tcPr>
            <w:tcW w:w="348"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lang w:val="en-US" w:eastAsia="zh-CN"/>
              </w:rPr>
            </w:pPr>
          </w:p>
        </w:tc>
        <w:tc>
          <w:tcPr>
            <w:tcW w:w="78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固废治理</w:t>
            </w:r>
            <w:r>
              <w:rPr>
                <w:rFonts w:hint="eastAsia" w:cs="Times New Roman"/>
                <w:color w:val="auto"/>
                <w:sz w:val="21"/>
                <w:szCs w:val="21"/>
                <w:vertAlign w:val="baseline"/>
                <w:lang w:val="en-US" w:eastAsia="zh-CN"/>
              </w:rPr>
              <w:t>措施</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b w:val="0"/>
                <w:bCs w:val="0"/>
                <w:sz w:val="21"/>
                <w:szCs w:val="21"/>
                <w:lang w:val="en-US" w:eastAsia="zh-CN"/>
              </w:rPr>
              <w:t>生活垃圾设置生活垃圾分类收集桶</w:t>
            </w:r>
            <w:r>
              <w:rPr>
                <w:rFonts w:hint="eastAsia" w:cs="Times New Roman"/>
                <w:b w:val="0"/>
                <w:bCs w:val="0"/>
                <w:sz w:val="21"/>
                <w:szCs w:val="21"/>
                <w:lang w:val="en-US" w:eastAsia="zh-CN"/>
              </w:rPr>
              <w:t>集中收集后交由环卫部门统一处理</w:t>
            </w:r>
            <w:r>
              <w:rPr>
                <w:rFonts w:hint="eastAsia" w:ascii="Times New Roman" w:hAnsi="Times New Roman" w:eastAsia="宋体" w:cs="Times New Roman"/>
                <w:b w:val="0"/>
                <w:bCs w:val="0"/>
                <w:sz w:val="21"/>
                <w:szCs w:val="21"/>
                <w:lang w:val="en-US" w:eastAsia="zh-CN"/>
              </w:rPr>
              <w:t>；牛粪便拉运至机肥生产加工线作为原料使用；污水处理站泥污定期清理后拉运至有机肥生产车间作为原料使用；有机肥生产线布袋除尘器收尘灰及降尘室灰尘全部集中收集后用作有机肥生产线原料使用；废导热油</w:t>
            </w:r>
            <w:r>
              <w:rPr>
                <w:rFonts w:hint="eastAsia" w:ascii="Times New Roman" w:hAnsi="Times New Roman" w:eastAsia="宋体" w:cs="Times New Roman"/>
                <w:b w:val="0"/>
                <w:bCs w:val="0"/>
                <w:color w:val="auto"/>
                <w:sz w:val="21"/>
                <w:szCs w:val="21"/>
                <w:lang w:val="en-US" w:eastAsia="zh-CN"/>
              </w:rPr>
              <w:t>集中收集后交由嘉峪关刘氏泰和环保科技有限公司处置；</w:t>
            </w:r>
            <w:r>
              <w:rPr>
                <w:rFonts w:hint="eastAsia" w:ascii="Times New Roman" w:hAnsi="Times New Roman" w:eastAsia="宋体" w:cs="Times New Roman"/>
                <w:b w:val="0"/>
                <w:bCs w:val="0"/>
                <w:sz w:val="21"/>
                <w:szCs w:val="21"/>
                <w:lang w:val="en-US" w:eastAsia="zh-CN"/>
              </w:rPr>
              <w:t>废活性炭</w:t>
            </w:r>
            <w:r>
              <w:rPr>
                <w:rFonts w:hint="eastAsia" w:ascii="Times New Roman" w:hAnsi="Times New Roman" w:eastAsia="宋体" w:cs="Times New Roman"/>
                <w:b w:val="0"/>
                <w:bCs w:val="0"/>
                <w:color w:val="auto"/>
                <w:sz w:val="21"/>
                <w:szCs w:val="21"/>
                <w:lang w:val="en-US" w:eastAsia="zh-CN"/>
              </w:rPr>
              <w:t>集中收集后交由嘉峪关刘氏泰和环保科技有限公司处置；</w:t>
            </w:r>
            <w:r>
              <w:rPr>
                <w:rFonts w:hint="eastAsia" w:ascii="Times New Roman" w:hAnsi="Times New Roman" w:eastAsia="宋体" w:cs="Times New Roman"/>
                <w:b w:val="0"/>
                <w:bCs w:val="0"/>
                <w:sz w:val="21"/>
                <w:szCs w:val="21"/>
                <w:lang w:val="en-US" w:eastAsia="zh-CN"/>
              </w:rPr>
              <w:t>废UV光管</w:t>
            </w:r>
            <w:r>
              <w:rPr>
                <w:rFonts w:hint="eastAsia" w:ascii="Times New Roman" w:hAnsi="Times New Roman" w:eastAsia="宋体" w:cs="Times New Roman"/>
                <w:b w:val="0"/>
                <w:bCs w:val="0"/>
                <w:color w:val="auto"/>
                <w:sz w:val="21"/>
                <w:szCs w:val="21"/>
                <w:lang w:val="en-US" w:eastAsia="zh-CN"/>
              </w:rPr>
              <w:t>集中收集后交由嘉峪关刘氏泰和环保科技有限公司处置；</w:t>
            </w:r>
            <w:r>
              <w:rPr>
                <w:rFonts w:hint="eastAsia" w:ascii="Times New Roman" w:hAnsi="Times New Roman" w:eastAsia="宋体" w:cs="Times New Roman"/>
                <w:b w:val="0"/>
                <w:bCs w:val="0"/>
                <w:sz w:val="21"/>
                <w:szCs w:val="21"/>
                <w:lang w:val="en-US" w:eastAsia="zh-CN"/>
              </w:rPr>
              <w:t>病死牛</w:t>
            </w:r>
            <w:r>
              <w:rPr>
                <w:rFonts w:hint="eastAsia" w:ascii="Times New Roman" w:hAnsi="Times New Roman" w:eastAsia="宋体" w:cs="Times New Roman"/>
                <w:b w:val="0"/>
                <w:bCs w:val="0"/>
                <w:color w:val="auto"/>
                <w:sz w:val="21"/>
                <w:szCs w:val="21"/>
                <w:lang w:val="en-US" w:eastAsia="zh-CN"/>
              </w:rPr>
              <w:t>集中收集后交由</w:t>
            </w:r>
            <w:r>
              <w:rPr>
                <w:rFonts w:hint="default" w:ascii="Times New Roman" w:hAnsi="Times New Roman" w:eastAsia="宋体" w:cs="Times New Roman"/>
                <w:b w:val="0"/>
                <w:bCs w:val="0"/>
                <w:color w:val="auto"/>
                <w:sz w:val="21"/>
                <w:szCs w:val="21"/>
                <w:lang w:val="en-US" w:eastAsia="zh-CN"/>
              </w:rPr>
              <w:t>甘州区甘浚镇畜牧兽医站</w:t>
            </w:r>
            <w:r>
              <w:rPr>
                <w:rFonts w:hint="eastAsia" w:ascii="Times New Roman" w:hAnsi="Times New Roman" w:eastAsia="宋体" w:cs="Times New Roman"/>
                <w:b w:val="0"/>
                <w:bCs w:val="0"/>
                <w:color w:val="auto"/>
                <w:sz w:val="21"/>
                <w:szCs w:val="21"/>
                <w:lang w:val="en-US" w:eastAsia="zh-CN"/>
              </w:rPr>
              <w:t>统一处置；</w:t>
            </w:r>
            <w:r>
              <w:rPr>
                <w:rFonts w:hint="eastAsia" w:ascii="Times New Roman" w:hAnsi="Times New Roman" w:eastAsia="宋体" w:cs="Times New Roman"/>
                <w:b w:val="0"/>
                <w:bCs w:val="0"/>
                <w:sz w:val="21"/>
                <w:szCs w:val="21"/>
                <w:lang w:val="en-US" w:eastAsia="zh-CN"/>
              </w:rPr>
              <w:t>医疗废物</w:t>
            </w:r>
            <w:r>
              <w:rPr>
                <w:rFonts w:hint="eastAsia" w:ascii="Times New Roman" w:hAnsi="Times New Roman" w:eastAsia="宋体" w:cs="Times New Roman"/>
                <w:b w:val="0"/>
                <w:bCs w:val="0"/>
                <w:color w:val="auto"/>
                <w:sz w:val="21"/>
                <w:szCs w:val="21"/>
                <w:lang w:val="en-US" w:eastAsia="zh-CN"/>
              </w:rPr>
              <w:t>集中收集后交由</w:t>
            </w:r>
            <w:r>
              <w:rPr>
                <w:rFonts w:hint="default" w:ascii="Times New Roman" w:hAnsi="Times New Roman" w:eastAsia="宋体" w:cs="Times New Roman"/>
                <w:b w:val="0"/>
                <w:bCs w:val="0"/>
                <w:color w:val="auto"/>
                <w:sz w:val="21"/>
                <w:szCs w:val="21"/>
                <w:lang w:val="en-US" w:eastAsia="zh-CN"/>
              </w:rPr>
              <w:t>甘州区甘浚镇畜牧兽医站</w:t>
            </w:r>
            <w:r>
              <w:rPr>
                <w:rFonts w:hint="eastAsia" w:ascii="Times New Roman" w:hAnsi="Times New Roman" w:eastAsia="宋体" w:cs="Times New Roman"/>
                <w:b w:val="0"/>
                <w:bCs w:val="0"/>
                <w:color w:val="auto"/>
                <w:sz w:val="21"/>
                <w:szCs w:val="21"/>
                <w:lang w:val="en-US" w:eastAsia="zh-CN"/>
              </w:rPr>
              <w:t>统一处置</w:t>
            </w:r>
            <w:r>
              <w:rPr>
                <w:rFonts w:hint="eastAsia" w:cs="Times New Roman"/>
                <w:b w:val="0"/>
                <w:bCs w:val="0"/>
                <w:color w:val="auto"/>
                <w:sz w:val="21"/>
                <w:szCs w:val="21"/>
                <w:lang w:val="en-US" w:eastAsia="zh-CN"/>
              </w:rPr>
              <w:t>。</w:t>
            </w:r>
          </w:p>
        </w:tc>
        <w:tc>
          <w:tcPr>
            <w:tcW w:w="403" w:type="pct"/>
            <w:vMerge w:val="continue"/>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六</w:t>
            </w:r>
            <w:r>
              <w:rPr>
                <w:rFonts w:hint="eastAsia" w:cs="Times New Roman"/>
                <w:b/>
                <w:bCs/>
                <w:color w:val="auto"/>
                <w:sz w:val="21"/>
                <w:szCs w:val="21"/>
                <w:vertAlign w:val="baseline"/>
                <w:lang w:val="en-US" w:eastAsia="zh-CN"/>
              </w:rPr>
              <w:t>、</w:t>
            </w:r>
            <w:r>
              <w:rPr>
                <w:rFonts w:hint="eastAsia" w:ascii="Times New Roman" w:hAnsi="Times New Roman" w:eastAsia="宋体" w:cs="Times New Roman"/>
                <w:b/>
                <w:bCs/>
                <w:sz w:val="21"/>
                <w:szCs w:val="21"/>
                <w:lang w:val="en-US" w:eastAsia="zh-CN"/>
              </w:rPr>
              <w:t>厂区</w:t>
            </w:r>
            <w:r>
              <w:rPr>
                <w:rFonts w:hint="eastAsia" w:cs="Times New Roman"/>
                <w:b/>
                <w:bCs/>
                <w:sz w:val="21"/>
                <w:szCs w:val="21"/>
                <w:lang w:val="en-US" w:eastAsia="zh-CN"/>
              </w:rPr>
              <w:t>储运</w:t>
            </w:r>
            <w:r>
              <w:rPr>
                <w:rFonts w:hint="eastAsia" w:ascii="Times New Roman" w:hAnsi="Times New Roman" w:eastAsia="宋体" w:cs="Times New Roman"/>
                <w:b/>
                <w:bCs/>
                <w:sz w:val="21"/>
                <w:szCs w:val="21"/>
                <w:lang w:val="en-US" w:eastAsia="zh-CN"/>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6.1</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堆肥场</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公司生产过程中有利用价值的固废全部拉运至有机肥生产车间东侧的堆肥场处置，占地面积900m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，顶部设置雨棚，地面采用混凝土硬化处理。</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6.2</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生活垃圾收集桶</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建设单位在生活办公区设置生活垃圾收集桶若干，生活垃圾集中收集后委托园区环卫部门统一收集处理</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6.3</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危废暂存间</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建设单位在污水处理站西侧设置危废暂存暂存间1座，占地面积10m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lang w:val="en-US" w:eastAsia="zh-CN"/>
              </w:rPr>
              <w:t>，地面做防渗处理</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6.4</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厂内道路</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建设单位在厂区内部修建通行道路，采用混凝土硬化处理，基本能够满足通行要求</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6.5</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一般固废暂存间</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cs="Times New Roman"/>
                <w:sz w:val="21"/>
                <w:szCs w:val="21"/>
                <w:lang w:val="en-US" w:eastAsia="zh-CN"/>
              </w:rPr>
              <w:t>建设单位在肉牛精深加工生产车间、有机肥生产车间、饲料生产车间等设置了一般固废暂存间，用于一般固废的暂存。</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七、</w:t>
            </w:r>
            <w:r>
              <w:rPr>
                <w:rFonts w:hint="eastAsia" w:ascii="Times New Roman" w:hAnsi="Times New Roman" w:eastAsia="宋体" w:cs="Times New Roman"/>
                <w:b/>
                <w:bCs/>
                <w:color w:val="auto"/>
                <w:sz w:val="21"/>
                <w:szCs w:val="21"/>
                <w:vertAlign w:val="baseline"/>
                <w:lang w:val="en-US" w:eastAsia="zh-CN"/>
              </w:rPr>
              <w:t>厂区辅助工程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7.1</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办公区</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建设单位在厂区南侧设置综合办公大楼1座，占地面积1440m</w:t>
            </w:r>
            <w:r>
              <w:rPr>
                <w:rFonts w:hint="eastAsia"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lang w:val="en-US" w:eastAsia="zh-CN"/>
              </w:rPr>
              <w:t>，4层，框架结构</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7.2</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职工宿舍</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color w:val="auto"/>
                <w:sz w:val="21"/>
                <w:szCs w:val="21"/>
                <w:vertAlign w:val="baseline"/>
                <w:lang w:val="en-US" w:eastAsia="zh-CN"/>
              </w:rPr>
              <w:t>占地面积1344m</w:t>
            </w:r>
            <w:r>
              <w:rPr>
                <w:rFonts w:hint="eastAsia" w:ascii="Times New Roman" w:hAnsi="Times New Roman" w:eastAsia="宋体" w:cs="Times New Roman"/>
                <w:color w:val="auto"/>
                <w:sz w:val="21"/>
                <w:szCs w:val="21"/>
                <w:vertAlign w:val="superscript"/>
                <w:lang w:val="en-US" w:eastAsia="zh-CN"/>
              </w:rPr>
              <w:t>2</w:t>
            </w:r>
            <w:r>
              <w:rPr>
                <w:rFonts w:hint="eastAsia" w:ascii="Times New Roman" w:hAnsi="Times New Roman" w:eastAsia="宋体" w:cs="Times New Roman"/>
                <w:color w:val="auto"/>
                <w:sz w:val="21"/>
                <w:szCs w:val="21"/>
                <w:vertAlign w:val="baseline"/>
                <w:lang w:val="en-US" w:eastAsia="zh-CN"/>
              </w:rPr>
              <w:t>，1层，砖混结构</w:t>
            </w:r>
            <w:r>
              <w:rPr>
                <w:rFonts w:hint="eastAsia" w:cs="Times New Roman"/>
                <w:color w:val="auto"/>
                <w:sz w:val="21"/>
                <w:szCs w:val="21"/>
                <w:vertAlign w:val="baseline"/>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7.3</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门房</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sz w:val="21"/>
                <w:szCs w:val="21"/>
                <w:lang w:val="en-US" w:eastAsia="zh-CN"/>
              </w:rPr>
              <w:t>占地面积30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lang w:val="en-US" w:eastAsia="zh-CN"/>
              </w:rPr>
              <w:t>2</w:t>
            </w:r>
            <w:r>
              <w:rPr>
                <w:rFonts w:hint="eastAsia" w:ascii="Times New Roman" w:hAnsi="Times New Roman" w:eastAsia="宋体" w:cs="Times New Roman"/>
                <w:sz w:val="21"/>
                <w:szCs w:val="21"/>
                <w:lang w:val="en-US" w:eastAsia="zh-CN"/>
              </w:rPr>
              <w:t>座，</w:t>
            </w:r>
            <w:r>
              <w:rPr>
                <w:rFonts w:hint="default" w:ascii="Times New Roman" w:hAnsi="Times New Roman" w:eastAsia="宋体" w:cs="Times New Roman"/>
                <w:sz w:val="21"/>
                <w:szCs w:val="21"/>
                <w:lang w:val="en-US" w:eastAsia="zh-CN"/>
              </w:rPr>
              <w:t>砖混结构</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7.4</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配电室</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占地面积50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lang w:val="en-US" w:eastAsia="zh-CN"/>
              </w:rPr>
              <w:t>1</w:t>
            </w:r>
            <w:r>
              <w:rPr>
                <w:rFonts w:hint="eastAsia" w:ascii="Times New Roman" w:hAnsi="Times New Roman" w:eastAsia="宋体" w:cs="Times New Roman"/>
                <w:sz w:val="21"/>
                <w:szCs w:val="21"/>
                <w:lang w:val="en-US" w:eastAsia="zh-CN"/>
              </w:rPr>
              <w:t>座，</w:t>
            </w:r>
            <w:r>
              <w:rPr>
                <w:rFonts w:hint="default" w:ascii="Times New Roman" w:hAnsi="Times New Roman" w:eastAsia="宋体" w:cs="Times New Roman"/>
                <w:sz w:val="21"/>
                <w:szCs w:val="21"/>
                <w:lang w:val="en-US" w:eastAsia="zh-CN"/>
              </w:rPr>
              <w:t>砖混结构</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7.5</w:t>
            </w:r>
          </w:p>
        </w:tc>
        <w:tc>
          <w:tcPr>
            <w:tcW w:w="1131" w:type="pct"/>
            <w:gridSpan w:val="2"/>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污水处理站</w:t>
            </w:r>
          </w:p>
        </w:tc>
        <w:tc>
          <w:tcPr>
            <w:tcW w:w="3145"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建设单位建设污水处理站1座，处理能力为</w:t>
            </w:r>
            <w:r>
              <w:rPr>
                <w:rFonts w:hint="eastAsia" w:cs="Times New Roman"/>
                <w:sz w:val="21"/>
                <w:szCs w:val="21"/>
                <w:lang w:val="en-US" w:eastAsia="zh-CN"/>
              </w:rPr>
              <w:t>7</w:t>
            </w:r>
            <w:r>
              <w:rPr>
                <w:rFonts w:hint="eastAsia" w:ascii="Times New Roman" w:hAnsi="Times New Roman" w:eastAsia="宋体" w:cs="Times New Roman"/>
                <w:sz w:val="21"/>
                <w:szCs w:val="21"/>
                <w:lang w:val="en-US" w:eastAsia="zh-CN"/>
              </w:rPr>
              <w:t>00m</w:t>
            </w:r>
            <w:r>
              <w:rPr>
                <w:rFonts w:hint="eastAsia"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lang w:val="en-US" w:eastAsia="zh-CN"/>
              </w:rPr>
              <w:t>/d，处理工艺采用“</w:t>
            </w:r>
            <w:r>
              <w:rPr>
                <w:rFonts w:hint="default" w:ascii="Times New Roman" w:hAnsi="Times New Roman" w:eastAsia="宋体" w:cs="Times New Roman"/>
                <w:sz w:val="21"/>
                <w:szCs w:val="21"/>
                <w:lang w:val="en-US" w:eastAsia="zh-CN"/>
              </w:rPr>
              <w:t>预处理+二级生化处理+消毒处理</w:t>
            </w:r>
            <w:r>
              <w:rPr>
                <w:rFonts w:hint="eastAsia" w:ascii="Times New Roman" w:hAnsi="Times New Roman" w:eastAsia="宋体" w:cs="Times New Roman"/>
                <w:sz w:val="21"/>
                <w:szCs w:val="21"/>
                <w:lang w:val="en-US" w:eastAsia="zh-CN"/>
              </w:rPr>
              <w:t>”</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八、</w:t>
            </w:r>
            <w:r>
              <w:rPr>
                <w:rFonts w:hint="eastAsia" w:ascii="Times New Roman" w:hAnsi="Times New Roman" w:eastAsia="宋体" w:cs="Times New Roman"/>
                <w:b/>
                <w:bCs/>
                <w:color w:val="auto"/>
                <w:sz w:val="21"/>
                <w:szCs w:val="21"/>
                <w:vertAlign w:val="baseline"/>
                <w:lang w:val="en-US" w:eastAsia="zh-CN"/>
              </w:rPr>
              <w:t>厂区公用工程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8.1</w:t>
            </w:r>
          </w:p>
        </w:tc>
        <w:tc>
          <w:tcPr>
            <w:tcW w:w="1131" w:type="pct"/>
            <w:gridSpan w:val="2"/>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供水</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项目厂区包含机井</w:t>
            </w:r>
            <w:r>
              <w:rPr>
                <w:rFonts w:hint="eastAsia" w:cs="Times New Roman"/>
                <w:sz w:val="21"/>
                <w:szCs w:val="21"/>
                <w:lang w:val="en-US" w:eastAsia="zh-CN"/>
              </w:rPr>
              <w:t>5</w:t>
            </w:r>
            <w:r>
              <w:rPr>
                <w:rFonts w:hint="default" w:ascii="Times New Roman" w:hAnsi="Times New Roman" w:eastAsia="宋体" w:cs="Times New Roman"/>
                <w:sz w:val="21"/>
                <w:szCs w:val="21"/>
                <w:lang w:val="en-US" w:eastAsia="zh-CN"/>
              </w:rPr>
              <w:t>座，年综合供水量</w:t>
            </w:r>
            <w:r>
              <w:rPr>
                <w:rFonts w:hint="eastAsia" w:cs="Times New Roman"/>
                <w:sz w:val="21"/>
                <w:szCs w:val="21"/>
                <w:lang w:val="en-US" w:eastAsia="zh-CN"/>
              </w:rPr>
              <w:t>55</w:t>
            </w:r>
            <w:r>
              <w:rPr>
                <w:rFonts w:hint="default" w:ascii="Times New Roman" w:hAnsi="Times New Roman" w:eastAsia="宋体" w:cs="Times New Roman"/>
                <w:sz w:val="21"/>
                <w:szCs w:val="21"/>
                <w:lang w:val="en-US" w:eastAsia="zh-CN"/>
              </w:rPr>
              <w:t>万m</w:t>
            </w:r>
            <w:r>
              <w:rPr>
                <w:rFonts w:hint="default" w:ascii="Times New Roman" w:hAnsi="Times New Roman" w:eastAsia="宋体" w:cs="Times New Roman"/>
                <w:sz w:val="21"/>
                <w:szCs w:val="21"/>
                <w:vertAlign w:val="superscript"/>
                <w:lang w:val="en-US" w:eastAsia="zh-CN"/>
              </w:rPr>
              <w:t>3</w:t>
            </w:r>
            <w:r>
              <w:rPr>
                <w:rFonts w:hint="eastAsia" w:ascii="Times New Roman" w:hAnsi="Times New Roman" w:eastAsia="宋体" w:cs="Times New Roman"/>
                <w:sz w:val="21"/>
                <w:szCs w:val="21"/>
                <w:vertAlign w:val="baseline"/>
                <w:lang w:val="en-US" w:eastAsia="zh-CN"/>
              </w:rPr>
              <w:t>，能够满足厂区用水需求</w:t>
            </w:r>
            <w:r>
              <w:rPr>
                <w:rFonts w:hint="eastAsia" w:cs="Times New Roman"/>
                <w:sz w:val="21"/>
                <w:szCs w:val="21"/>
                <w:vertAlign w:val="baseline"/>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8.2</w:t>
            </w:r>
          </w:p>
        </w:tc>
        <w:tc>
          <w:tcPr>
            <w:tcW w:w="1131" w:type="pct"/>
            <w:gridSpan w:val="2"/>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排水</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废水经厂区现有的污水处理站处理后用于厂区饲草种植区的灌溉</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8.3</w:t>
            </w:r>
          </w:p>
        </w:tc>
        <w:tc>
          <w:tcPr>
            <w:tcW w:w="1131" w:type="pct"/>
            <w:gridSpan w:val="2"/>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供热</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厂区生活办公区供热采用电锅炉</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18"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8.4</w:t>
            </w:r>
          </w:p>
        </w:tc>
        <w:tc>
          <w:tcPr>
            <w:tcW w:w="1131" w:type="pct"/>
            <w:gridSpan w:val="2"/>
            <w:tcBorders>
              <w:tl2br w:val="nil"/>
              <w:tr2bl w:val="nil"/>
            </w:tcBorders>
            <w:noWrap w:val="0"/>
            <w:vAlign w:val="center"/>
          </w:tcPr>
          <w:p>
            <w:pPr>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145" w:type="pct"/>
            <w:tcBorders>
              <w:tl2br w:val="nil"/>
              <w:tr2bl w:val="nil"/>
            </w:tcBorders>
            <w:noWrap w:val="0"/>
            <w:vAlign w:val="center"/>
          </w:tcPr>
          <w:p>
            <w:pPr>
              <w:spacing w:line="240" w:lineRule="auto"/>
              <w:ind w:left="0" w:leftChars="0" w:firstLine="0" w:firstLineChars="0"/>
              <w:jc w:val="both"/>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由甘州区电力局供给，企业现有720m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的配电室1座，1000KVA变压器2台，电力供应充足</w:t>
            </w:r>
            <w:r>
              <w:rPr>
                <w:rFonts w:hint="eastAsia" w:cs="Times New Roman"/>
                <w:sz w:val="21"/>
                <w:szCs w:val="21"/>
                <w:lang w:val="en-US" w:eastAsia="zh-CN"/>
              </w:rPr>
              <w:t>。</w:t>
            </w:r>
          </w:p>
        </w:tc>
        <w:tc>
          <w:tcPr>
            <w:tcW w:w="403" w:type="pct"/>
            <w:tcBorders>
              <w:tl2br w:val="nil"/>
              <w:tr2bl w:val="nil"/>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已建</w:t>
            </w:r>
          </w:p>
        </w:tc>
      </w:tr>
    </w:tbl>
    <w:p>
      <w:pPr>
        <w:pStyle w:val="5"/>
        <w:bidi w:val="0"/>
      </w:pPr>
      <w:bookmarkStart w:id="425" w:name="_Toc24394"/>
      <w:bookmarkStart w:id="426" w:name="_Toc2796"/>
      <w:bookmarkStart w:id="427" w:name="_Toc4518"/>
      <w:r>
        <w:rPr>
          <w:rFonts w:hint="eastAsia"/>
          <w:lang w:val="en-US" w:eastAsia="zh-CN"/>
        </w:rPr>
        <w:t>2.4、现有工程</w:t>
      </w:r>
      <w:r>
        <w:t>主要</w:t>
      </w:r>
      <w:r>
        <w:rPr>
          <w:rFonts w:hint="eastAsia"/>
          <w:lang w:val="en-US" w:eastAsia="zh-CN"/>
        </w:rPr>
        <w:t>的</w:t>
      </w:r>
      <w:r>
        <w:t>原辅材料消耗</w:t>
      </w:r>
      <w:bookmarkEnd w:id="425"/>
      <w:bookmarkEnd w:id="426"/>
      <w:bookmarkEnd w:id="427"/>
    </w:p>
    <w:p>
      <w:pPr>
        <w:bidi w:val="0"/>
      </w:pPr>
      <w:r>
        <w:rPr>
          <w:rFonts w:hint="eastAsia"/>
          <w:lang w:val="en-US" w:eastAsia="zh-CN"/>
        </w:rPr>
        <w:t>根据建设单位提供的2022年实际消耗量，</w:t>
      </w:r>
      <w:r>
        <w:t>现有项目主要原辅材料消耗情况</w:t>
      </w:r>
      <w:r>
        <w:rPr>
          <w:rFonts w:hint="eastAsia"/>
          <w:lang w:val="en-US" w:eastAsia="zh-CN"/>
        </w:rPr>
        <w:t>详见下表</w:t>
      </w:r>
      <w:r>
        <w:t>。</w:t>
      </w:r>
    </w:p>
    <w:p>
      <w:pPr>
        <w:bidi w:val="0"/>
        <w:spacing w:line="240" w:lineRule="auto"/>
        <w:jc w:val="center"/>
        <w:rPr>
          <w:rFonts w:hint="eastAsia"/>
          <w:lang w:eastAsia="zh-CN"/>
        </w:rPr>
      </w:pPr>
      <w:r>
        <w:rPr>
          <w:rFonts w:hint="default"/>
          <w:b/>
          <w:bCs/>
        </w:rPr>
        <w:t>表</w:t>
      </w:r>
      <w:r>
        <w:rPr>
          <w:rFonts w:hint="default"/>
          <w:b/>
          <w:bCs/>
          <w:lang w:val="en-US" w:eastAsia="zh-CN"/>
        </w:rPr>
        <w:t>2</w:t>
      </w:r>
      <w:r>
        <w:rPr>
          <w:rFonts w:hint="eastAsia"/>
          <w:b/>
          <w:bCs/>
          <w:lang w:val="en-US" w:eastAsia="zh-CN"/>
        </w:rPr>
        <w:t>.3</w:t>
      </w:r>
      <w:r>
        <w:rPr>
          <w:rFonts w:hint="default"/>
          <w:b/>
          <w:bCs/>
        </w:rPr>
        <w:t xml:space="preserve">    现有工程主要原辅材料消耗</w:t>
      </w:r>
      <w:r>
        <w:rPr>
          <w:rFonts w:hint="eastAsia"/>
          <w:b/>
          <w:bCs/>
          <w:lang w:val="en-US" w:eastAsia="zh-CN"/>
        </w:rPr>
        <w:t>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749"/>
        <w:gridCol w:w="2663"/>
        <w:gridCol w:w="2000"/>
        <w:gridCol w:w="3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名称</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年消耗量</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一、万吨清真肉品冷链物流配送市场服务体系建设项目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液氨</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0.06t/a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150</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13</w:t>
            </w:r>
            <w:r>
              <w:rPr>
                <w:rFonts w:hint="default" w:ascii="Times New Roman" w:hAnsi="Times New Roman" w:eastAsia="宋体" w:cs="Times New Roman"/>
                <w:sz w:val="21"/>
                <w:szCs w:val="21"/>
              </w:rPr>
              <w:t>万kWh</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园区管网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二、3万头/年肉牛精深加工生产项目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活牛</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30000</w:t>
            </w:r>
            <w:r>
              <w:rPr>
                <w:rFonts w:hint="default" w:ascii="Times New Roman" w:hAnsi="Times New Roman" w:eastAsia="宋体" w:cs="Times New Roman"/>
                <w:sz w:val="21"/>
                <w:szCs w:val="21"/>
              </w:rPr>
              <w:t>头</w:t>
            </w:r>
            <w:r>
              <w:rPr>
                <w:rFonts w:hint="default" w:ascii="Times New Roman" w:hAnsi="Times New Roman" w:eastAsia="宋体" w:cs="Times New Roman"/>
                <w:sz w:val="21"/>
                <w:szCs w:val="21"/>
                <w:lang w:val="en-US" w:eastAsia="zh-CN"/>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公司自产，</w:t>
            </w:r>
            <w:r>
              <w:rPr>
                <w:rFonts w:hint="default" w:ascii="Times New Roman" w:hAnsi="Times New Roman" w:eastAsia="宋体" w:cs="Times New Roman"/>
                <w:sz w:val="21"/>
                <w:szCs w:val="21"/>
              </w:rPr>
              <w:t>平均500kg/头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2.2</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包装袋</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318.5万</w:t>
            </w:r>
            <w:r>
              <w:rPr>
                <w:rFonts w:hint="eastAsia" w:ascii="Times New Roman" w:hAnsi="Times New Roman" w:eastAsia="宋体" w:cs="Times New Roman"/>
                <w:sz w:val="21"/>
                <w:szCs w:val="21"/>
                <w:lang w:val="en-US" w:eastAsia="zh-CN"/>
              </w:rPr>
              <w:t>个</w:t>
            </w:r>
            <w:r>
              <w:rPr>
                <w:rFonts w:hint="default" w:ascii="Times New Roman" w:hAnsi="Times New Roman" w:eastAsia="宋体" w:cs="Times New Roman"/>
                <w:sz w:val="21"/>
                <w:szCs w:val="21"/>
                <w:lang w:val="en-US" w:eastAsia="zh-CN"/>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2.3</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包装箱</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63.7万</w:t>
            </w:r>
            <w:r>
              <w:rPr>
                <w:rFonts w:hint="eastAsia" w:ascii="Times New Roman" w:hAnsi="Times New Roman" w:eastAsia="宋体" w:cs="Times New Roman"/>
                <w:sz w:val="21"/>
                <w:szCs w:val="21"/>
                <w:lang w:val="en-US" w:eastAsia="zh-CN"/>
              </w:rPr>
              <w:t>个</w:t>
            </w:r>
            <w:r>
              <w:rPr>
                <w:rFonts w:hint="default" w:ascii="Times New Roman" w:hAnsi="Times New Roman" w:eastAsia="宋体" w:cs="Times New Roman"/>
                <w:sz w:val="21"/>
                <w:szCs w:val="21"/>
                <w:lang w:val="en-US" w:eastAsia="zh-CN"/>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64548m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厂区自备机井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9.</w:t>
            </w:r>
            <w:r>
              <w:rPr>
                <w:rFonts w:hint="default" w:ascii="Times New Roman" w:hAnsi="Times New Roman" w:eastAsia="宋体" w:cs="Times New Roman"/>
                <w:sz w:val="21"/>
                <w:szCs w:val="21"/>
                <w:lang w:val="en-US" w:eastAsia="zh-CN"/>
              </w:rPr>
              <w:t>33</w:t>
            </w:r>
            <w:r>
              <w:rPr>
                <w:rFonts w:hint="default" w:ascii="Times New Roman" w:hAnsi="Times New Roman" w:eastAsia="宋体" w:cs="Times New Roman"/>
                <w:sz w:val="21"/>
                <w:szCs w:val="21"/>
              </w:rPr>
              <w:t>万kWh</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园区管网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lang w:val="en-US" w:eastAsia="zh-CN"/>
              </w:rPr>
              <w:t>三、牛羊屠宰副产物综合利用项目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鲜血</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576</w:t>
            </w:r>
            <w:r>
              <w:rPr>
                <w:rFonts w:hint="default" w:ascii="Times New Roman" w:hAnsi="Times New Roman" w:eastAsia="宋体" w:cs="Times New Roman"/>
                <w:sz w:val="21"/>
                <w:szCs w:val="21"/>
                <w:lang w:val="en-US" w:eastAsia="zh-CN"/>
              </w:rPr>
              <w:t>t/a</w:t>
            </w:r>
          </w:p>
        </w:tc>
        <w:tc>
          <w:tcPr>
            <w:tcW w:w="1867"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原料均来自“3万头/年肉牛精深加工生产项目”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杂骨</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912.6</w:t>
            </w:r>
            <w:r>
              <w:rPr>
                <w:rFonts w:hint="default" w:ascii="Times New Roman" w:hAnsi="Times New Roman" w:eastAsia="宋体" w:cs="Times New Roman"/>
                <w:sz w:val="21"/>
                <w:szCs w:val="21"/>
                <w:lang w:val="en-US" w:eastAsia="zh-CN"/>
              </w:rPr>
              <w:t>t/a</w:t>
            </w:r>
          </w:p>
        </w:tc>
        <w:tc>
          <w:tcPr>
            <w:tcW w:w="1867" w:type="pct"/>
            <w:vMerge w:val="continue"/>
            <w:tcBorders>
              <w:tl2br w:val="nil"/>
              <w:tr2bl w:val="nil"/>
            </w:tcBorders>
            <w:vAlign w:val="center"/>
          </w:tcPr>
          <w:p>
            <w:pPr>
              <w:bidi w:val="0"/>
              <w:spacing w:line="240" w:lineRule="auto"/>
              <w:ind w:left="0" w:leftChars="0" w:firstLine="0" w:firstLineChars="0"/>
              <w:jc w:val="both"/>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头蹄尾</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1292.4t/a</w:t>
            </w:r>
          </w:p>
        </w:tc>
        <w:tc>
          <w:tcPr>
            <w:tcW w:w="1867" w:type="pct"/>
            <w:vMerge w:val="continue"/>
            <w:tcBorders>
              <w:tl2br w:val="nil"/>
              <w:tr2bl w:val="nil"/>
            </w:tcBorders>
            <w:vAlign w:val="center"/>
          </w:tcPr>
          <w:p>
            <w:pPr>
              <w:bidi w:val="0"/>
              <w:spacing w:line="240" w:lineRule="auto"/>
              <w:ind w:left="0" w:leftChars="0" w:firstLine="0" w:firstLineChars="0"/>
              <w:jc w:val="both"/>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心、肝、肺等内脏</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1307.6t/a</w:t>
            </w:r>
          </w:p>
        </w:tc>
        <w:tc>
          <w:tcPr>
            <w:tcW w:w="1867" w:type="pct"/>
            <w:vMerge w:val="continue"/>
            <w:tcBorders>
              <w:tl2br w:val="nil"/>
              <w:tr2bl w:val="nil"/>
            </w:tcBorders>
            <w:vAlign w:val="center"/>
          </w:tcPr>
          <w:p>
            <w:pPr>
              <w:bidi w:val="0"/>
              <w:spacing w:line="240" w:lineRule="auto"/>
              <w:ind w:left="0" w:leftChars="0" w:firstLine="0" w:firstLineChars="0"/>
              <w:jc w:val="both"/>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val="en-US" w:eastAsia="zh-CN"/>
              </w:rPr>
              <w:t>2</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20802.104</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lang w:val="en-US" w:eastAsia="zh-CN"/>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厂区自备机井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r>
              <w:rPr>
                <w:rFonts w:hint="eastAsia" w:ascii="Times New Roman" w:hAnsi="Times New Roman" w:eastAsia="宋体" w:cs="Times New Roman"/>
                <w:sz w:val="21"/>
                <w:szCs w:val="21"/>
                <w:lang w:val="en-US" w:eastAsia="zh-CN"/>
              </w:rPr>
              <w:t>3</w:t>
            </w:r>
          </w:p>
        </w:tc>
        <w:tc>
          <w:tcPr>
            <w:tcW w:w="1713"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270万kwh</w:t>
            </w:r>
            <w:r>
              <w:rPr>
                <w:rFonts w:hint="default" w:ascii="Times New Roman" w:hAnsi="Times New Roman" w:eastAsia="宋体" w:cs="Times New Roman"/>
                <w:sz w:val="21"/>
                <w:szCs w:val="21"/>
                <w:lang w:val="en-US" w:eastAsia="zh-CN"/>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园区供电管网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四、节水型工农业复合循环体系改造升级项目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.1</w:t>
            </w:r>
          </w:p>
        </w:tc>
        <w:tc>
          <w:tcPr>
            <w:tcW w:w="376"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肉牛饲养</w:t>
            </w: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玉米秸秆</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500</w:t>
            </w:r>
            <w:r>
              <w:rPr>
                <w:rFonts w:hint="default" w:ascii="Times New Roman" w:hAnsi="Times New Roman" w:eastAsia="宋体" w:cs="Times New Roman"/>
                <w:sz w:val="21"/>
                <w:szCs w:val="21"/>
                <w:lang w:val="en-US" w:eastAsia="zh-CN"/>
              </w:rPr>
              <w:t>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苜蓿干草</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500</w:t>
            </w:r>
            <w:r>
              <w:rPr>
                <w:rFonts w:hint="default" w:ascii="Times New Roman" w:hAnsi="Times New Roman" w:eastAsia="宋体" w:cs="Times New Roman"/>
                <w:sz w:val="21"/>
                <w:szCs w:val="21"/>
                <w:lang w:val="en-US" w:eastAsia="zh-CN"/>
              </w:rPr>
              <w:t>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麦草</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000</w:t>
            </w:r>
            <w:r>
              <w:rPr>
                <w:rFonts w:hint="default" w:ascii="Times New Roman" w:hAnsi="Times New Roman" w:eastAsia="宋体" w:cs="Times New Roman"/>
                <w:sz w:val="21"/>
                <w:szCs w:val="21"/>
                <w:lang w:val="en-US" w:eastAsia="zh-CN"/>
              </w:rPr>
              <w:t>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.2</w:t>
            </w:r>
          </w:p>
        </w:tc>
        <w:tc>
          <w:tcPr>
            <w:tcW w:w="376"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肉牛饲料生产</w:t>
            </w: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玉米</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43</w:t>
            </w:r>
            <w:r>
              <w:rPr>
                <w:rFonts w:hint="default" w:ascii="Times New Roman" w:hAnsi="Times New Roman" w:eastAsia="宋体" w:cs="Times New Roman"/>
                <w:sz w:val="21"/>
                <w:szCs w:val="21"/>
              </w:rPr>
              <w:t>00</w:t>
            </w:r>
            <w:r>
              <w:rPr>
                <w:rFonts w:hint="default" w:ascii="Times New Roman" w:hAnsi="Times New Roman" w:eastAsia="宋体" w:cs="Times New Roman"/>
                <w:sz w:val="21"/>
                <w:szCs w:val="21"/>
                <w:lang w:val="en-US" w:eastAsia="zh-CN"/>
              </w:rPr>
              <w:t>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麸皮</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28</w:t>
            </w:r>
            <w:r>
              <w:rPr>
                <w:rFonts w:hint="default" w:ascii="Times New Roman" w:hAnsi="Times New Roman" w:eastAsia="宋体" w:cs="Times New Roman"/>
                <w:sz w:val="21"/>
                <w:szCs w:val="21"/>
              </w:rPr>
              <w:t>0</w:t>
            </w:r>
            <w:r>
              <w:rPr>
                <w:rFonts w:hint="default" w:ascii="Times New Roman" w:hAnsi="Times New Roman" w:eastAsia="宋体" w:cs="Times New Roman"/>
                <w:sz w:val="21"/>
                <w:szCs w:val="21"/>
                <w:lang w:val="en-US" w:eastAsia="zh-CN"/>
              </w:rPr>
              <w:t>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DDGS</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231</w:t>
            </w:r>
            <w:r>
              <w:rPr>
                <w:rFonts w:hint="default" w:ascii="Times New Roman" w:hAnsi="Times New Roman" w:eastAsia="宋体" w:cs="Times New Roman"/>
                <w:sz w:val="21"/>
                <w:szCs w:val="21"/>
              </w:rPr>
              <w:t>0</w:t>
            </w:r>
            <w:r>
              <w:rPr>
                <w:rFonts w:hint="default" w:ascii="Times New Roman" w:hAnsi="Times New Roman" w:eastAsia="宋体" w:cs="Times New Roman"/>
                <w:sz w:val="21"/>
                <w:szCs w:val="21"/>
                <w:lang w:val="en-US" w:eastAsia="zh-CN"/>
              </w:rPr>
              <w:t>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玉米纤维</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2720t/a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酒糟</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1750t/a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棉粕</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3060t/a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菜粕</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1400t/a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核心基料</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1340t/a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.3</w:t>
            </w:r>
          </w:p>
        </w:tc>
        <w:tc>
          <w:tcPr>
            <w:tcW w:w="376"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有机肥加工生产线</w:t>
            </w: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牛粪（含干物质10%）</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48600t/a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屠宰废弃物</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2763t/a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玉米秸秆</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6237t/a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自产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油葵秸秆</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5670t/a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酵母菌</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32.4t/a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解磷菌</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螺旋盐杆菌</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红球菌</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吸附剂</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保水剂</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10.8t/a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val="en-US" w:eastAsia="zh-CN"/>
              </w:rPr>
              <w:t>.4</w:t>
            </w:r>
          </w:p>
        </w:tc>
        <w:tc>
          <w:tcPr>
            <w:tcW w:w="376"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其他</w:t>
            </w: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消毒剂</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生石灰</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盐酸</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0.7t/a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氯酸钠</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生物除臭剂</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水</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32.46万m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/a</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厂区自备机井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376"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3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电</w:t>
            </w:r>
          </w:p>
        </w:tc>
        <w:tc>
          <w:tcPr>
            <w:tcW w:w="100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480万Kw·h</w:t>
            </w:r>
          </w:p>
        </w:tc>
        <w:tc>
          <w:tcPr>
            <w:tcW w:w="186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5"/>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备注：由于“节水型工农业复合循环体系改造升级项目”对“5000头肉牛繁育基地基础设施建设项目”进行了升级改造，故统计</w:t>
            </w:r>
            <w:r>
              <w:rPr>
                <w:rFonts w:hint="eastAsia" w:ascii="Times New Roman" w:hAnsi="Times New Roman" w:eastAsia="宋体" w:cs="Times New Roman"/>
                <w:sz w:val="21"/>
                <w:szCs w:val="21"/>
                <w:lang w:val="en-US" w:eastAsia="zh-CN"/>
              </w:rPr>
              <w:t>时</w:t>
            </w:r>
            <w:r>
              <w:rPr>
                <w:rFonts w:hint="default" w:ascii="Times New Roman" w:hAnsi="Times New Roman" w:eastAsia="宋体" w:cs="Times New Roman"/>
                <w:sz w:val="21"/>
                <w:szCs w:val="21"/>
                <w:lang w:val="en-US" w:eastAsia="zh-CN"/>
              </w:rPr>
              <w:t>以升级改造后的</w:t>
            </w:r>
            <w:r>
              <w:rPr>
                <w:rFonts w:hint="eastAsia" w:ascii="Times New Roman" w:hAnsi="Times New Roman" w:eastAsia="宋体" w:cs="Times New Roman"/>
                <w:sz w:val="21"/>
                <w:szCs w:val="21"/>
                <w:lang w:val="en-US" w:eastAsia="zh-CN"/>
              </w:rPr>
              <w:t>实际产能进行统计</w:t>
            </w:r>
            <w:r>
              <w:rPr>
                <w:rFonts w:hint="default" w:ascii="Times New Roman" w:hAnsi="Times New Roman" w:eastAsia="宋体" w:cs="Times New Roman"/>
                <w:sz w:val="21"/>
                <w:szCs w:val="21"/>
                <w:lang w:val="en-US" w:eastAsia="zh-CN"/>
              </w:rPr>
              <w:t>。</w:t>
            </w:r>
          </w:p>
        </w:tc>
      </w:tr>
    </w:tbl>
    <w:p>
      <w:pPr>
        <w:pStyle w:val="5"/>
        <w:bidi w:val="0"/>
        <w:rPr>
          <w:rFonts w:hint="eastAsia"/>
        </w:rPr>
      </w:pPr>
      <w:bookmarkStart w:id="428" w:name="_Toc18082"/>
      <w:r>
        <w:t>2.</w:t>
      </w:r>
      <w:r>
        <w:rPr>
          <w:rFonts w:hint="eastAsia"/>
          <w:lang w:val="en-US" w:eastAsia="zh-CN"/>
        </w:rPr>
        <w:t>5</w:t>
      </w:r>
      <w:r>
        <w:rPr>
          <w:rFonts w:hint="eastAsia"/>
          <w:lang w:eastAsia="zh-CN"/>
        </w:rPr>
        <w:t>、</w:t>
      </w:r>
      <w:r>
        <w:t>现有工程</w:t>
      </w:r>
      <w:r>
        <w:rPr>
          <w:rFonts w:hint="eastAsia"/>
        </w:rPr>
        <w:t>产品方案</w:t>
      </w:r>
      <w:bookmarkEnd w:id="428"/>
    </w:p>
    <w:p>
      <w:pPr>
        <w:bidi w:val="0"/>
        <w:rPr>
          <w:rFonts w:hint="default"/>
        </w:rPr>
      </w:pPr>
      <w:r>
        <w:rPr>
          <w:rFonts w:hint="eastAsia"/>
          <w:lang w:val="en-US" w:eastAsia="zh-CN"/>
        </w:rPr>
        <w:t>根据现场实际调查，</w:t>
      </w:r>
      <w:r>
        <w:rPr>
          <w:rFonts w:hint="default"/>
        </w:rPr>
        <w:t>现有工程主要产品详见表</w:t>
      </w:r>
      <w:r>
        <w:rPr>
          <w:rFonts w:hint="eastAsia"/>
          <w:lang w:val="en-US" w:eastAsia="zh-CN"/>
        </w:rPr>
        <w:t>2.4</w:t>
      </w:r>
      <w:r>
        <w:rPr>
          <w:rFonts w:hint="default"/>
        </w:rPr>
        <w:t>。</w:t>
      </w:r>
    </w:p>
    <w:p>
      <w:pPr>
        <w:bidi w:val="0"/>
        <w:spacing w:line="240" w:lineRule="auto"/>
        <w:jc w:val="center"/>
        <w:rPr>
          <w:rFonts w:hint="default"/>
          <w:b/>
          <w:bCs/>
          <w:lang w:eastAsia="zh-CN"/>
        </w:rPr>
      </w:pPr>
      <w:r>
        <w:rPr>
          <w:rFonts w:hint="default"/>
          <w:b/>
          <w:bCs/>
        </w:rPr>
        <w:t>表</w:t>
      </w:r>
      <w:r>
        <w:rPr>
          <w:rFonts w:hint="default"/>
          <w:b/>
          <w:bCs/>
          <w:lang w:val="en-US" w:eastAsia="zh-CN"/>
        </w:rPr>
        <w:t>2</w:t>
      </w:r>
      <w:r>
        <w:rPr>
          <w:rFonts w:hint="eastAsia"/>
          <w:b/>
          <w:bCs/>
          <w:lang w:val="en-US" w:eastAsia="zh-CN"/>
        </w:rPr>
        <w:t>.4</w:t>
      </w:r>
      <w:r>
        <w:rPr>
          <w:rFonts w:hint="default"/>
          <w:b/>
          <w:bCs/>
        </w:rPr>
        <w:t xml:space="preserve">    现有工程主要产品</w:t>
      </w:r>
      <w:r>
        <w:rPr>
          <w:rFonts w:hint="default"/>
          <w:b/>
          <w:bCs/>
          <w:lang w:eastAsia="zh-CN"/>
        </w:rPr>
        <w:t>方案</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2073"/>
        <w:gridCol w:w="2444"/>
        <w:gridCol w:w="4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产品名称</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产量</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b/>
                <w:bCs/>
                <w:sz w:val="21"/>
                <w:szCs w:val="21"/>
                <w:lang w:val="en-US" w:eastAsia="zh-CN"/>
              </w:rPr>
            </w:pPr>
            <w:r>
              <w:rPr>
                <w:rFonts w:hint="eastAsia" w:cs="Times New Roman"/>
                <w:b/>
                <w:bCs/>
                <w:sz w:val="21"/>
                <w:szCs w:val="21"/>
                <w:lang w:val="en-US" w:eastAsia="zh-CN"/>
              </w:rPr>
              <w:t>一、万吨清真肉品冷链物流配送市场服务体系建设项目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1.1</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冷冻鲜牛肉</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6370t/a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来自3万头/年肉牛精深加工生产线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eastAsia" w:cs="Times New Roman"/>
                <w:b w:val="0"/>
                <w:bCs w:val="0"/>
                <w:sz w:val="21"/>
                <w:szCs w:val="21"/>
                <w:lang w:val="en-US" w:eastAsia="zh-CN"/>
              </w:rPr>
              <w:t>1.2</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eastAsia" w:cs="Times New Roman"/>
                <w:b w:val="0"/>
                <w:bCs w:val="0"/>
                <w:sz w:val="21"/>
                <w:szCs w:val="21"/>
                <w:lang w:val="en-US" w:eastAsia="zh-CN"/>
              </w:rPr>
              <w:t>冷冻肉牛副产物</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sz w:val="21"/>
                <w:szCs w:val="21"/>
              </w:rPr>
              <w:t>3万副/a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来自3万头/年肉牛精深加工生产线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eastAsia" w:cs="Times New Roman"/>
                <w:b/>
                <w:bCs/>
                <w:sz w:val="21"/>
                <w:szCs w:val="21"/>
                <w:lang w:val="en-US" w:eastAsia="zh-CN"/>
              </w:rPr>
              <w:t>二、</w:t>
            </w:r>
            <w:r>
              <w:rPr>
                <w:rFonts w:hint="default" w:ascii="Times New Roman" w:hAnsi="Times New Roman" w:eastAsia="宋体" w:cs="Times New Roman"/>
                <w:b/>
                <w:bCs/>
                <w:sz w:val="21"/>
                <w:szCs w:val="21"/>
                <w:lang w:val="en-US" w:eastAsia="zh-CN"/>
              </w:rPr>
              <w:t>3万头/年肉牛精深加工生产项目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2.1</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分割牛肉</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6370t/a</w:t>
            </w:r>
          </w:p>
        </w:tc>
        <w:tc>
          <w:tcPr>
            <w:tcW w:w="2315" w:type="pct"/>
            <w:tcBorders>
              <w:tl2br w:val="nil"/>
              <w:tr2bl w:val="nil"/>
            </w:tcBorders>
            <w:vAlign w:val="center"/>
          </w:tcPr>
          <w:p>
            <w:pPr>
              <w:bidi w:val="0"/>
              <w:spacing w:line="240" w:lineRule="auto"/>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rPr>
            </w:pP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分割牛肉A级</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1300t/a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牛柳、西冷、眼肉、胸肉等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rPr>
            </w:pP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分割牛肉B级</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3200t/a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腱子肉、米龙、臀肉、腰肉、通脊等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rPr>
            </w:pP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分割牛肉C级</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1870t/a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脖领肉、牛腩及残次分割牛肉等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415" w:type="pct"/>
            <w:vMerge w:val="restar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val="en-US" w:eastAsia="zh-CN"/>
              </w:rPr>
              <w:t>2.</w:t>
            </w:r>
            <w:r>
              <w:rPr>
                <w:rFonts w:hint="default" w:ascii="Times New Roman" w:hAnsi="Times New Roman" w:eastAsia="宋体" w:cs="Times New Roman"/>
                <w:sz w:val="21"/>
                <w:szCs w:val="21"/>
              </w:rPr>
              <w:t>2</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牛骨</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1274</w:t>
            </w:r>
            <w:r>
              <w:rPr>
                <w:rFonts w:hint="default" w:ascii="Times New Roman" w:hAnsi="Times New Roman" w:eastAsia="宋体" w:cs="Times New Roman"/>
                <w:sz w:val="21"/>
                <w:szCs w:val="21"/>
              </w:rPr>
              <w:t>t/a</w:t>
            </w:r>
          </w:p>
        </w:tc>
        <w:tc>
          <w:tcPr>
            <w:tcW w:w="23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肉牛屠宰过程中产生的副产物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1041"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牛头</w:t>
            </w:r>
            <w:r>
              <w:rPr>
                <w:rFonts w:hint="eastAsia" w:cs="Times New Roman"/>
                <w:sz w:val="21"/>
                <w:szCs w:val="21"/>
                <w:lang w:eastAsia="zh-CN"/>
              </w:rPr>
              <w:t>、</w:t>
            </w:r>
            <w:r>
              <w:rPr>
                <w:rFonts w:hint="default" w:ascii="Times New Roman" w:hAnsi="Times New Roman" w:eastAsia="宋体" w:cs="Times New Roman"/>
                <w:sz w:val="21"/>
                <w:szCs w:val="21"/>
              </w:rPr>
              <w:t>蹄</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尾</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1292.4</w:t>
            </w:r>
            <w:r>
              <w:rPr>
                <w:rFonts w:hint="default" w:ascii="Times New Roman" w:hAnsi="Times New Roman" w:eastAsia="宋体" w:cs="Times New Roman"/>
                <w:sz w:val="21"/>
                <w:szCs w:val="21"/>
              </w:rPr>
              <w:t>t/a</w:t>
            </w:r>
          </w:p>
        </w:tc>
        <w:tc>
          <w:tcPr>
            <w:tcW w:w="23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041"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红</w:t>
            </w:r>
            <w:r>
              <w:rPr>
                <w:rFonts w:hint="eastAsia" w:cs="Times New Roman"/>
                <w:sz w:val="21"/>
                <w:szCs w:val="21"/>
                <w:lang w:eastAsia="zh-CN"/>
              </w:rPr>
              <w:t>、</w:t>
            </w:r>
            <w:r>
              <w:rPr>
                <w:rFonts w:hint="default" w:ascii="Times New Roman" w:hAnsi="Times New Roman" w:eastAsia="宋体" w:cs="Times New Roman"/>
                <w:sz w:val="21"/>
                <w:szCs w:val="21"/>
              </w:rPr>
              <w:t>白</w:t>
            </w:r>
            <w:r>
              <w:rPr>
                <w:rFonts w:hint="eastAsia" w:ascii="Times New Roman" w:hAnsi="Times New Roman" w:eastAsia="宋体" w:cs="Times New Roman"/>
                <w:sz w:val="21"/>
                <w:szCs w:val="21"/>
                <w:lang w:val="en-US" w:eastAsia="zh-CN"/>
              </w:rPr>
              <w:t>脏</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1307.6</w:t>
            </w:r>
            <w:r>
              <w:rPr>
                <w:rFonts w:hint="default" w:ascii="Times New Roman" w:hAnsi="Times New Roman" w:eastAsia="宋体" w:cs="Times New Roman"/>
                <w:sz w:val="21"/>
                <w:szCs w:val="21"/>
              </w:rPr>
              <w:t>t/a</w:t>
            </w:r>
          </w:p>
        </w:tc>
        <w:tc>
          <w:tcPr>
            <w:tcW w:w="23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腹内脂肪</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245</w:t>
            </w:r>
            <w:r>
              <w:rPr>
                <w:rFonts w:hint="default" w:ascii="Times New Roman" w:hAnsi="Times New Roman" w:eastAsia="宋体" w:cs="Times New Roman"/>
                <w:sz w:val="21"/>
                <w:szCs w:val="21"/>
              </w:rPr>
              <w:t>t/a</w:t>
            </w:r>
          </w:p>
        </w:tc>
        <w:tc>
          <w:tcPr>
            <w:tcW w:w="23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eastAsia="zh-CN"/>
              </w:rPr>
            </w:pP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碎肉</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r>
              <w:rPr>
                <w:rFonts w:hint="eastAsia" w:cs="Times New Roman"/>
                <w:sz w:val="21"/>
                <w:szCs w:val="21"/>
                <w:lang w:val="en-US" w:eastAsia="zh-CN"/>
              </w:rPr>
              <w:t>53</w:t>
            </w:r>
            <w:r>
              <w:rPr>
                <w:rFonts w:hint="default" w:ascii="Times New Roman" w:hAnsi="Times New Roman" w:eastAsia="宋体" w:cs="Times New Roman"/>
                <w:sz w:val="21"/>
                <w:szCs w:val="21"/>
              </w:rPr>
              <w:t>t/a</w:t>
            </w:r>
          </w:p>
        </w:tc>
        <w:tc>
          <w:tcPr>
            <w:tcW w:w="23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vMerge w:val="continue"/>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eastAsia="zh-CN"/>
              </w:rPr>
            </w:pP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牛血</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r>
              <w:rPr>
                <w:rFonts w:hint="eastAsia" w:cs="Times New Roman"/>
                <w:sz w:val="21"/>
                <w:szCs w:val="21"/>
                <w:lang w:val="en-US" w:eastAsia="zh-CN"/>
              </w:rPr>
              <w:t>75</w:t>
            </w:r>
            <w:r>
              <w:rPr>
                <w:rFonts w:hint="default" w:ascii="Times New Roman" w:hAnsi="Times New Roman" w:eastAsia="宋体" w:cs="Times New Roman"/>
                <w:sz w:val="21"/>
                <w:szCs w:val="21"/>
              </w:rPr>
              <w:t>t/a</w:t>
            </w:r>
          </w:p>
        </w:tc>
        <w:tc>
          <w:tcPr>
            <w:tcW w:w="2315"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2.3</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牛皮</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3万张/a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经一般固废暂存间暂存后外售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eastAsia" w:cs="Times New Roman"/>
                <w:b/>
                <w:bCs/>
                <w:sz w:val="21"/>
                <w:szCs w:val="21"/>
                <w:lang w:val="en-US" w:eastAsia="zh-CN"/>
              </w:rPr>
              <w:t>三、</w:t>
            </w:r>
            <w:r>
              <w:rPr>
                <w:rFonts w:hint="default" w:ascii="Times New Roman" w:hAnsi="Times New Roman" w:eastAsia="宋体" w:cs="Times New Roman"/>
                <w:b/>
                <w:bCs/>
                <w:sz w:val="21"/>
                <w:szCs w:val="21"/>
                <w:lang w:val="en-US" w:eastAsia="zh-CN"/>
              </w:rPr>
              <w:t>5000头肉牛繁育基地基础设施建设项目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rPr>
              <w:t>序号</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b/>
                <w:bCs/>
                <w:sz w:val="21"/>
                <w:szCs w:val="21"/>
              </w:rPr>
              <w:t>产品名称</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rPr>
              <w:t>产量</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肉牛</w:t>
            </w:r>
          </w:p>
        </w:tc>
        <w:tc>
          <w:tcPr>
            <w:tcW w:w="1227"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cs="Times New Roman"/>
                <w:sz w:val="21"/>
                <w:szCs w:val="21"/>
                <w:lang w:val="en-US" w:eastAsia="zh-CN"/>
              </w:rPr>
              <w:t>1.2万</w:t>
            </w:r>
            <w:r>
              <w:rPr>
                <w:rFonts w:hint="default" w:ascii="Times New Roman" w:hAnsi="Times New Roman" w:eastAsia="宋体" w:cs="Times New Roman"/>
                <w:sz w:val="21"/>
                <w:szCs w:val="21"/>
                <w:lang w:val="en-US" w:eastAsia="zh-CN"/>
              </w:rPr>
              <w:t>头</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年出栏量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饲料</w:t>
            </w:r>
          </w:p>
        </w:tc>
        <w:tc>
          <w:tcPr>
            <w:tcW w:w="1227" w:type="pct"/>
            <w:tcBorders>
              <w:tl2br w:val="nil"/>
              <w:tr2bl w:val="nil"/>
            </w:tcBorders>
            <w:vAlign w:val="center"/>
          </w:tcPr>
          <w:p>
            <w:pPr>
              <w:bidi w:val="0"/>
              <w:spacing w:line="240" w:lineRule="auto"/>
              <w:ind w:left="0" w:leftChars="0" w:firstLine="0" w:firstLineChars="0"/>
              <w:jc w:val="center"/>
              <w:rPr>
                <w:rFonts w:hint="eastAsia" w:cs="Times New Roman"/>
                <w:sz w:val="21"/>
                <w:szCs w:val="21"/>
                <w:lang w:val="en-US" w:eastAsia="zh-CN"/>
              </w:rPr>
            </w:pPr>
            <w:r>
              <w:rPr>
                <w:rFonts w:hint="eastAsia" w:cs="Times New Roman"/>
                <w:sz w:val="21"/>
                <w:szCs w:val="21"/>
                <w:lang w:val="en-US" w:eastAsia="zh-CN"/>
              </w:rPr>
              <w:t>年加工饲料9.3万t/a</w:t>
            </w:r>
          </w:p>
        </w:tc>
        <w:tc>
          <w:tcPr>
            <w:tcW w:w="23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eastAsia" w:cs="Times New Roman"/>
                <w:sz w:val="21"/>
                <w:szCs w:val="21"/>
                <w:lang w:val="en-US" w:eastAsia="zh-CN"/>
              </w:rPr>
              <w:t>年产粗饲料6.5万t/a，精饲料2.8万t/a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both"/>
              <w:rPr>
                <w:rFonts w:hint="default" w:ascii="Times New Roman" w:hAnsi="Times New Roman" w:eastAsia="宋体" w:cs="Times New Roman"/>
                <w:sz w:val="21"/>
                <w:szCs w:val="21"/>
                <w:lang w:val="en-US" w:eastAsia="zh-CN"/>
              </w:rPr>
            </w:pPr>
            <w:r>
              <w:rPr>
                <w:rFonts w:hint="eastAsia" w:cs="Times New Roman"/>
                <w:sz w:val="21"/>
                <w:szCs w:val="21"/>
                <w:lang w:val="en-US" w:eastAsia="zh-CN"/>
              </w:rPr>
              <w:t>备注：“节水型工农业复合循环体系改造升级项目”对该项目进行了升级改造。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eastAsia" w:cs="Times New Roman"/>
                <w:b/>
                <w:bCs/>
                <w:sz w:val="21"/>
                <w:szCs w:val="21"/>
                <w:lang w:val="en-US" w:eastAsia="zh-CN"/>
              </w:rPr>
              <w:t>四、</w:t>
            </w:r>
            <w:r>
              <w:rPr>
                <w:rFonts w:hint="default" w:ascii="Times New Roman" w:hAnsi="Times New Roman" w:eastAsia="宋体" w:cs="Times New Roman"/>
                <w:b/>
                <w:bCs/>
                <w:sz w:val="21"/>
                <w:szCs w:val="21"/>
                <w:lang w:val="en-US" w:eastAsia="zh-CN"/>
              </w:rPr>
              <w:t>牛羊屠宰副产物综合利用项目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序号</w:t>
            </w:r>
          </w:p>
        </w:tc>
        <w:tc>
          <w:tcPr>
            <w:tcW w:w="1041"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产品名称</w:t>
            </w:r>
          </w:p>
        </w:tc>
        <w:tc>
          <w:tcPr>
            <w:tcW w:w="1227"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产量</w:t>
            </w:r>
          </w:p>
        </w:tc>
        <w:tc>
          <w:tcPr>
            <w:tcW w:w="2315"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2</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脱毛头蹄尾</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1240t</w:t>
            </w:r>
            <w:r>
              <w:rPr>
                <w:rFonts w:hint="eastAsia" w:cs="Times New Roman"/>
                <w:sz w:val="21"/>
                <w:szCs w:val="21"/>
                <w:lang w:val="en-US" w:eastAsia="zh-CN"/>
              </w:rPr>
              <w:t>/a</w:t>
            </w:r>
            <w:r>
              <w:rPr>
                <w:rFonts w:hint="eastAsia" w:eastAsia="宋体" w:cs="Times New Roman"/>
                <w:sz w:val="21"/>
                <w:szCs w:val="21"/>
                <w:lang w:val="en-US" w:eastAsia="zh-CN"/>
              </w:rPr>
              <w:t>，</w:t>
            </w:r>
            <w:r>
              <w:rPr>
                <w:rFonts w:hint="default" w:ascii="Times New Roman" w:hAnsi="Times New Roman" w:eastAsia="宋体" w:cs="Times New Roman"/>
                <w:sz w:val="21"/>
                <w:szCs w:val="21"/>
                <w:lang w:val="en-US" w:eastAsia="zh-CN"/>
              </w:rPr>
              <w:t>其中280t用于酱卤熟制品</w:t>
            </w:r>
          </w:p>
        </w:tc>
        <w:tc>
          <w:tcPr>
            <w:tcW w:w="23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原料来自3万头/年肉牛精深加工生产线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w:t>
            </w:r>
          </w:p>
        </w:tc>
        <w:tc>
          <w:tcPr>
            <w:tcW w:w="10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红白内脏</w:t>
            </w:r>
          </w:p>
        </w:tc>
        <w:tc>
          <w:tcPr>
            <w:tcW w:w="12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1040t</w:t>
            </w:r>
            <w:r>
              <w:rPr>
                <w:rFonts w:hint="eastAsia" w:cs="Times New Roman"/>
                <w:sz w:val="21"/>
                <w:szCs w:val="21"/>
                <w:lang w:val="en-US" w:eastAsia="zh-CN"/>
              </w:rPr>
              <w:t>/a</w:t>
            </w:r>
            <w:r>
              <w:rPr>
                <w:rFonts w:hint="default" w:ascii="Times New Roman" w:hAnsi="Times New Roman" w:eastAsia="宋体" w:cs="Times New Roman"/>
                <w:sz w:val="21"/>
                <w:szCs w:val="21"/>
                <w:lang w:val="en-US" w:eastAsia="zh-CN"/>
              </w:rPr>
              <w:t>，其中400t用于酱卤熟制品</w:t>
            </w:r>
          </w:p>
        </w:tc>
        <w:tc>
          <w:tcPr>
            <w:tcW w:w="2315" w:type="pct"/>
            <w:vMerge w:val="continue"/>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both"/>
              <w:rPr>
                <w:rFonts w:hint="default"/>
                <w:lang w:val="en-US" w:eastAsia="zh-CN"/>
              </w:rPr>
            </w:pPr>
            <w:r>
              <w:rPr>
                <w:rFonts w:hint="eastAsia" w:ascii="Times New Roman" w:hAnsi="Times New Roman" w:eastAsia="宋体" w:cs="Times New Roman"/>
                <w:sz w:val="21"/>
                <w:szCs w:val="21"/>
                <w:lang w:val="en-US" w:eastAsia="zh-CN"/>
              </w:rPr>
              <w:t>备注：根据现场调查，实际建设过程中未设置肉羊屠宰生产线，无肉羊屠宰副产物产生，现场调查时建设单位只对肉牛屠宰副产物进行加工处理</w:t>
            </w:r>
            <w:r>
              <w:rPr>
                <w:rFonts w:hint="eastAsia"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4"/>
            <w:tcBorders>
              <w:tl2br w:val="nil"/>
              <w:tr2bl w:val="nil"/>
            </w:tcBorders>
            <w:vAlign w:val="center"/>
          </w:tcPr>
          <w:p>
            <w:pPr>
              <w:bidi w:val="0"/>
              <w:spacing w:line="240" w:lineRule="auto"/>
              <w:ind w:left="0" w:leftChars="0" w:firstLine="0" w:firstLineChars="0"/>
              <w:jc w:val="center"/>
              <w:rPr>
                <w:rFonts w:hint="eastAsia" w:cs="Times New Roman"/>
                <w:sz w:val="21"/>
                <w:szCs w:val="21"/>
                <w:lang w:val="en-US" w:eastAsia="zh-CN"/>
              </w:rPr>
            </w:pPr>
            <w:r>
              <w:rPr>
                <w:rFonts w:hint="eastAsia" w:cs="Times New Roman"/>
                <w:b/>
                <w:bCs/>
                <w:color w:val="auto"/>
                <w:sz w:val="21"/>
                <w:szCs w:val="21"/>
                <w:vertAlign w:val="baseline"/>
                <w:lang w:val="en-US" w:eastAsia="zh-CN"/>
              </w:rPr>
              <w:t>五</w:t>
            </w:r>
            <w:r>
              <w:rPr>
                <w:rFonts w:hint="eastAsia" w:ascii="Times New Roman" w:hAnsi="Times New Roman" w:eastAsia="宋体" w:cs="Times New Roman"/>
                <w:b/>
                <w:bCs/>
                <w:color w:val="auto"/>
                <w:sz w:val="21"/>
                <w:szCs w:val="21"/>
                <w:vertAlign w:val="baseline"/>
                <w:lang w:val="en-US" w:eastAsia="zh-CN"/>
              </w:rPr>
              <w:t>、</w:t>
            </w:r>
            <w:r>
              <w:rPr>
                <w:rFonts w:hint="default" w:ascii="Times New Roman" w:hAnsi="Times New Roman" w:eastAsia="宋体" w:cs="Times New Roman"/>
                <w:b/>
                <w:bCs/>
                <w:color w:val="auto"/>
                <w:sz w:val="21"/>
                <w:szCs w:val="21"/>
                <w:vertAlign w:val="baseline"/>
                <w:lang w:val="en-US" w:eastAsia="zh-CN"/>
              </w:rPr>
              <w:t>节水型工农业复合循环体系改造升级项目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序号</w:t>
            </w:r>
          </w:p>
        </w:tc>
        <w:tc>
          <w:tcPr>
            <w:tcW w:w="1041"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产品名称</w:t>
            </w:r>
          </w:p>
        </w:tc>
        <w:tc>
          <w:tcPr>
            <w:tcW w:w="1227"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产量</w:t>
            </w:r>
          </w:p>
        </w:tc>
        <w:tc>
          <w:tcPr>
            <w:tcW w:w="2315"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cs="Times New Roman"/>
                <w:sz w:val="21"/>
                <w:szCs w:val="21"/>
                <w:lang w:val="en-US" w:eastAsia="zh-CN"/>
              </w:rPr>
            </w:pPr>
            <w:r>
              <w:rPr>
                <w:rFonts w:hint="eastAsia" w:cs="Times New Roman"/>
                <w:sz w:val="21"/>
                <w:szCs w:val="21"/>
                <w:lang w:val="en-US" w:eastAsia="zh-CN"/>
              </w:rPr>
              <w:t>1</w:t>
            </w:r>
          </w:p>
        </w:tc>
        <w:tc>
          <w:tcPr>
            <w:tcW w:w="1041" w:type="pct"/>
            <w:tcBorders>
              <w:tl2br w:val="nil"/>
              <w:tr2bl w:val="nil"/>
            </w:tcBorders>
            <w:vAlign w:val="center"/>
          </w:tcPr>
          <w:p>
            <w:pPr>
              <w:bidi w:val="0"/>
              <w:spacing w:line="240" w:lineRule="auto"/>
              <w:ind w:left="0" w:leftChars="0" w:firstLine="0" w:firstLineChars="0"/>
              <w:jc w:val="center"/>
              <w:rPr>
                <w:rFonts w:hint="default" w:cs="Times New Roman"/>
                <w:sz w:val="21"/>
                <w:szCs w:val="21"/>
                <w:lang w:val="en-US" w:eastAsia="zh-CN"/>
              </w:rPr>
            </w:pPr>
            <w:r>
              <w:rPr>
                <w:rFonts w:hint="eastAsia" w:cs="Times New Roman"/>
                <w:sz w:val="21"/>
                <w:szCs w:val="21"/>
                <w:lang w:val="en-US" w:eastAsia="zh-CN"/>
              </w:rPr>
              <w:t>肉牛</w:t>
            </w:r>
          </w:p>
        </w:tc>
        <w:tc>
          <w:tcPr>
            <w:tcW w:w="1227" w:type="pct"/>
            <w:tcBorders>
              <w:tl2br w:val="nil"/>
              <w:tr2bl w:val="nil"/>
            </w:tcBorders>
            <w:vAlign w:val="center"/>
          </w:tcPr>
          <w:p>
            <w:pPr>
              <w:bidi w:val="0"/>
              <w:spacing w:line="240" w:lineRule="auto"/>
              <w:ind w:left="0" w:leftChars="0" w:firstLine="0" w:firstLineChars="0"/>
              <w:jc w:val="center"/>
              <w:rPr>
                <w:rFonts w:hint="eastAsia" w:cs="Times New Roman"/>
                <w:sz w:val="21"/>
                <w:szCs w:val="21"/>
                <w:lang w:val="en-US" w:eastAsia="zh-CN"/>
              </w:rPr>
            </w:pPr>
            <w:r>
              <w:rPr>
                <w:rFonts w:hint="eastAsia" w:cs="Times New Roman"/>
                <w:sz w:val="21"/>
                <w:szCs w:val="21"/>
                <w:lang w:val="en-US" w:eastAsia="zh-CN"/>
              </w:rPr>
              <w:t>年存栏量1.2万头、年出栏量1.4万头</w:t>
            </w:r>
          </w:p>
        </w:tc>
        <w:tc>
          <w:tcPr>
            <w:tcW w:w="2315" w:type="pct"/>
            <w:tcBorders>
              <w:tl2br w:val="nil"/>
              <w:tr2bl w:val="nil"/>
            </w:tcBorders>
            <w:vAlign w:val="center"/>
          </w:tcPr>
          <w:p>
            <w:pPr>
              <w:bidi w:val="0"/>
              <w:spacing w:line="240" w:lineRule="auto"/>
              <w:ind w:left="0" w:leftChars="0" w:firstLine="0" w:firstLineChars="0"/>
              <w:jc w:val="center"/>
              <w:rPr>
                <w:rFonts w:hint="default" w:cs="Times New Roman"/>
                <w:sz w:val="21"/>
                <w:szCs w:val="21"/>
                <w:lang w:val="en-US" w:eastAsia="zh-CN"/>
              </w:rPr>
            </w:pPr>
            <w:r>
              <w:rPr>
                <w:rFonts w:hint="eastAsia" w:cs="Times New Roman"/>
                <w:sz w:val="21"/>
                <w:szCs w:val="21"/>
                <w:lang w:val="en-US" w:eastAsia="zh-CN"/>
              </w:rPr>
              <w:t>该项目是在5000头肉牛繁育基地基础设施建设项目进行升级改造的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5" w:type="pct"/>
            <w:tcBorders>
              <w:tl2br w:val="nil"/>
              <w:tr2bl w:val="nil"/>
            </w:tcBorders>
            <w:vAlign w:val="center"/>
          </w:tcPr>
          <w:p>
            <w:pPr>
              <w:bidi w:val="0"/>
              <w:spacing w:line="240" w:lineRule="auto"/>
              <w:ind w:left="0" w:leftChars="0" w:firstLine="0" w:firstLineChars="0"/>
              <w:jc w:val="center"/>
              <w:rPr>
                <w:rFonts w:hint="default" w:cs="Times New Roman"/>
                <w:sz w:val="21"/>
                <w:szCs w:val="21"/>
                <w:lang w:val="en-US" w:eastAsia="zh-CN"/>
              </w:rPr>
            </w:pPr>
            <w:r>
              <w:rPr>
                <w:rFonts w:hint="eastAsia" w:cs="Times New Roman"/>
                <w:sz w:val="21"/>
                <w:szCs w:val="21"/>
                <w:lang w:val="en-US" w:eastAsia="zh-CN"/>
              </w:rPr>
              <w:t>2</w:t>
            </w:r>
          </w:p>
        </w:tc>
        <w:tc>
          <w:tcPr>
            <w:tcW w:w="1041" w:type="pct"/>
            <w:tcBorders>
              <w:tl2br w:val="nil"/>
              <w:tr2bl w:val="nil"/>
            </w:tcBorders>
            <w:vAlign w:val="center"/>
          </w:tcPr>
          <w:p>
            <w:pPr>
              <w:bidi w:val="0"/>
              <w:spacing w:line="240" w:lineRule="auto"/>
              <w:ind w:left="0" w:leftChars="0" w:firstLine="0" w:firstLineChars="0"/>
              <w:jc w:val="center"/>
              <w:rPr>
                <w:rFonts w:hint="eastAsia" w:cs="Times New Roman"/>
                <w:sz w:val="21"/>
                <w:szCs w:val="21"/>
                <w:lang w:val="en-US" w:eastAsia="zh-CN"/>
              </w:rPr>
            </w:pPr>
            <w:r>
              <w:rPr>
                <w:rFonts w:hint="default" w:ascii="Times New Roman" w:hAnsi="Times New Roman" w:cs="Times New Roman"/>
                <w:b w:val="0"/>
                <w:bCs w:val="0"/>
                <w:sz w:val="21"/>
                <w:szCs w:val="21"/>
                <w:vertAlign w:val="baseline"/>
                <w:lang w:val="en-US" w:eastAsia="zh-CN"/>
              </w:rPr>
              <w:t>有机肥</w:t>
            </w:r>
          </w:p>
        </w:tc>
        <w:tc>
          <w:tcPr>
            <w:tcW w:w="1227" w:type="pct"/>
            <w:tcBorders>
              <w:tl2br w:val="nil"/>
              <w:tr2bl w:val="nil"/>
            </w:tcBorders>
            <w:vAlign w:val="center"/>
          </w:tcPr>
          <w:p>
            <w:pPr>
              <w:bidi w:val="0"/>
              <w:spacing w:line="240" w:lineRule="auto"/>
              <w:ind w:left="0" w:leftChars="0" w:firstLine="0" w:firstLineChars="0"/>
              <w:jc w:val="center"/>
              <w:rPr>
                <w:rFonts w:hint="eastAsia" w:cs="Times New Roman"/>
                <w:sz w:val="21"/>
                <w:szCs w:val="21"/>
                <w:lang w:val="en-US" w:eastAsia="zh-CN"/>
              </w:rPr>
            </w:pPr>
            <w:r>
              <w:rPr>
                <w:rFonts w:hint="eastAsia" w:ascii="Times New Roman" w:hAnsi="Times New Roman" w:cs="Times New Roman"/>
                <w:b w:val="0"/>
                <w:bCs w:val="0"/>
                <w:sz w:val="21"/>
                <w:szCs w:val="21"/>
                <w:vertAlign w:val="baseline"/>
                <w:lang w:val="en-US" w:eastAsia="zh-CN"/>
              </w:rPr>
              <w:t>1.8万</w:t>
            </w:r>
            <w:r>
              <w:rPr>
                <w:rFonts w:hint="default" w:ascii="Times New Roman" w:hAnsi="Times New Roman" w:cs="Times New Roman"/>
                <w:b w:val="0"/>
                <w:bCs w:val="0"/>
                <w:sz w:val="21"/>
                <w:szCs w:val="21"/>
                <w:vertAlign w:val="baseline"/>
                <w:lang w:val="en-US" w:eastAsia="zh-CN"/>
              </w:rPr>
              <w:t>t/a</w:t>
            </w:r>
          </w:p>
        </w:tc>
        <w:tc>
          <w:tcPr>
            <w:tcW w:w="2315" w:type="pct"/>
            <w:tcBorders>
              <w:tl2br w:val="nil"/>
              <w:tr2bl w:val="nil"/>
            </w:tcBorders>
            <w:vAlign w:val="center"/>
          </w:tcPr>
          <w:p>
            <w:pPr>
              <w:bidi w:val="0"/>
              <w:spacing w:line="240" w:lineRule="auto"/>
              <w:ind w:left="0" w:leftChars="0" w:firstLine="0" w:firstLineChars="0"/>
              <w:jc w:val="center"/>
              <w:rPr>
                <w:rFonts w:hint="default" w:cs="Times New Roman"/>
                <w:sz w:val="21"/>
                <w:szCs w:val="21"/>
                <w:lang w:val="en-US" w:eastAsia="zh-CN"/>
              </w:rPr>
            </w:pPr>
            <w:r>
              <w:rPr>
                <w:rFonts w:hint="eastAsia" w:cs="Times New Roman"/>
                <w:sz w:val="21"/>
                <w:szCs w:val="21"/>
                <w:lang w:val="en-US" w:eastAsia="zh-CN"/>
              </w:rPr>
              <w:t>原料主要来自厂区肉牛养殖过程中产生的粪污</w:t>
            </w:r>
          </w:p>
        </w:tc>
      </w:tr>
    </w:tbl>
    <w:p>
      <w:pPr>
        <w:pStyle w:val="5"/>
        <w:bidi w:val="0"/>
      </w:pPr>
      <w:bookmarkStart w:id="429" w:name="_Toc17591"/>
      <w:bookmarkStart w:id="430" w:name="_Toc30487"/>
      <w:bookmarkStart w:id="431" w:name="_Toc8773"/>
      <w:r>
        <w:t>2.</w:t>
      </w:r>
      <w:r>
        <w:rPr>
          <w:rFonts w:hint="eastAsia"/>
          <w:lang w:val="en-US" w:eastAsia="zh-CN"/>
        </w:rPr>
        <w:t>6、现有工程</w:t>
      </w:r>
      <w:r>
        <w:t>主要</w:t>
      </w:r>
      <w:r>
        <w:rPr>
          <w:rFonts w:hint="eastAsia"/>
          <w:lang w:val="en-US" w:eastAsia="zh-CN"/>
        </w:rPr>
        <w:t>的</w:t>
      </w:r>
      <w:r>
        <w:t>生产设备</w:t>
      </w:r>
      <w:bookmarkEnd w:id="429"/>
      <w:bookmarkEnd w:id="430"/>
      <w:bookmarkEnd w:id="431"/>
    </w:p>
    <w:p>
      <w:pPr>
        <w:bidi w:val="0"/>
        <w:rPr>
          <w:rFonts w:hint="default"/>
        </w:rPr>
      </w:pPr>
      <w:r>
        <w:rPr>
          <w:rFonts w:hint="default"/>
        </w:rPr>
        <w:t>现有工程主要设备一览表见表</w:t>
      </w:r>
      <w:r>
        <w:rPr>
          <w:rFonts w:hint="eastAsia"/>
          <w:lang w:val="en-US" w:eastAsia="zh-CN"/>
        </w:rPr>
        <w:t>2.5</w:t>
      </w:r>
      <w:r>
        <w:rPr>
          <w:rFonts w:hint="default"/>
        </w:rPr>
        <w:t>。</w:t>
      </w:r>
    </w:p>
    <w:p>
      <w:pPr>
        <w:bidi w:val="0"/>
        <w:spacing w:line="240" w:lineRule="auto"/>
        <w:jc w:val="center"/>
        <w:rPr>
          <w:rFonts w:hint="default"/>
          <w:lang w:val="en-US" w:eastAsia="zh-CN"/>
        </w:rPr>
      </w:pPr>
      <w:r>
        <w:rPr>
          <w:rFonts w:hint="default"/>
          <w:b/>
          <w:bCs/>
          <w:lang w:eastAsia="zh-CN"/>
        </w:rPr>
        <w:t>表</w:t>
      </w:r>
      <w:r>
        <w:rPr>
          <w:rFonts w:hint="eastAsia"/>
          <w:b/>
          <w:bCs/>
          <w:lang w:val="en-US" w:eastAsia="zh-CN"/>
        </w:rPr>
        <w:t>2.5</w:t>
      </w:r>
      <w:r>
        <w:rPr>
          <w:rFonts w:hint="default"/>
          <w:b/>
          <w:bCs/>
          <w:lang w:val="en-US" w:eastAsia="zh-CN"/>
        </w:rPr>
        <w:t xml:space="preserve">    现有工程主要设备一览表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1823"/>
        <w:gridCol w:w="1831"/>
        <w:gridCol w:w="3707"/>
        <w:gridCol w:w="851"/>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序号</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名称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规格及型号</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单位</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lang w:val="en-US" w:eastAsia="zh-CN" w:bidi="ar-SA"/>
              </w:rPr>
            </w:pPr>
            <w:r>
              <w:rPr>
                <w:rFonts w:hint="default" w:ascii="Times New Roman" w:hAnsi="Times New Roman" w:eastAsia="宋体" w:cs="Times New Roman"/>
                <w:b/>
                <w:bCs/>
                <w:sz w:val="21"/>
                <w:szCs w:val="21"/>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b/>
                <w:bCs/>
                <w:sz w:val="21"/>
                <w:szCs w:val="21"/>
                <w:lang w:val="en-US" w:eastAsia="zh-CN"/>
              </w:rPr>
              <w:t>一、</w:t>
            </w:r>
            <w:r>
              <w:rPr>
                <w:rFonts w:hint="default" w:ascii="Times New Roman" w:hAnsi="Times New Roman" w:eastAsia="宋体" w:cs="Times New Roman"/>
                <w:b/>
                <w:bCs/>
                <w:sz w:val="21"/>
                <w:szCs w:val="21"/>
                <w:lang w:val="en-US" w:eastAsia="zh-CN"/>
              </w:rPr>
              <w:t>万吨清真肉品冷链物流配送市场服务体系建设项目</w:t>
            </w:r>
            <w:r>
              <w:rPr>
                <w:rFonts w:hint="eastAsia" w:ascii="Times New Roman" w:hAnsi="Times New Roman" w:eastAsia="宋体" w:cs="Times New Roman"/>
                <w:b/>
                <w:bCs/>
                <w:sz w:val="21"/>
                <w:szCs w:val="21"/>
                <w:lang w:val="en-US" w:eastAsia="zh-CN"/>
              </w:rPr>
              <w:t>（冷库）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螺杆式制冷压缩机LG16BMY2</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功率110kW</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螺杆式制冷压缩机LG20BMY2</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功率200kW</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螺杆式制冷压缩机LG16BMY2</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功率110kW</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蒸发式冷凝器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ZNX-1500，功率16.5kW</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虹吸罐</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UZ2.5，容积2.5m³</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高压贮液器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容积4.95m³</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低压循环贮液桶</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DX-4L，容积4m³</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8</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低压循环贮液桶</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DX-4L，容积4m³</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氨用经济器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JJA40，换热面积40㎡</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排液桶</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PYA-3，容积3m³</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制冷用屏蔽电泵</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50P-40，流量12.5m³/h扬程40m</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12</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制冷用屏蔽电泵</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40P-40，流量6.5m³/h扬程40m</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13</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低压集油器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DJY-1</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14</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集油器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JY-500</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15</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空气分离器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KFA-50</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16</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紧急泄氨器</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JXA-159</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17</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加氨站</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18</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冷风机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KLDD-300</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19</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冷风机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KLD-200</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U型排管</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冷却面积200m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/组</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组</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21</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制冷工艺管道</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22</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冷库配套设备</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23</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制冷水循环系统</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24</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通风换气系统</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25</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制冷电气系统</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26</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系统运行辅助材料</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二、</w:t>
            </w:r>
            <w:r>
              <w:rPr>
                <w:rFonts w:hint="default" w:ascii="Times New Roman" w:hAnsi="Times New Roman" w:eastAsia="宋体" w:cs="Times New Roman"/>
                <w:b/>
                <w:bCs/>
                <w:sz w:val="21"/>
                <w:szCs w:val="21"/>
                <w:lang w:val="en-US" w:eastAsia="zh-CN"/>
              </w:rPr>
              <w:t>3万头/年肉牛精深加工生产项目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牵牛机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气动翻板箱</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牛上挂提升机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牛提升自动挂钩机构</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放血线</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米</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手动限位闸</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牛放血吊链</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集血/水槽</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刺杀固定式站台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剪牛角/前蹄固定式站台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预剥/封肛/转挂固定式站台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12</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滚轮吊钩</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个</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13</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转挂提升机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14</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胴体加工输送机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15</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预剥固定站台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16</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液压扯皮机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2.2Kw</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17</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扯皮单柱气力升降台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18</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开胸固定式站台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19</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内脏检疫输送机</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内脏滑槽</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个</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21</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驱动装置</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22</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涨紧装置</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劈半双柱气力升降台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内脏检疫固定式站台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25</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取油固定式站台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26</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复检固定式站台</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27</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胴体称重系统</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28</w:t>
            </w:r>
          </w:p>
        </w:tc>
        <w:tc>
          <w:tcPr>
            <w:tcW w:w="1834" w:type="pct"/>
            <w:gridSpan w:val="2"/>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管轨自动线</w:t>
            </w:r>
          </w:p>
        </w:tc>
        <w:tc>
          <w:tcPr>
            <w:tcW w:w="1861"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米</w:t>
            </w:r>
          </w:p>
        </w:tc>
        <w:tc>
          <w:tcPr>
            <w:tcW w:w="464" w:type="pct"/>
            <w:tcBorders>
              <w:tl2br w:val="nil"/>
              <w:tr2bl w:val="nil"/>
            </w:tcBorders>
            <w:shd w:val="clear" w:color="auto" w:fill="auto"/>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29</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管轨道岔</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30</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90。弯轨</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31</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坡式提升</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32</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断轨器</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33</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螺杆式空气压缩机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双层分割工作台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35</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肉车</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36</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真空包装机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37</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立式切片机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38</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内脏滑槽</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39</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工艺钢梁</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吨</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40</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分割工具</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52</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下水接收台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53</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下水清洗池</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胃清洗池</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55</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牛洗肚机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56</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高压清洗机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57</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操作台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58</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洗手及刀具消毒器</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三、</w:t>
            </w:r>
            <w:r>
              <w:rPr>
                <w:rFonts w:hint="default" w:ascii="Times New Roman" w:hAnsi="Times New Roman" w:eastAsia="宋体" w:cs="Times New Roman"/>
                <w:b/>
                <w:bCs/>
                <w:sz w:val="21"/>
                <w:szCs w:val="21"/>
                <w:lang w:val="en-US" w:eastAsia="zh-CN"/>
              </w:rPr>
              <w:t>牛羊屠宰副产物综合利用项目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制冷贮血罐</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SRP-G，1000L</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管式血液分离机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GF型</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超滤浓缩设备</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KOCH</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泵</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XFJ-1000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空压系统</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空气净化系统</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工艺管道及阀门</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包装机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白内脏滑槽</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红内脏滑槽</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下水接受台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心暂存台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肝暂存台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清洗池</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翻洗台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直肠整理台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直肠翻洗池</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胃清洗池</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19</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洗肚机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JR-D250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翻肚机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洗肠机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PB15FL-SZ</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22</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蒸汽脱毛机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300L</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去皮设备</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调配罐</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2000L</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组合式挂架</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SRP-K11</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锯骨机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0.5T/h</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27</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高压清洗机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个</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28</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真空清洗系统</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29</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操作台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立式切片机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包装台</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2000*1000*800</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真空包装机</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33</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洗手及刀具消毒器</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全不锈钢制作</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34</w:t>
            </w:r>
          </w:p>
        </w:tc>
        <w:tc>
          <w:tcPr>
            <w:tcW w:w="1834"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空气净化系统</w:t>
            </w:r>
          </w:p>
        </w:tc>
        <w:tc>
          <w:tcPr>
            <w:tcW w:w="186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w:t>
            </w:r>
          </w:p>
        </w:tc>
        <w:tc>
          <w:tcPr>
            <w:tcW w:w="42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套</w:t>
            </w:r>
          </w:p>
        </w:tc>
        <w:tc>
          <w:tcPr>
            <w:tcW w:w="46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35</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台案</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1000*800*800mm</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36</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切片切块机</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QP5230</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37</w:t>
            </w:r>
          </w:p>
        </w:tc>
        <w:tc>
          <w:tcPr>
            <w:tcW w:w="1834" w:type="pct"/>
            <w:gridSpan w:val="2"/>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砍排机</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KP6590</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38</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可倾蒸汽夹层锅</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600L</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39</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可倾蒸汽夹层锅</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400L</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w:t>
            </w:r>
          </w:p>
        </w:tc>
        <w:tc>
          <w:tcPr>
            <w:tcW w:w="1834" w:type="pct"/>
            <w:gridSpan w:val="2"/>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可倾蒸汽夹层锅</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300L</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拉伸膜包装机</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420</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42</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真空包装机</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600</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43</w:t>
            </w:r>
          </w:p>
        </w:tc>
        <w:tc>
          <w:tcPr>
            <w:tcW w:w="1834" w:type="pct"/>
            <w:gridSpan w:val="2"/>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杀菌锅</w:t>
            </w:r>
          </w:p>
        </w:tc>
        <w:tc>
          <w:tcPr>
            <w:tcW w:w="1861" w:type="pct"/>
            <w:tcBorders>
              <w:tl2br w:val="nil"/>
              <w:tr2bl w:val="nil"/>
            </w:tcBorders>
            <w:vAlign w:val="center"/>
          </w:tcPr>
          <w:p>
            <w:pPr>
              <w:keepNext w:val="0"/>
              <w:keepLines w:val="0"/>
              <w:widowControl/>
              <w:suppressLineNumbers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000000"/>
                <w:kern w:val="0"/>
                <w:sz w:val="21"/>
                <w:szCs w:val="21"/>
                <w:lang w:val="en-US" w:eastAsia="zh-CN" w:bidi="ar"/>
              </w:rPr>
              <w:t>1200*3600</w:t>
            </w:r>
          </w:p>
        </w:tc>
        <w:tc>
          <w:tcPr>
            <w:tcW w:w="427"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台</w:t>
            </w:r>
          </w:p>
        </w:tc>
        <w:tc>
          <w:tcPr>
            <w:tcW w:w="464" w:type="pct"/>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tcBorders>
              <w:tl2br w:val="nil"/>
              <w:tr2bl w:val="nil"/>
            </w:tcBorders>
            <w:vAlign w:val="center"/>
          </w:tcPr>
          <w:p>
            <w:pPr>
              <w:pStyle w:val="43"/>
              <w:keepNext w:val="0"/>
              <w:keepLines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kern w:val="2"/>
                <w:sz w:val="21"/>
                <w:szCs w:val="21"/>
                <w:lang w:val="en-US" w:eastAsia="zh-CN" w:bidi="ar-SA"/>
              </w:rPr>
            </w:pPr>
            <w:bookmarkStart w:id="432" w:name="_Toc11903"/>
            <w:bookmarkStart w:id="433" w:name="_Toc16979"/>
            <w:r>
              <w:rPr>
                <w:rFonts w:hint="eastAsia" w:ascii="Times New Roman" w:hAnsi="Times New Roman" w:eastAsia="宋体" w:cs="Times New Roman"/>
                <w:b/>
                <w:bCs/>
                <w:kern w:val="2"/>
                <w:sz w:val="21"/>
                <w:szCs w:val="21"/>
                <w:lang w:val="en-US" w:eastAsia="zh-CN" w:bidi="ar-SA"/>
              </w:rPr>
              <w:t>四、</w:t>
            </w:r>
            <w:r>
              <w:rPr>
                <w:rFonts w:hint="default" w:ascii="Times New Roman" w:hAnsi="Times New Roman" w:eastAsia="宋体" w:cs="Times New Roman"/>
                <w:b/>
                <w:bCs/>
                <w:sz w:val="21"/>
                <w:szCs w:val="21"/>
                <w:lang w:val="en-US" w:eastAsia="zh-CN"/>
              </w:rPr>
              <w:t>5000头肉牛繁育基地基础设施建设项目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p>
        </w:tc>
        <w:tc>
          <w:tcPr>
            <w:tcW w:w="915" w:type="pct"/>
            <w:vMerge w:val="restar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肉牛养殖区</w:t>
            </w: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eastAsia="zh-CN"/>
              </w:rPr>
              <w:t>给水系统</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000000"/>
                <w:kern w:val="0"/>
                <w:sz w:val="21"/>
                <w:szCs w:val="21"/>
                <w:lang w:val="en-US" w:eastAsia="zh-CN" w:bidi="ar"/>
              </w:rPr>
            </w:pPr>
            <w:r>
              <w:rPr>
                <w:rFonts w:hint="default" w:ascii="Times New Roman" w:hAnsi="Times New Roman" w:eastAsia="宋体" w:cs="Times New Roman"/>
                <w:color w:val="auto"/>
                <w:sz w:val="21"/>
                <w:szCs w:val="21"/>
                <w:lang w:eastAsia="zh-CN"/>
              </w:rPr>
              <w:t>钢结构</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lang w:eastAsia="zh-CN"/>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配电设备</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饲喂车</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电动三轮车</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小型三轮车</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燃油</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装载机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饮水系统</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清扫车</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小型三轮车</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辆</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卸牛台</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监控系统</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c>
          <w:tcPr>
            <w:tcW w:w="915" w:type="pct"/>
            <w:vMerge w:val="restart"/>
            <w:tcBorders>
              <w:tl2br w:val="nil"/>
              <w:tr2bl w:val="nil"/>
            </w:tcBorders>
            <w:vAlign w:val="center"/>
          </w:tcPr>
          <w:p>
            <w:pPr>
              <w:spacing w:beforeLines="0" w:afterLines="0" w:line="240" w:lineRule="auto"/>
              <w:ind w:left="0" w:leftChars="0" w:firstLine="0" w:firstLineChars="0"/>
              <w:jc w:val="center"/>
              <w:rPr>
                <w:rFonts w:hint="eastAsia"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粗饲料</w:t>
            </w:r>
          </w:p>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生产单元</w:t>
            </w: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青贮收割机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11</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多功能揉丝粉碎机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9R40-28A</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青贮收取料机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9QQ-1600-6</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翻斗运输机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旋耕拖拉机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辆</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装载机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搅拌机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ATM</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打捆机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JYD</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铡草机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ZC-10</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19</w:t>
            </w:r>
          </w:p>
        </w:tc>
        <w:tc>
          <w:tcPr>
            <w:tcW w:w="915" w:type="pct"/>
            <w:vMerge w:val="restart"/>
            <w:tcBorders>
              <w:tl2br w:val="nil"/>
              <w:tr2bl w:val="nil"/>
            </w:tcBorders>
            <w:vAlign w:val="center"/>
          </w:tcPr>
          <w:p>
            <w:pPr>
              <w:spacing w:beforeLines="0" w:afterLines="0" w:line="240" w:lineRule="auto"/>
              <w:ind w:left="0" w:leftChars="0" w:firstLine="0" w:firstLineChars="0"/>
              <w:jc w:val="center"/>
              <w:rPr>
                <w:rFonts w:hint="eastAsia"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精饲料</w:t>
            </w:r>
          </w:p>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生产单元</w:t>
            </w: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投料斗及格栅</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斗式提升机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TDT36/23</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初清筛</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SCY60</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永磁筒</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TCXT25</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混合机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HJJ—112</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料仓</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宽体式微粉</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HRWF68×100</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脉冲除尘器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BLMY52</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集料器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Φ55×1000</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闭风器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BFY.12</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29</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喂料器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BFY.5</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高压风机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9—19—6.3A</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气动输送管道</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提升机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TDTG36/28</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振动机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风机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4-72N02.5A</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去石机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压片机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气动三通</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烘干箱</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组</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39</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热交换器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输送机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润粮仓</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刮板机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闭风器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色选机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自动定量机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斗式提升机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TDT48/28</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料仓</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料位器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TLWR</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49</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破碎机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SSLG15×150</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分级筛</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SPJH1125×2C</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51</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集尘器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Φ1400</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闭风器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BFY.5</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风机及风网</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4—72—8C</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54</w:t>
            </w:r>
          </w:p>
        </w:tc>
        <w:tc>
          <w:tcPr>
            <w:tcW w:w="915" w:type="pct"/>
            <w:vMerge w:val="restar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除尘设备</w:t>
            </w: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投料罩</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只</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脉冲除尘器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BLMY.25</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除尘风机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4—72—4.5A</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除尘风网</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自行设计制造</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6"/>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b/>
                <w:bCs/>
                <w:color w:val="auto"/>
                <w:sz w:val="21"/>
                <w:szCs w:val="21"/>
                <w:lang w:val="en-US" w:eastAsia="zh-CN"/>
              </w:rPr>
              <w:t>五、</w:t>
            </w:r>
            <w:r>
              <w:rPr>
                <w:rFonts w:hint="default" w:ascii="Times New Roman" w:hAnsi="Times New Roman" w:eastAsia="宋体" w:cs="Times New Roman"/>
                <w:b/>
                <w:bCs/>
                <w:sz w:val="21"/>
                <w:szCs w:val="21"/>
                <w:lang w:eastAsia="zh-CN"/>
              </w:rPr>
              <w:t>节水型工农业复合循环体系改造升级</w:t>
            </w:r>
            <w:r>
              <w:rPr>
                <w:rFonts w:hint="default" w:ascii="Times New Roman" w:hAnsi="Times New Roman" w:eastAsia="宋体" w:cs="Times New Roman"/>
                <w:b/>
                <w:bCs/>
                <w:sz w:val="21"/>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w:t>
            </w:r>
          </w:p>
        </w:tc>
        <w:tc>
          <w:tcPr>
            <w:tcW w:w="915" w:type="pct"/>
            <w:vMerge w:val="restart"/>
            <w:tcBorders>
              <w:tl2br w:val="nil"/>
              <w:tr2bl w:val="nil"/>
            </w:tcBorders>
            <w:vAlign w:val="center"/>
          </w:tcPr>
          <w:p>
            <w:pPr>
              <w:spacing w:beforeLines="0" w:afterLines="0" w:line="240" w:lineRule="auto"/>
              <w:ind w:left="0" w:leftChars="0" w:firstLine="0" w:firstLineChars="0"/>
              <w:jc w:val="center"/>
              <w:rPr>
                <w:rFonts w:hint="eastAsia"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有机肥</w:t>
            </w:r>
          </w:p>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eastAsia="宋体" w:cs="Times New Roman"/>
                <w:color w:val="auto"/>
                <w:kern w:val="2"/>
                <w:sz w:val="21"/>
                <w:szCs w:val="21"/>
                <w:lang w:val="en-US" w:eastAsia="zh-CN" w:bidi="ar-SA"/>
              </w:rPr>
              <w:t>生产车间</w:t>
            </w: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粉碎机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2.5t/h</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螺旋输送机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皮带运输机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B800，20m</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翻抛机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cxzg</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卧式搅拌机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模糊造粒机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Φ2.0×2</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布袋除尘器</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36袋</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回转干燥窑</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ZTF型φ2.0×18m</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9</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旋风除尘系统</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10</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冷却机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HFLQ1814，8t/h</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11</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滚筒干燥机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4-72</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12</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旋风除尘系统</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13</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筛分机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SG</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14</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包装机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全自动</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15</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自卸翻斗车</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16</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装载机</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厂区公用</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台</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17</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生物除臭系统</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活性炭</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套</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13"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18</w:t>
            </w:r>
          </w:p>
        </w:tc>
        <w:tc>
          <w:tcPr>
            <w:tcW w:w="915" w:type="pct"/>
            <w:vMerge w:val="continue"/>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p>
        </w:tc>
        <w:tc>
          <w:tcPr>
            <w:tcW w:w="918"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降尘室</w:t>
            </w:r>
          </w:p>
        </w:tc>
        <w:tc>
          <w:tcPr>
            <w:tcW w:w="1861"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15m</w:t>
            </w:r>
            <w:r>
              <w:rPr>
                <w:rFonts w:hint="eastAsia" w:ascii="Times New Roman" w:hAnsi="Times New Roman" w:eastAsia="宋体" w:cs="Times New Roman"/>
                <w:color w:val="auto"/>
                <w:kern w:val="2"/>
                <w:sz w:val="21"/>
                <w:szCs w:val="21"/>
                <w:vertAlign w:val="superscript"/>
                <w:lang w:val="en-US" w:eastAsia="zh-CN" w:bidi="ar-SA"/>
              </w:rPr>
              <w:t>3</w:t>
            </w:r>
          </w:p>
        </w:tc>
        <w:tc>
          <w:tcPr>
            <w:tcW w:w="427"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座</w:t>
            </w:r>
          </w:p>
        </w:tc>
        <w:tc>
          <w:tcPr>
            <w:tcW w:w="464" w:type="pct"/>
            <w:tcBorders>
              <w:tl2br w:val="nil"/>
              <w:tr2bl w:val="nil"/>
            </w:tcBorders>
            <w:vAlign w:val="center"/>
          </w:tcPr>
          <w:p>
            <w:pPr>
              <w:spacing w:beforeLines="0" w:afterLines="0"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w:t>
            </w:r>
          </w:p>
        </w:tc>
      </w:tr>
    </w:tbl>
    <w:p>
      <w:pPr>
        <w:pStyle w:val="5"/>
        <w:bidi w:val="0"/>
      </w:pPr>
      <w:bookmarkStart w:id="434" w:name="_Toc27725"/>
      <w:r>
        <w:t>2.</w:t>
      </w:r>
      <w:r>
        <w:rPr>
          <w:rFonts w:hint="eastAsia"/>
          <w:lang w:val="en-US" w:eastAsia="zh-CN"/>
        </w:rPr>
        <w:t>7</w:t>
      </w:r>
      <w:r>
        <w:rPr>
          <w:rFonts w:hint="eastAsia"/>
          <w:lang w:eastAsia="zh-CN"/>
        </w:rPr>
        <w:t>、</w:t>
      </w:r>
      <w:r>
        <w:t>公用工程</w:t>
      </w:r>
      <w:bookmarkEnd w:id="432"/>
      <w:bookmarkEnd w:id="433"/>
      <w:bookmarkEnd w:id="434"/>
    </w:p>
    <w:p>
      <w:pPr>
        <w:pStyle w:val="6"/>
        <w:bidi w:val="0"/>
        <w:rPr>
          <w:rFonts w:hint="eastAsia"/>
        </w:rPr>
      </w:pPr>
      <w:r>
        <w:t>2.</w:t>
      </w:r>
      <w:r>
        <w:rPr>
          <w:rFonts w:hint="eastAsia"/>
          <w:lang w:val="en-US" w:eastAsia="zh-CN"/>
        </w:rPr>
        <w:t>7</w:t>
      </w:r>
      <w:r>
        <w:t>.1</w:t>
      </w:r>
      <w:r>
        <w:rPr>
          <w:rFonts w:hint="eastAsia"/>
          <w:lang w:eastAsia="zh-CN"/>
        </w:rPr>
        <w:t>、</w:t>
      </w:r>
      <w:r>
        <w:rPr>
          <w:rFonts w:hint="eastAsia"/>
        </w:rPr>
        <w:t>供电</w:t>
      </w:r>
    </w:p>
    <w:p>
      <w:pPr>
        <w:bidi w:val="0"/>
        <w:rPr>
          <w:rFonts w:hint="default"/>
          <w:lang w:val="en-US" w:eastAsia="zh-CN"/>
        </w:rPr>
      </w:pPr>
      <w:r>
        <w:rPr>
          <w:rFonts w:hint="eastAsia"/>
          <w:lang w:val="en-US" w:eastAsia="zh-CN"/>
        </w:rPr>
        <w:t>依托园区供电管网。</w:t>
      </w:r>
    </w:p>
    <w:p>
      <w:pPr>
        <w:pStyle w:val="6"/>
        <w:bidi w:val="0"/>
      </w:pPr>
      <w:r>
        <w:t>2.</w:t>
      </w:r>
      <w:r>
        <w:rPr>
          <w:rFonts w:hint="eastAsia"/>
          <w:lang w:val="en-US" w:eastAsia="zh-CN"/>
        </w:rPr>
        <w:t>7</w:t>
      </w:r>
      <w:r>
        <w:t>.</w:t>
      </w:r>
      <w:r>
        <w:rPr>
          <w:rFonts w:hint="eastAsia"/>
        </w:rPr>
        <w:t>2</w:t>
      </w:r>
      <w:r>
        <w:rPr>
          <w:rFonts w:hint="eastAsia"/>
          <w:lang w:eastAsia="zh-CN"/>
        </w:rPr>
        <w:t>、</w:t>
      </w:r>
      <w:r>
        <w:t>给水</w:t>
      </w:r>
    </w:p>
    <w:p>
      <w:pPr>
        <w:bidi w:val="0"/>
        <w:rPr>
          <w:rFonts w:hint="eastAsia" w:eastAsia="宋体"/>
          <w:lang w:eastAsia="zh-CN"/>
        </w:rPr>
      </w:pPr>
      <w:r>
        <w:rPr>
          <w:rFonts w:hint="eastAsia" w:ascii="Times New Roman" w:hAnsi="Times New Roman" w:cs="Times New Roman"/>
          <w:color w:val="auto"/>
          <w:sz w:val="24"/>
          <w:lang w:val="en-US" w:eastAsia="zh-CN"/>
        </w:rPr>
        <w:t>企业给水有厂区自备的</w:t>
      </w:r>
      <w:r>
        <w:rPr>
          <w:rFonts w:hint="eastAsia" w:cs="Times New Roman"/>
          <w:color w:val="auto"/>
          <w:sz w:val="24"/>
          <w:lang w:val="en-US" w:eastAsia="zh-CN"/>
        </w:rPr>
        <w:t>5</w:t>
      </w:r>
      <w:r>
        <w:rPr>
          <w:rFonts w:hint="eastAsia" w:ascii="Times New Roman" w:hAnsi="Times New Roman" w:cs="Times New Roman"/>
          <w:color w:val="auto"/>
          <w:sz w:val="24"/>
          <w:lang w:val="en-US" w:eastAsia="zh-CN"/>
        </w:rPr>
        <w:t>座机井提供，</w:t>
      </w:r>
      <w:r>
        <w:rPr>
          <w:rFonts w:hint="default" w:ascii="Times New Roman" w:hAnsi="Times New Roman" w:cs="Times New Roman"/>
          <w:color w:val="auto"/>
          <w:sz w:val="24"/>
          <w:lang w:eastAsia="zh-CN"/>
        </w:rPr>
        <w:t>综合出水能力</w:t>
      </w:r>
      <w:r>
        <w:rPr>
          <w:rFonts w:hint="eastAsia" w:cs="Times New Roman"/>
          <w:color w:val="auto"/>
          <w:sz w:val="24"/>
          <w:lang w:val="en-US" w:eastAsia="zh-CN"/>
        </w:rPr>
        <w:t>55</w:t>
      </w:r>
      <w:r>
        <w:rPr>
          <w:rFonts w:hint="default" w:ascii="Times New Roman" w:hAnsi="Times New Roman" w:cs="Times New Roman"/>
          <w:color w:val="auto"/>
          <w:sz w:val="24"/>
          <w:lang w:val="en-US" w:eastAsia="zh-CN"/>
        </w:rPr>
        <w:t>万m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val="en-US" w:eastAsia="zh-CN"/>
        </w:rPr>
        <w:t>/a</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可以满足本项目供水需求</w:t>
      </w:r>
      <w:r>
        <w:rPr>
          <w:rFonts w:hint="eastAsia" w:cs="Times New Roman"/>
          <w:color w:val="auto"/>
          <w:sz w:val="24"/>
          <w:lang w:eastAsia="zh-CN"/>
        </w:rPr>
        <w:t>（</w:t>
      </w:r>
      <w:r>
        <w:rPr>
          <w:rFonts w:hint="eastAsia" w:cs="Times New Roman"/>
          <w:color w:val="auto"/>
          <w:sz w:val="24"/>
          <w:lang w:val="en-US" w:eastAsia="zh-CN"/>
        </w:rPr>
        <w:t>取水许可证详见附件5</w:t>
      </w:r>
      <w:r>
        <w:rPr>
          <w:rFonts w:hint="eastAsia" w:cs="Times New Roman"/>
          <w:color w:val="auto"/>
          <w:sz w:val="24"/>
          <w:lang w:eastAsia="zh-CN"/>
        </w:rPr>
        <w:t>）</w:t>
      </w:r>
      <w:r>
        <w:rPr>
          <w:rFonts w:hint="default" w:ascii="Times New Roman" w:hAnsi="Times New Roman" w:cs="Times New Roman"/>
          <w:color w:val="auto"/>
          <w:sz w:val="24"/>
        </w:rPr>
        <w:t>。根据</w:t>
      </w:r>
      <w:r>
        <w:rPr>
          <w:rFonts w:hint="eastAsia" w:ascii="Times New Roman" w:hAnsi="Times New Roman" w:cs="Times New Roman"/>
          <w:color w:val="auto"/>
          <w:sz w:val="24"/>
          <w:lang w:val="en-US" w:eastAsia="zh-CN"/>
        </w:rPr>
        <w:t>统计</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厂区现有项目</w:t>
      </w:r>
      <w:r>
        <w:rPr>
          <w:rFonts w:hint="default" w:ascii="Times New Roman" w:hAnsi="Times New Roman" w:cs="Times New Roman"/>
          <w:color w:val="auto"/>
          <w:sz w:val="24"/>
        </w:rPr>
        <w:t>新鲜用水量</w:t>
      </w:r>
      <w:r>
        <w:rPr>
          <w:rFonts w:hint="default" w:ascii="Times New Roman" w:hAnsi="Times New Roman" w:cs="Times New Roman"/>
          <w:color w:val="auto"/>
          <w:sz w:val="24"/>
          <w:highlight w:val="none"/>
        </w:rPr>
        <w:t>为</w:t>
      </w:r>
      <w:r>
        <w:rPr>
          <w:rFonts w:hint="eastAsia" w:ascii="Times New Roman" w:hAnsi="Times New Roman" w:cs="Times New Roman"/>
          <w:color w:val="auto"/>
          <w:sz w:val="24"/>
          <w:highlight w:val="none"/>
          <w:lang w:val="en-US" w:eastAsia="zh-CN"/>
        </w:rPr>
        <w:t>768.7</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/d（</w:t>
      </w:r>
      <w:r>
        <w:rPr>
          <w:rFonts w:hint="eastAsia" w:ascii="Times New Roman" w:hAnsi="Times New Roman" w:cs="Times New Roman"/>
          <w:color w:val="auto"/>
          <w:sz w:val="24"/>
          <w:highlight w:val="none"/>
          <w:lang w:val="en-US" w:eastAsia="zh-CN"/>
        </w:rPr>
        <w:t>280575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其中</w:t>
      </w:r>
      <w:r>
        <w:rPr>
          <w:rFonts w:hint="eastAsia" w:ascii="Times New Roman" w:hAnsi="Times New Roman" w:cs="Times New Roman"/>
          <w:color w:val="auto"/>
          <w:sz w:val="24"/>
          <w:highlight w:val="none"/>
          <w:lang w:eastAsia="zh-CN"/>
        </w:rPr>
        <w:t>：</w:t>
      </w:r>
    </w:p>
    <w:p>
      <w:pPr>
        <w:bidi w:val="0"/>
        <w:rPr>
          <w:rFonts w:hint="eastAsia" w:eastAsia="宋体"/>
          <w:lang w:val="en-US" w:eastAsia="zh-CN"/>
        </w:rPr>
      </w:pPr>
      <w:r>
        <w:rPr>
          <w:rFonts w:hint="default" w:ascii="Times New Roman" w:hAnsi="Times New Roman" w:cs="Times New Roman"/>
        </w:rPr>
        <w:t>①</w:t>
      </w:r>
      <w:r>
        <w:rPr>
          <w:rFonts w:hint="default"/>
          <w:lang w:val="en-US" w:eastAsia="zh-CN"/>
        </w:rPr>
        <w:t>3万头/年肉牛精深加工生产</w:t>
      </w:r>
      <w:r>
        <w:rPr>
          <w:rFonts w:hint="eastAsia"/>
          <w:lang w:val="en-US" w:eastAsia="zh-CN"/>
        </w:rPr>
        <w:t>线用水总量为53925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rPr>
          <w:rFonts w:hint="eastAsia" w:ascii="Times New Roman" w:hAnsi="Times New Roman" w:eastAsia="宋体" w:cs="Times New Roman"/>
          <w:lang w:val="en-US" w:eastAsia="zh-CN"/>
        </w:rPr>
      </w:pPr>
      <w:r>
        <w:rPr>
          <w:rFonts w:hint="default" w:ascii="Times New Roman" w:hAnsi="Times New Roman" w:cs="Times New Roman"/>
        </w:rPr>
        <w:t>②</w:t>
      </w:r>
      <w:r>
        <w:rPr>
          <w:rFonts w:hint="default"/>
          <w:lang w:val="en-US" w:eastAsia="zh-CN"/>
        </w:rPr>
        <w:t>牛羊屠宰副产物综合利用</w:t>
      </w:r>
      <w:r>
        <w:rPr>
          <w:rFonts w:hint="eastAsia"/>
          <w:lang w:val="en-US" w:eastAsia="zh-CN"/>
        </w:rPr>
        <w:t>生产线用水总量为4080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rPr>
          <w:rFonts w:hint="eastAsia" w:ascii="宋体" w:hAnsi="宋体" w:eastAsia="宋体" w:cs="宋体"/>
          <w:lang w:val="en-US" w:eastAsia="zh-CN"/>
        </w:rPr>
      </w:pPr>
      <w:r>
        <w:rPr>
          <w:rFonts w:hint="eastAsia" w:ascii="宋体" w:hAnsi="宋体" w:eastAsia="宋体" w:cs="宋体"/>
        </w:rPr>
        <w:t>③</w:t>
      </w:r>
      <w:r>
        <w:rPr>
          <w:rFonts w:hint="eastAsia" w:ascii="宋体" w:hAnsi="宋体" w:eastAsia="宋体" w:cs="宋体"/>
          <w:lang w:val="en-US" w:eastAsia="zh-CN"/>
        </w:rPr>
        <w:t>牛饮水</w:t>
      </w:r>
      <w:r>
        <w:rPr>
          <w:rFonts w:hint="eastAsia"/>
          <w:lang w:val="en-US" w:eastAsia="zh-CN"/>
        </w:rPr>
        <w:t>总量为</w:t>
      </w:r>
      <w:r>
        <w:rPr>
          <w:rFonts w:hint="eastAsia" w:ascii="Times New Roman" w:hAnsi="Times New Roman" w:cs="Times New Roman"/>
          <w:color w:val="auto"/>
          <w:szCs w:val="21"/>
          <w:lang w:val="en-US" w:eastAsia="zh-CN"/>
        </w:rPr>
        <w:t>216000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rPr>
          <w:rFonts w:hint="default" w:ascii="Times New Roman" w:hAnsi="Times New Roman" w:eastAsia="宋体" w:cs="Times New Roman"/>
          <w:lang w:val="en-US" w:eastAsia="zh-CN"/>
        </w:rPr>
      </w:pPr>
      <w:r>
        <w:rPr>
          <w:rFonts w:hint="default" w:ascii="Times New Roman" w:hAnsi="Times New Roman" w:cs="Times New Roman"/>
        </w:rPr>
        <w:t>④</w:t>
      </w:r>
      <w:r>
        <w:rPr>
          <w:rFonts w:hint="eastAsia" w:ascii="Times New Roman" w:hAnsi="Times New Roman" w:cs="Times New Roman"/>
          <w:lang w:val="en-US" w:eastAsia="zh-CN"/>
        </w:rPr>
        <w:t>生活用水总量为</w:t>
      </w:r>
      <w:r>
        <w:rPr>
          <w:rFonts w:hint="eastAsia" w:ascii="Times New Roman" w:hAnsi="Times New Roman" w:cs="Times New Roman"/>
          <w:color w:val="auto"/>
          <w:szCs w:val="21"/>
          <w:lang w:val="en-US" w:eastAsia="zh-CN"/>
        </w:rPr>
        <w:t>6570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pStyle w:val="6"/>
        <w:bidi w:val="0"/>
      </w:pPr>
      <w:r>
        <w:rPr>
          <w:rFonts w:hint="eastAsia"/>
          <w:lang w:val="en-US" w:eastAsia="zh-CN"/>
        </w:rPr>
        <w:t>2.7.3、</w:t>
      </w:r>
      <w:r>
        <w:t>排水</w:t>
      </w:r>
    </w:p>
    <w:p>
      <w:pPr>
        <w:bidi w:val="0"/>
        <w:rPr>
          <w:rFonts w:hint="default" w:eastAsia="宋体"/>
          <w:lang w:val="en-US" w:eastAsia="zh-CN"/>
        </w:rPr>
      </w:pPr>
      <w:r>
        <w:t>项目生产废水主要来自</w:t>
      </w:r>
      <w:r>
        <w:rPr>
          <w:rFonts w:hint="default"/>
          <w:lang w:val="en-US" w:eastAsia="zh-CN"/>
        </w:rPr>
        <w:t>3万头/年肉牛精深加工生产</w:t>
      </w:r>
      <w:r>
        <w:rPr>
          <w:rFonts w:hint="eastAsia"/>
          <w:lang w:val="en-US" w:eastAsia="zh-CN"/>
        </w:rPr>
        <w:t>线排水</w:t>
      </w:r>
      <w:r>
        <w:t>、</w:t>
      </w:r>
      <w:r>
        <w:rPr>
          <w:rFonts w:hint="default"/>
          <w:lang w:val="en-US" w:eastAsia="zh-CN"/>
        </w:rPr>
        <w:t>牛羊屠宰副产物综合利用</w:t>
      </w:r>
      <w:r>
        <w:rPr>
          <w:rFonts w:hint="eastAsia"/>
          <w:lang w:val="en-US" w:eastAsia="zh-CN"/>
        </w:rPr>
        <w:t>生产线排水、牛尿液以及</w:t>
      </w:r>
      <w:r>
        <w:t>生活污水，废水中主要污染物为CODcr、BOD</w:t>
      </w:r>
      <w:r>
        <w:rPr>
          <w:vertAlign w:val="subscript"/>
        </w:rPr>
        <w:t>5</w:t>
      </w:r>
      <w:r>
        <w:t>、SS、氨氮和</w:t>
      </w:r>
      <w:r>
        <w:rPr>
          <w:rFonts w:hint="eastAsia"/>
          <w:lang w:val="en-US" w:eastAsia="zh-CN"/>
        </w:rPr>
        <w:t>动植物油</w:t>
      </w:r>
      <w:r>
        <w:t>等</w:t>
      </w:r>
      <w:r>
        <w:rPr>
          <w:rFonts w:hint="eastAsia"/>
          <w:lang w:val="en-US" w:eastAsia="zh-CN"/>
        </w:rPr>
        <w:t>为主</w:t>
      </w:r>
      <w:r>
        <w:t>。</w:t>
      </w:r>
      <w:r>
        <w:rPr>
          <w:rFonts w:hint="eastAsia"/>
          <w:lang w:val="en-US" w:eastAsia="zh-CN"/>
        </w:rPr>
        <w:t>现有项目排水总量为</w:t>
      </w:r>
      <w:r>
        <w:rPr>
          <w:rFonts w:hint="eastAsia"/>
        </w:rPr>
        <w:t>385.33</w:t>
      </w:r>
      <w:r>
        <w:rPr>
          <w:rFonts w:hint="eastAsia"/>
          <w:lang w:val="en-US" w:eastAsia="zh-CN"/>
        </w:rPr>
        <w:t>m</w:t>
      </w:r>
      <w:r>
        <w:rPr>
          <w:rFonts w:hint="eastAsia"/>
          <w:vertAlign w:val="superscript"/>
          <w:lang w:val="en-US" w:eastAsia="zh-CN"/>
        </w:rPr>
        <w:t>3</w:t>
      </w:r>
      <w:r>
        <w:rPr>
          <w:rFonts w:hint="eastAsia"/>
          <w:lang w:val="en-US" w:eastAsia="zh-CN"/>
        </w:rPr>
        <w:t>/d（140645m</w:t>
      </w:r>
      <w:r>
        <w:rPr>
          <w:rFonts w:hint="eastAsia"/>
          <w:vertAlign w:val="superscript"/>
          <w:lang w:val="en-US" w:eastAsia="zh-CN"/>
        </w:rPr>
        <w:t>3</w:t>
      </w:r>
      <w:r>
        <w:rPr>
          <w:rFonts w:hint="eastAsia"/>
          <w:lang w:val="en-US" w:eastAsia="zh-CN"/>
        </w:rPr>
        <w:t>/a）</w:t>
      </w:r>
    </w:p>
    <w:p>
      <w:pPr>
        <w:bidi w:val="0"/>
        <w:rPr>
          <w:rFonts w:hint="eastAsia" w:eastAsia="宋体"/>
          <w:lang w:val="en-US" w:eastAsia="zh-CN"/>
        </w:rPr>
      </w:pPr>
      <w:r>
        <w:rPr>
          <w:rFonts w:hint="default" w:ascii="Times New Roman" w:hAnsi="Times New Roman" w:cs="Times New Roman"/>
        </w:rPr>
        <w:t>①</w:t>
      </w:r>
      <w:r>
        <w:rPr>
          <w:rFonts w:hint="default"/>
          <w:lang w:val="en-US" w:eastAsia="zh-CN"/>
        </w:rPr>
        <w:t>3万头/年肉牛精深加工生产</w:t>
      </w:r>
      <w:r>
        <w:rPr>
          <w:rFonts w:hint="eastAsia"/>
          <w:lang w:val="en-US" w:eastAsia="zh-CN"/>
        </w:rPr>
        <w:t>线排水总量为118875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rPr>
          <w:rFonts w:hint="eastAsia" w:ascii="Times New Roman" w:hAnsi="Times New Roman" w:eastAsia="宋体" w:cs="Times New Roman"/>
          <w:lang w:val="en-US" w:eastAsia="zh-CN"/>
        </w:rPr>
      </w:pPr>
      <w:r>
        <w:rPr>
          <w:rFonts w:hint="default" w:ascii="Times New Roman" w:hAnsi="Times New Roman" w:cs="Times New Roman"/>
        </w:rPr>
        <w:t>②</w:t>
      </w:r>
      <w:r>
        <w:rPr>
          <w:rFonts w:hint="default"/>
          <w:lang w:val="en-US" w:eastAsia="zh-CN"/>
        </w:rPr>
        <w:t>牛羊屠宰副产物综合利用</w:t>
      </w:r>
      <w:r>
        <w:rPr>
          <w:rFonts w:hint="eastAsia"/>
          <w:lang w:val="en-US" w:eastAsia="zh-CN"/>
        </w:rPr>
        <w:t>生产线排水总量为3264</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rPr>
          <w:rFonts w:hint="eastAsia" w:ascii="宋体" w:hAnsi="宋体" w:eastAsia="宋体" w:cs="宋体"/>
          <w:lang w:val="en-US" w:eastAsia="zh-CN"/>
        </w:rPr>
      </w:pPr>
      <w:r>
        <w:rPr>
          <w:rFonts w:hint="eastAsia" w:ascii="宋体" w:hAnsi="宋体" w:eastAsia="宋体" w:cs="宋体"/>
        </w:rPr>
        <w:t>③</w:t>
      </w:r>
      <w:r>
        <w:rPr>
          <w:rFonts w:hint="eastAsia" w:ascii="宋体" w:hAnsi="宋体" w:eastAsia="宋体" w:cs="宋体"/>
          <w:lang w:val="en-US" w:eastAsia="zh-CN"/>
        </w:rPr>
        <w:t>牛尿液</w:t>
      </w:r>
      <w:r>
        <w:rPr>
          <w:rFonts w:hint="eastAsia"/>
          <w:lang w:val="en-US" w:eastAsia="zh-CN"/>
        </w:rPr>
        <w:t>总量为</w:t>
      </w:r>
      <w:r>
        <w:rPr>
          <w:rFonts w:hint="eastAsia" w:ascii="Times New Roman" w:hAnsi="Times New Roman" w:cs="Times New Roman"/>
          <w:color w:val="auto"/>
          <w:szCs w:val="21"/>
          <w:lang w:val="en-US" w:eastAsia="zh-CN"/>
        </w:rPr>
        <w:t>18250</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rPr>
          <w:rFonts w:hint="default" w:ascii="Times New Roman" w:hAnsi="Times New Roman" w:eastAsia="宋体" w:cs="Times New Roman"/>
          <w:lang w:val="en-US" w:eastAsia="zh-CN"/>
        </w:rPr>
      </w:pPr>
      <w:r>
        <w:rPr>
          <w:rFonts w:hint="default" w:ascii="Times New Roman" w:hAnsi="Times New Roman" w:cs="Times New Roman"/>
        </w:rPr>
        <w:t>④</w:t>
      </w:r>
      <w:r>
        <w:rPr>
          <w:rFonts w:hint="eastAsia" w:ascii="Times New Roman" w:hAnsi="Times New Roman" w:cs="Times New Roman"/>
          <w:lang w:val="en-US" w:eastAsia="zh-CN"/>
        </w:rPr>
        <w:t>生活污水总量为</w:t>
      </w:r>
      <w:r>
        <w:rPr>
          <w:rFonts w:hint="eastAsia" w:ascii="Times New Roman" w:hAnsi="Times New Roman" w:cs="Times New Roman"/>
          <w:color w:val="auto"/>
          <w:szCs w:val="21"/>
          <w:lang w:val="en-US" w:eastAsia="zh-CN"/>
        </w:rPr>
        <w:t>5256</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/a</w:t>
      </w:r>
      <w:r>
        <w:rPr>
          <w:rFonts w:hint="eastAsia" w:ascii="Times New Roman" w:hAnsi="Times New Roman" w:cs="Times New Roman"/>
          <w:color w:val="auto"/>
          <w:sz w:val="24"/>
          <w:highlight w:val="none"/>
          <w:lang w:eastAsia="zh-CN"/>
        </w:rPr>
        <w:t>；</w:t>
      </w:r>
    </w:p>
    <w:p>
      <w:pPr>
        <w:bidi w:val="0"/>
      </w:pPr>
      <w:r>
        <w:rPr>
          <w:rFonts w:hint="eastAsia"/>
          <w:lang w:val="en-US" w:eastAsia="zh-CN"/>
        </w:rPr>
        <w:t>厂区废水全部经厂区现有的污水处理站处理后用于厂区饲草区灌溉，非灌溉时节，达标废水全部暂存在达标废水暂存中用于灌溉时节灌溉，废水经厂区污水处理站处理后出水水质满足</w:t>
      </w:r>
      <w:r>
        <w:t>《农田灌溉水质标准》（GB5084-20</w:t>
      </w:r>
      <w:r>
        <w:rPr>
          <w:rFonts w:hint="eastAsia"/>
        </w:rPr>
        <w:t>21</w:t>
      </w:r>
      <w:r>
        <w:t>）</w:t>
      </w:r>
      <w:r>
        <w:rPr>
          <w:rFonts w:hint="eastAsia"/>
          <w:lang w:val="en-US" w:eastAsia="zh-CN"/>
        </w:rPr>
        <w:t>中的旱作标准</w:t>
      </w:r>
      <w:r>
        <w:rPr>
          <w:rFonts w:hint="eastAsia"/>
          <w:lang w:eastAsia="zh-CN"/>
        </w:rPr>
        <w:t>，</w:t>
      </w:r>
      <w:r>
        <w:rPr>
          <w:rFonts w:hint="eastAsia"/>
          <w:lang w:val="en-US" w:eastAsia="zh-CN"/>
        </w:rPr>
        <w:t>现有项目水平衡表见表2.6、水平衡</w:t>
      </w:r>
      <w:r>
        <w:rPr>
          <w:rFonts w:hint="eastAsia"/>
          <w:lang w:val="en-US"/>
        </w:rPr>
        <w:t>图</w:t>
      </w:r>
      <w:r>
        <w:rPr>
          <w:rFonts w:hint="eastAsia"/>
          <w:lang w:val="en-US" w:eastAsia="zh-CN"/>
        </w:rPr>
        <w:t>见图</w:t>
      </w:r>
      <w:r>
        <w:rPr>
          <w:rFonts w:hint="eastAsia"/>
          <w:lang w:val="en-US"/>
        </w:rPr>
        <w:t>2-1</w:t>
      </w:r>
      <w:r>
        <w:t>。</w:t>
      </w:r>
    </w:p>
    <w:p>
      <w:pPr>
        <w:bidi w:val="0"/>
        <w:spacing w:line="240" w:lineRule="auto"/>
        <w:jc w:val="center"/>
        <w:rPr>
          <w:rFonts w:hint="eastAsia"/>
          <w:b/>
          <w:bCs/>
          <w:lang w:val="en-US" w:eastAsia="zh-CN"/>
        </w:rPr>
      </w:pPr>
    </w:p>
    <w:p>
      <w:pPr>
        <w:bidi w:val="0"/>
        <w:spacing w:line="240" w:lineRule="auto"/>
        <w:jc w:val="center"/>
        <w:rPr>
          <w:rFonts w:hint="eastAsia"/>
          <w:b/>
          <w:bCs/>
          <w:lang w:val="en-US" w:eastAsia="zh-CN"/>
        </w:rPr>
      </w:pPr>
    </w:p>
    <w:p>
      <w:pPr>
        <w:bidi w:val="0"/>
        <w:spacing w:line="240" w:lineRule="auto"/>
        <w:jc w:val="center"/>
        <w:rPr>
          <w:rFonts w:hint="eastAsia"/>
          <w:b/>
          <w:bCs/>
          <w:lang w:val="en-US" w:eastAsia="zh-CN"/>
        </w:rPr>
      </w:pPr>
      <w:r>
        <w:rPr>
          <w:rFonts w:hint="eastAsia"/>
          <w:b/>
          <w:bCs/>
          <w:lang w:val="en-US" w:eastAsia="zh-CN"/>
        </w:rPr>
        <w:t xml:space="preserve">表2.6    </w:t>
      </w:r>
      <w:r>
        <w:rPr>
          <w:rFonts w:hint="eastAsia"/>
          <w:b/>
          <w:bCs/>
          <w:lang w:val="en-US"/>
        </w:rPr>
        <w:t>现有工程水平衡</w:t>
      </w:r>
      <w:r>
        <w:rPr>
          <w:rFonts w:hint="eastAsia"/>
          <w:b/>
          <w:bCs/>
          <w:lang w:val="en-US" w:eastAsia="zh-CN"/>
        </w:rPr>
        <w:t>一览表  单位</w:t>
      </w:r>
      <w:r>
        <w:rPr>
          <w:b/>
          <w:bCs/>
        </w:rPr>
        <w:t>m</w:t>
      </w:r>
      <w:r>
        <w:rPr>
          <w:b/>
          <w:bCs/>
          <w:vertAlign w:val="superscript"/>
        </w:rPr>
        <w:t>3</w:t>
      </w:r>
      <w:r>
        <w:rPr>
          <w:b/>
          <w:bCs/>
        </w:rPr>
        <w:t>/</w:t>
      </w:r>
      <w:r>
        <w:rPr>
          <w:rFonts w:hint="eastAsia"/>
          <w:b/>
          <w:bCs/>
          <w:lang w:val="en-US" w:eastAsia="zh-CN"/>
        </w:rPr>
        <w:t>a</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2266"/>
        <w:gridCol w:w="1515"/>
        <w:gridCol w:w="1212"/>
        <w:gridCol w:w="1528"/>
        <w:gridCol w:w="1429"/>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0"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序号</w:t>
            </w:r>
          </w:p>
        </w:tc>
        <w:tc>
          <w:tcPr>
            <w:tcW w:w="1137"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用水项目</w:t>
            </w:r>
          </w:p>
        </w:tc>
        <w:tc>
          <w:tcPr>
            <w:tcW w:w="760"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总用水量</w:t>
            </w:r>
          </w:p>
        </w:tc>
        <w:tc>
          <w:tcPr>
            <w:tcW w:w="608"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新水量</w:t>
            </w:r>
          </w:p>
        </w:tc>
        <w:tc>
          <w:tcPr>
            <w:tcW w:w="767"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循环量</w:t>
            </w:r>
          </w:p>
        </w:tc>
        <w:tc>
          <w:tcPr>
            <w:tcW w:w="717"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损耗量</w:t>
            </w:r>
          </w:p>
        </w:tc>
        <w:tc>
          <w:tcPr>
            <w:tcW w:w="558" w:type="pct"/>
            <w:tcBorders>
              <w:tl2br w:val="nil"/>
              <w:tr2bl w:val="nil"/>
            </w:tcBorders>
            <w:noWrap w:val="0"/>
            <w:vAlign w:val="center"/>
          </w:tcPr>
          <w:p>
            <w:pPr>
              <w:pStyle w:val="103"/>
              <w:bidi w:val="0"/>
              <w:spacing w:line="240" w:lineRule="auto"/>
              <w:rPr>
                <w:rFonts w:hint="default" w:ascii="Times New Roman" w:hAnsi="Times New Roman" w:eastAsia="宋体" w:cs="Times New Roman"/>
                <w:b/>
                <w:bCs/>
                <w:sz w:val="21"/>
                <w:szCs w:val="21"/>
                <w:lang w:val="ru-RU"/>
              </w:rPr>
            </w:pPr>
            <w:r>
              <w:rPr>
                <w:rFonts w:hint="default" w:ascii="Times New Roman" w:hAnsi="Times New Roman" w:eastAsia="宋体" w:cs="Times New Roman"/>
                <w:b/>
                <w:bCs/>
                <w:sz w:val="21"/>
                <w:szCs w:val="21"/>
                <w:lang w:val="ru-RU"/>
              </w:rPr>
              <w:t>排水量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0"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ru-RU"/>
              </w:rPr>
            </w:pPr>
            <w:r>
              <w:rPr>
                <w:rFonts w:hint="default" w:ascii="Times New Roman" w:hAnsi="Times New Roman" w:eastAsia="宋体" w:cs="Times New Roman"/>
                <w:sz w:val="21"/>
                <w:szCs w:val="21"/>
                <w:lang w:val="ru-RU"/>
              </w:rPr>
              <w:t>1</w:t>
            </w:r>
          </w:p>
        </w:tc>
        <w:tc>
          <w:tcPr>
            <w:tcW w:w="113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3万头/年肉牛精深加工生产线</w:t>
            </w:r>
          </w:p>
        </w:tc>
        <w:tc>
          <w:tcPr>
            <w:tcW w:w="760"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53925</w:t>
            </w:r>
          </w:p>
        </w:tc>
        <w:tc>
          <w:tcPr>
            <w:tcW w:w="608"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53925</w:t>
            </w:r>
          </w:p>
        </w:tc>
        <w:tc>
          <w:tcPr>
            <w:tcW w:w="76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71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10785</w:t>
            </w:r>
          </w:p>
        </w:tc>
        <w:tc>
          <w:tcPr>
            <w:tcW w:w="558"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43140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0"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ru-RU"/>
              </w:rPr>
            </w:pPr>
            <w:r>
              <w:rPr>
                <w:rFonts w:hint="default" w:ascii="Times New Roman" w:hAnsi="Times New Roman" w:eastAsia="宋体" w:cs="Times New Roman"/>
                <w:sz w:val="21"/>
                <w:szCs w:val="21"/>
                <w:lang w:val="ru-RU"/>
              </w:rPr>
              <w:t>2</w:t>
            </w:r>
          </w:p>
        </w:tc>
        <w:tc>
          <w:tcPr>
            <w:tcW w:w="113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ru-RU"/>
              </w:rPr>
            </w:pPr>
            <w:r>
              <w:rPr>
                <w:rFonts w:hint="default" w:ascii="Times New Roman" w:hAnsi="Times New Roman" w:eastAsia="宋体" w:cs="Times New Roman"/>
                <w:sz w:val="21"/>
                <w:szCs w:val="21"/>
                <w:lang w:val="en-US" w:eastAsia="zh-CN"/>
              </w:rPr>
              <w:t>牛羊屠宰副产物综合利用生产线</w:t>
            </w:r>
          </w:p>
        </w:tc>
        <w:tc>
          <w:tcPr>
            <w:tcW w:w="760"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4080</w:t>
            </w:r>
          </w:p>
        </w:tc>
        <w:tc>
          <w:tcPr>
            <w:tcW w:w="608"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4080</w:t>
            </w:r>
          </w:p>
        </w:tc>
        <w:tc>
          <w:tcPr>
            <w:tcW w:w="76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71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816</w:t>
            </w:r>
          </w:p>
        </w:tc>
        <w:tc>
          <w:tcPr>
            <w:tcW w:w="558"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450"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ru-RU"/>
              </w:rPr>
            </w:pPr>
            <w:r>
              <w:rPr>
                <w:rFonts w:hint="default" w:ascii="Times New Roman" w:hAnsi="Times New Roman" w:eastAsia="宋体" w:cs="Times New Roman"/>
                <w:sz w:val="21"/>
                <w:szCs w:val="21"/>
                <w:lang w:val="ru-RU"/>
              </w:rPr>
              <w:t>3</w:t>
            </w:r>
          </w:p>
        </w:tc>
        <w:tc>
          <w:tcPr>
            <w:tcW w:w="113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ru-RU"/>
              </w:rPr>
            </w:pPr>
            <w:r>
              <w:rPr>
                <w:rFonts w:hint="default" w:ascii="Times New Roman" w:hAnsi="Times New Roman" w:eastAsia="宋体" w:cs="Times New Roman"/>
                <w:sz w:val="21"/>
                <w:szCs w:val="21"/>
                <w:lang w:val="en-US" w:eastAsia="zh-CN"/>
              </w:rPr>
              <w:t>牛饮水</w:t>
            </w:r>
          </w:p>
        </w:tc>
        <w:tc>
          <w:tcPr>
            <w:tcW w:w="760"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216000</w:t>
            </w:r>
          </w:p>
        </w:tc>
        <w:tc>
          <w:tcPr>
            <w:tcW w:w="608"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216000</w:t>
            </w:r>
          </w:p>
        </w:tc>
        <w:tc>
          <w:tcPr>
            <w:tcW w:w="76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71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197750</w:t>
            </w:r>
          </w:p>
        </w:tc>
        <w:tc>
          <w:tcPr>
            <w:tcW w:w="558"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0"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13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生活用水</w:t>
            </w:r>
          </w:p>
        </w:tc>
        <w:tc>
          <w:tcPr>
            <w:tcW w:w="760"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6570</w:t>
            </w:r>
          </w:p>
        </w:tc>
        <w:tc>
          <w:tcPr>
            <w:tcW w:w="608"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6570</w:t>
            </w:r>
          </w:p>
        </w:tc>
        <w:tc>
          <w:tcPr>
            <w:tcW w:w="76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71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1314</w:t>
            </w:r>
          </w:p>
        </w:tc>
        <w:tc>
          <w:tcPr>
            <w:tcW w:w="558"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587" w:type="pct"/>
            <w:gridSpan w:val="2"/>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合计</w:t>
            </w:r>
          </w:p>
        </w:tc>
        <w:tc>
          <w:tcPr>
            <w:tcW w:w="760"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280575</w:t>
            </w:r>
          </w:p>
        </w:tc>
        <w:tc>
          <w:tcPr>
            <w:tcW w:w="608"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280575</w:t>
            </w:r>
          </w:p>
        </w:tc>
        <w:tc>
          <w:tcPr>
            <w:tcW w:w="767" w:type="pct"/>
            <w:tcBorders>
              <w:tl2br w:val="nil"/>
              <w:tr2bl w:val="nil"/>
            </w:tcBorders>
            <w:noWrap w:val="0"/>
            <w:vAlign w:val="center"/>
          </w:tcPr>
          <w:p>
            <w:pPr>
              <w:pStyle w:val="103"/>
              <w:bidi w:val="0"/>
              <w:spacing w:line="240" w:lineRule="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717"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210665</w:t>
            </w:r>
          </w:p>
        </w:tc>
        <w:tc>
          <w:tcPr>
            <w:tcW w:w="558" w:type="pct"/>
            <w:tcBorders>
              <w:tl2br w:val="nil"/>
              <w:tr2bl w:val="nil"/>
            </w:tcBorders>
            <w:noWrap w:val="0"/>
            <w:vAlign w:val="center"/>
          </w:tcPr>
          <w:p>
            <w:pPr>
              <w:pStyle w:val="103"/>
              <w:bidi w:val="0"/>
              <w:spacing w:line="240" w:lineRule="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69910</w:t>
            </w:r>
          </w:p>
        </w:tc>
      </w:tr>
    </w:tbl>
    <w:p>
      <w:pPr>
        <w:bidi w:val="0"/>
        <w:ind w:left="0" w:leftChars="0" w:firstLine="0" w:firstLineChars="0"/>
        <w:jc w:val="center"/>
        <w:rPr>
          <w:rFonts w:hint="eastAsia"/>
        </w:rPr>
      </w:pPr>
      <w:r>
        <w:rPr>
          <w:rFonts w:hint="eastAsia"/>
        </w:rPr>
        <w:object>
          <v:shape id="_x0000_i1025" o:spt="75" type="#_x0000_t75" style="height:192.55pt;width:414.95pt;" o:ole="t" filled="f" o:preferrelative="t" stroked="f" coordsize="21600,21600">
            <v:path/>
            <v:fill on="f" focussize="0,0"/>
            <v:stroke on="f"/>
            <v:imagedata r:id="rId18" o:title=""/>
            <o:lock v:ext="edit" aspectratio="f"/>
            <w10:wrap type="none"/>
            <w10:anchorlock/>
          </v:shape>
          <o:OLEObject Type="Embed" ProgID="Visio.Drawing.15" ShapeID="_x0000_i1025" DrawAspect="Content" ObjectID="_1468075725" r:id="rId17">
            <o:LockedField>false</o:LockedField>
          </o:OLEObject>
        </w:object>
      </w:r>
    </w:p>
    <w:p>
      <w:pPr>
        <w:bidi w:val="0"/>
        <w:jc w:val="center"/>
        <w:rPr>
          <w:rFonts w:hint="default"/>
          <w:b/>
          <w:bCs/>
          <w:lang w:val="en-US" w:eastAsia="zh-CN"/>
        </w:rPr>
      </w:pPr>
      <w:r>
        <w:rPr>
          <w:rFonts w:hint="eastAsia"/>
          <w:b/>
          <w:bCs/>
          <w:lang w:val="en-US" w:eastAsia="zh-CN"/>
        </w:rPr>
        <w:t>图2-1    现有工程水平衡图  单位</w:t>
      </w:r>
      <w:r>
        <w:rPr>
          <w:b/>
          <w:bCs/>
        </w:rPr>
        <w:t>m</w:t>
      </w:r>
      <w:r>
        <w:rPr>
          <w:b/>
          <w:bCs/>
          <w:vertAlign w:val="superscript"/>
        </w:rPr>
        <w:t>3</w:t>
      </w:r>
      <w:r>
        <w:rPr>
          <w:b/>
          <w:bCs/>
        </w:rPr>
        <w:t>/</w:t>
      </w:r>
      <w:r>
        <w:rPr>
          <w:rFonts w:hint="eastAsia"/>
          <w:b/>
          <w:bCs/>
          <w:lang w:val="en-US" w:eastAsia="zh-CN"/>
        </w:rPr>
        <w:t>a</w:t>
      </w:r>
    </w:p>
    <w:p>
      <w:pPr>
        <w:pStyle w:val="6"/>
        <w:bidi w:val="0"/>
      </w:pPr>
      <w:r>
        <w:t>2.</w:t>
      </w:r>
      <w:r>
        <w:rPr>
          <w:rFonts w:hint="eastAsia"/>
          <w:lang w:val="en-US" w:eastAsia="zh-CN"/>
        </w:rPr>
        <w:t>7.4</w:t>
      </w:r>
      <w:r>
        <w:rPr>
          <w:rFonts w:hint="eastAsia"/>
          <w:lang w:eastAsia="zh-CN"/>
        </w:rPr>
        <w:t>、</w:t>
      </w:r>
      <w:r>
        <w:t>采暖</w:t>
      </w:r>
    </w:p>
    <w:p>
      <w:pPr>
        <w:bidi w:val="0"/>
        <w:rPr>
          <w:rFonts w:hint="default"/>
          <w:lang w:val="en-US" w:eastAsia="zh-CN"/>
        </w:rPr>
      </w:pPr>
      <w:r>
        <w:rPr>
          <w:rFonts w:hint="eastAsia"/>
          <w:lang w:val="en-US" w:eastAsia="zh-CN"/>
        </w:rPr>
        <w:t>冬季生活办公区供暖由厂区建设的4台电锅炉提供，生产加工区不供暖。</w:t>
      </w:r>
    </w:p>
    <w:p>
      <w:pPr>
        <w:pStyle w:val="5"/>
        <w:bidi w:val="0"/>
        <w:rPr>
          <w:rFonts w:hint="default"/>
          <w:lang w:val="en-US" w:eastAsia="zh-CN"/>
        </w:rPr>
      </w:pPr>
      <w:bookmarkStart w:id="435" w:name="_Toc25919"/>
      <w:r>
        <w:rPr>
          <w:rFonts w:hint="eastAsia"/>
          <w:lang w:val="en-US" w:eastAsia="zh-CN"/>
        </w:rPr>
        <w:t>2.8、总平面布置</w:t>
      </w:r>
      <w:bookmarkEnd w:id="435"/>
    </w:p>
    <w:p>
      <w:pPr>
        <w:adjustRightInd w:val="0"/>
        <w:ind w:firstLine="480"/>
        <w:rPr>
          <w:rFonts w:hint="default"/>
          <w:lang w:val="en-US" w:eastAsia="zh-CN"/>
        </w:rPr>
      </w:pPr>
      <w:r>
        <w:rPr>
          <w:rFonts w:hint="eastAsia"/>
          <w:lang w:val="en-US" w:eastAsia="zh-CN"/>
        </w:rPr>
        <w:t>根据厂区实际布置情况，厂区主入口右侧主要设置为综合办公室、3万头/年肉牛精深加工生产车间及冷库，拟建项目位于现有的“3万头/年肉牛精深加工生产车间”西侧区域；厂区主入口左侧主要设置生活区、锅炉房等建构筑物，总厂区西侧主要设置有污水处理站、达标废水暂存池等；厂区中间设置饲草种植区、牛舍、牛饲料生产车间、营养中心等；厂区东北侧设置有机肥生产车间；总厂区具体的平面布置情况详见附图9。</w:t>
      </w:r>
    </w:p>
    <w:p>
      <w:pPr>
        <w:pStyle w:val="5"/>
        <w:bidi w:val="0"/>
      </w:pPr>
      <w:bookmarkStart w:id="436" w:name="_Toc27576"/>
      <w:r>
        <w:t>2.</w:t>
      </w:r>
      <w:r>
        <w:rPr>
          <w:rFonts w:hint="eastAsia"/>
          <w:lang w:val="en-US" w:eastAsia="zh-CN"/>
        </w:rPr>
        <w:t>9、</w:t>
      </w:r>
      <w:r>
        <w:t>工艺流程及排污节点</w:t>
      </w:r>
      <w:bookmarkEnd w:id="436"/>
    </w:p>
    <w:p>
      <w:pPr>
        <w:pStyle w:val="6"/>
        <w:bidi w:val="0"/>
        <w:rPr>
          <w:rFonts w:hint="eastAsia"/>
          <w:lang w:val="en-US" w:eastAsia="zh-CN"/>
        </w:rPr>
      </w:pPr>
      <w:r>
        <w:rPr>
          <w:rFonts w:hint="eastAsia"/>
          <w:lang w:val="en-US" w:eastAsia="zh-CN"/>
        </w:rPr>
        <w:t>2.9.1、万吨清真肉品冷链物流配送市场服务体系建设项目</w:t>
      </w:r>
    </w:p>
    <w:p>
      <w:pPr>
        <w:bidi w:val="0"/>
        <w:rPr>
          <w:rFonts w:hint="default"/>
          <w:lang w:val="en-US" w:eastAsia="zh-CN"/>
        </w:rPr>
      </w:pPr>
      <w:r>
        <w:rPr>
          <w:rFonts w:hint="eastAsia"/>
          <w:lang w:val="en-US" w:eastAsia="zh-CN"/>
        </w:rPr>
        <w:t>万吨清真肉品冷链物流配送市场服务体系建设项目主要建设内容为建设1座占地面积4212m</w:t>
      </w:r>
      <w:r>
        <w:rPr>
          <w:rFonts w:hint="eastAsia"/>
          <w:vertAlign w:val="superscript"/>
          <w:lang w:val="en-US" w:eastAsia="zh-CN"/>
        </w:rPr>
        <w:t>2</w:t>
      </w:r>
      <w:r>
        <w:rPr>
          <w:rFonts w:hint="eastAsia"/>
          <w:lang w:val="en-US" w:eastAsia="zh-CN"/>
        </w:rPr>
        <w:t>，静态容量为5000t的冷库，冷库在运行过程中使用的冷凝剂为氨，冷凝采用水冷，冷凝水经循环冷却池降温处理后循环使用，不外排；制冷设备全部位于制冷机房内，采取基础减震、厂房隔声的措施对制冷设备产生的噪声进行治理。综上，该项目运行过程中无废气产生，无外排废水产生，无固废产生，主要污染物为噪声，主要分布于制冷机房内。</w:t>
      </w:r>
    </w:p>
    <w:p>
      <w:pPr>
        <w:pStyle w:val="6"/>
        <w:bidi w:val="0"/>
        <w:rPr>
          <w:rFonts w:hint="eastAsia"/>
        </w:rPr>
      </w:pPr>
      <w:r>
        <w:rPr>
          <w:rFonts w:hint="eastAsia"/>
          <w:lang w:val="en-US" w:eastAsia="zh-CN"/>
        </w:rPr>
        <w:t>2.9.2、</w:t>
      </w:r>
      <w:r>
        <w:rPr>
          <w:rFonts w:hint="default"/>
          <w:lang w:val="en-US" w:eastAsia="zh-CN"/>
        </w:rPr>
        <w:t>3万头/年肉牛精深加工生产项目</w:t>
      </w:r>
    </w:p>
    <w:p>
      <w:pPr>
        <w:bidi w:val="0"/>
      </w:pPr>
      <w:r>
        <w:rPr>
          <w:rFonts w:hint="eastAsia"/>
          <w:lang w:val="en-US" w:eastAsia="zh-CN"/>
        </w:rPr>
        <w:t>该项目主要是针对肉牛进行屠宰和分割，</w:t>
      </w:r>
      <w:r>
        <w:t>项目引进了国内先进的全自动肉牛屠宰生产线1条，达到年屠宰肉牛</w:t>
      </w:r>
      <w:r>
        <w:rPr>
          <w:rFonts w:hint="eastAsia"/>
          <w:lang w:val="en-US" w:eastAsia="zh-CN"/>
        </w:rPr>
        <w:t>3</w:t>
      </w:r>
      <w:r>
        <w:t>万头的生产能力。具体工艺流程如下：</w:t>
      </w:r>
    </w:p>
    <w:p>
      <w:pPr>
        <w:bidi w:val="0"/>
        <w:rPr>
          <w:b/>
          <w:bCs/>
        </w:rPr>
      </w:pPr>
      <w:r>
        <w:rPr>
          <w:b/>
          <w:bCs/>
        </w:rPr>
        <w:t>（1）宰前准备</w:t>
      </w:r>
    </w:p>
    <w:p>
      <w:pPr>
        <w:bidi w:val="0"/>
      </w:pPr>
      <w:r>
        <w:t>肉牛进场检验合格后进入待宰区，屠宰前断食24小时，停水8小时。宰前检查，确定健康状况良好后，进入屠宰生产线，发现疑病的肉牛关至栓牛间。在栓牛间内，能恢复则进入屠宰生产线；不能恢复或出现病死等情况的病牛在急宰间屠宰，急宰后的肉牛交由资质单位处理。</w:t>
      </w:r>
    </w:p>
    <w:p>
      <w:pPr>
        <w:bidi w:val="0"/>
        <w:rPr>
          <w:b/>
          <w:bCs/>
        </w:rPr>
      </w:pPr>
      <w:r>
        <w:rPr>
          <w:b/>
          <w:bCs/>
        </w:rPr>
        <w:t>（2）冲淋</w:t>
      </w:r>
    </w:p>
    <w:p>
      <w:pPr>
        <w:bidi w:val="0"/>
      </w:pPr>
      <w:r>
        <w:t>肉牛在屠宰前首先进行冲淋，冲淋完成后进行屠宰，屠宰过程吊在轨道中宰杀，直到完成全部生产过程，不得与地面接触。冲淋过程中有废水产生。</w:t>
      </w:r>
    </w:p>
    <w:p>
      <w:pPr>
        <w:bidi w:val="0"/>
        <w:rPr>
          <w:b/>
          <w:bCs/>
        </w:rPr>
      </w:pPr>
      <w:r>
        <w:rPr>
          <w:b/>
          <w:bCs/>
        </w:rPr>
        <w:t>（3）宰杀放血</w:t>
      </w:r>
    </w:p>
    <w:p>
      <w:pPr>
        <w:bidi w:val="0"/>
      </w:pPr>
      <w:r>
        <w:t>放血前采用70-110V的电流将牛击晕，被电击晕的牛后肢悬挂在吊车上，于颈下喉部切断血管、气管和食管，放血时间6-8分钟，收集总血量的60％左右。牛血统一收集后外售。</w:t>
      </w:r>
    </w:p>
    <w:p>
      <w:pPr>
        <w:bidi w:val="0"/>
        <w:rPr>
          <w:rFonts w:hint="default"/>
          <w:b/>
          <w:bCs/>
          <w:lang w:val="en-US" w:eastAsia="zh-CN"/>
        </w:rPr>
      </w:pPr>
      <w:r>
        <w:rPr>
          <w:b/>
          <w:bCs/>
        </w:rPr>
        <w:t>（4）去头</w:t>
      </w:r>
      <w:r>
        <w:rPr>
          <w:rFonts w:hint="eastAsia"/>
          <w:b/>
          <w:bCs/>
          <w:lang w:eastAsia="zh-CN"/>
        </w:rPr>
        <w:t>、</w:t>
      </w:r>
      <w:r>
        <w:rPr>
          <w:b/>
          <w:bCs/>
        </w:rPr>
        <w:t>蹄</w:t>
      </w:r>
      <w:r>
        <w:rPr>
          <w:rFonts w:hint="eastAsia"/>
          <w:b/>
          <w:bCs/>
          <w:lang w:eastAsia="zh-CN"/>
        </w:rPr>
        <w:t>、</w:t>
      </w:r>
      <w:r>
        <w:rPr>
          <w:rFonts w:hint="eastAsia"/>
          <w:b/>
          <w:bCs/>
          <w:lang w:val="en-US" w:eastAsia="zh-CN"/>
        </w:rPr>
        <w:t>尾</w:t>
      </w:r>
    </w:p>
    <w:p>
      <w:pPr>
        <w:bidi w:val="0"/>
      </w:pPr>
      <w:r>
        <w:t>将头</w:t>
      </w:r>
      <w:r>
        <w:rPr>
          <w:rFonts w:hint="eastAsia"/>
          <w:lang w:eastAsia="zh-CN"/>
        </w:rPr>
        <w:t>、</w:t>
      </w:r>
      <w:r>
        <w:t>蹄</w:t>
      </w:r>
      <w:r>
        <w:rPr>
          <w:rFonts w:hint="eastAsia"/>
          <w:lang w:eastAsia="zh-CN"/>
        </w:rPr>
        <w:t>、</w:t>
      </w:r>
      <w:r>
        <w:rPr>
          <w:rFonts w:hint="eastAsia"/>
          <w:lang w:val="en-US" w:eastAsia="zh-CN"/>
        </w:rPr>
        <w:t>尾</w:t>
      </w:r>
      <w:r>
        <w:t>去除，并进行预剥。割下的头</w:t>
      </w:r>
      <w:r>
        <w:rPr>
          <w:rFonts w:hint="eastAsia"/>
          <w:lang w:eastAsia="zh-CN"/>
        </w:rPr>
        <w:t>、</w:t>
      </w:r>
      <w:r>
        <w:t>蹄</w:t>
      </w:r>
      <w:r>
        <w:rPr>
          <w:rFonts w:hint="eastAsia"/>
          <w:lang w:eastAsia="zh-CN"/>
        </w:rPr>
        <w:t>、</w:t>
      </w:r>
      <w:r>
        <w:rPr>
          <w:rFonts w:hint="eastAsia"/>
          <w:lang w:val="en-US" w:eastAsia="zh-CN"/>
        </w:rPr>
        <w:t>尾</w:t>
      </w:r>
      <w:r>
        <w:t>将</w:t>
      </w:r>
      <w:r>
        <w:rPr>
          <w:rFonts w:hint="eastAsia"/>
          <w:lang w:val="en-US" w:eastAsia="zh-CN"/>
        </w:rPr>
        <w:t>经去毛处理后一部分拉运至牛羊屠宰副产物综合利用生产车间制作熟食，一部分直接拉运至冷库暂存后外售</w:t>
      </w:r>
      <w:r>
        <w:t>。</w:t>
      </w:r>
    </w:p>
    <w:p>
      <w:pPr>
        <w:bidi w:val="0"/>
        <w:rPr>
          <w:b/>
          <w:bCs/>
        </w:rPr>
      </w:pPr>
      <w:r>
        <w:rPr>
          <w:b/>
          <w:bCs/>
        </w:rPr>
        <w:t>（5）机械剥皮</w:t>
      </w:r>
    </w:p>
    <w:p>
      <w:pPr>
        <w:bidi w:val="0"/>
      </w:pPr>
      <w:r>
        <w:t>将去头蹄的</w:t>
      </w:r>
      <w:r>
        <w:rPr>
          <w:rFonts w:hint="eastAsia"/>
          <w:lang w:val="en-US" w:eastAsia="zh-CN"/>
        </w:rPr>
        <w:t>牛胴体</w:t>
      </w:r>
      <w:r>
        <w:t>，通过机械扯皮将酮体及皮毛分离，牛皮外售。</w:t>
      </w:r>
    </w:p>
    <w:p>
      <w:pPr>
        <w:bidi w:val="0"/>
        <w:rPr>
          <w:b/>
          <w:bCs/>
        </w:rPr>
      </w:pPr>
      <w:r>
        <w:rPr>
          <w:b/>
          <w:bCs/>
        </w:rPr>
        <w:t>（6）开膛</w:t>
      </w:r>
    </w:p>
    <w:p>
      <w:pPr>
        <w:bidi w:val="0"/>
      </w:pPr>
      <w:r>
        <w:t>沿腹中线切开腹部，锯开胸骨、骨盆；并同步进行检疫，检疫合格的取出全部红白内脏，红白内脏将进入进入红白内脏处理工段，酮体将进入排酸间进行排酸；检疫不合格将交由资质单位处理。</w:t>
      </w:r>
    </w:p>
    <w:p>
      <w:pPr>
        <w:bidi w:val="0"/>
        <w:rPr>
          <w:b/>
          <w:bCs/>
        </w:rPr>
      </w:pPr>
      <w:r>
        <w:rPr>
          <w:b/>
          <w:bCs/>
        </w:rPr>
        <w:t>（7）检疫</w:t>
      </w:r>
    </w:p>
    <w:p>
      <w:pPr>
        <w:bidi w:val="0"/>
      </w:pPr>
      <w:r>
        <w:t>主要通过视检法</w:t>
      </w:r>
      <w:r>
        <w:rPr>
          <w:rFonts w:hint="eastAsia"/>
          <w:lang w:eastAsia="zh-CN"/>
        </w:rPr>
        <w:t>、</w:t>
      </w:r>
      <w:r>
        <w:t>触检法</w:t>
      </w:r>
      <w:r>
        <w:rPr>
          <w:rFonts w:hint="eastAsia"/>
          <w:lang w:val="en-US" w:eastAsia="zh-CN"/>
        </w:rPr>
        <w:t>进行</w:t>
      </w:r>
      <w:r>
        <w:t>综合判定。视检通常判定皮肤的病理变化；触检则是剖检判定肠系膜淋巴结和手触脾脏，视其组织结构的变化。取生牛、羊左右隔膜肌肉50g，制成压片，检验肌纤维组织，放在显微镜下观察是否有悬毛虫与住肉孢子虫。该环节以视检为主，仅寄生虫检疫需制成载玻压片以显微镜检疫，项目检验不涉及药品使用。</w:t>
      </w:r>
    </w:p>
    <w:p>
      <w:pPr>
        <w:bidi w:val="0"/>
        <w:rPr>
          <w:b/>
          <w:bCs/>
        </w:rPr>
      </w:pPr>
      <w:r>
        <w:rPr>
          <w:b/>
          <w:bCs/>
        </w:rPr>
        <w:t>（8）红白内脏处理</w:t>
      </w:r>
    </w:p>
    <w:p>
      <w:pPr>
        <w:bidi w:val="0"/>
        <w:rPr>
          <w:b/>
          <w:bCs/>
        </w:rPr>
      </w:pPr>
      <w:r>
        <w:rPr>
          <w:rFonts w:hint="eastAsia"/>
          <w:b/>
          <w:bCs/>
        </w:rPr>
        <w:t>①</w:t>
      </w:r>
      <w:r>
        <w:rPr>
          <w:b/>
          <w:bCs/>
        </w:rPr>
        <w:t>红内脏加工</w:t>
      </w:r>
    </w:p>
    <w:p>
      <w:pPr>
        <w:bidi w:val="0"/>
      </w:pPr>
      <w:r>
        <w:t>红内脏主要包括心、肝、肺等红色内脏，红内脏经检疫合格后统一收集后送至项目红内脏处理间。根据建设单位提供资料，项目人工对红内脏进行分拣，将其按类收集，分拣同时对内脏所带肉屑进行剔除，肉屑经统一收集后外售。分拣后，</w:t>
      </w:r>
      <w:r>
        <w:rPr>
          <w:rFonts w:hint="eastAsia"/>
          <w:lang w:val="en-US" w:eastAsia="zh-CN"/>
        </w:rPr>
        <w:t>一部分直接拉运至</w:t>
      </w:r>
      <w:r>
        <w:t>冷藏库待售</w:t>
      </w:r>
      <w:r>
        <w:rPr>
          <w:rFonts w:hint="eastAsia"/>
          <w:lang w:eastAsia="zh-CN"/>
        </w:rPr>
        <w:t>，</w:t>
      </w:r>
      <w:r>
        <w:rPr>
          <w:rFonts w:hint="eastAsia"/>
          <w:lang w:val="en-US" w:eastAsia="zh-CN"/>
        </w:rPr>
        <w:t>一部分拉运至牛羊屠宰副产物综合利用生产车间作为原料使用</w:t>
      </w:r>
      <w:r>
        <w:t>。</w:t>
      </w:r>
    </w:p>
    <w:p>
      <w:pPr>
        <w:bidi w:val="0"/>
        <w:rPr>
          <w:b/>
          <w:bCs/>
        </w:rPr>
      </w:pPr>
      <w:r>
        <w:rPr>
          <w:rFonts w:hint="eastAsia"/>
          <w:b/>
          <w:bCs/>
        </w:rPr>
        <w:t>②</w:t>
      </w:r>
      <w:r>
        <w:rPr>
          <w:b/>
          <w:bCs/>
        </w:rPr>
        <w:t>白内脏加工</w:t>
      </w:r>
    </w:p>
    <w:p>
      <w:pPr>
        <w:bidi w:val="0"/>
      </w:pPr>
      <w:r>
        <w:t>白内脏主要包括大肠、小肠、牛肚等白色内脏，该部分内脏主要属于牛消化系统，其中大量未消化物被包裹其中。白内脏经检疫合格后，统一收集送至白内脏处理间，人工对其进行分拣，将大肠、小肠、牛肚等分离归类，归类后对其中胃、肠容物进行去除。项目设置有专门的清洗机对白内脏进行清洗，将清洗后的</w:t>
      </w:r>
      <w:r>
        <w:rPr>
          <w:rFonts w:hint="eastAsia"/>
          <w:lang w:val="en-US" w:eastAsia="zh-CN"/>
        </w:rPr>
        <w:t>白内脏一部分直接拉运至</w:t>
      </w:r>
      <w:r>
        <w:t>冷藏库待售</w:t>
      </w:r>
      <w:r>
        <w:rPr>
          <w:rFonts w:hint="eastAsia"/>
          <w:lang w:eastAsia="zh-CN"/>
        </w:rPr>
        <w:t>，</w:t>
      </w:r>
      <w:r>
        <w:rPr>
          <w:rFonts w:hint="eastAsia"/>
          <w:lang w:val="en-US" w:eastAsia="zh-CN"/>
        </w:rPr>
        <w:t>一部分拉运至牛羊屠宰副产物综合利用生产车间作为原料使用</w:t>
      </w:r>
      <w:r>
        <w:t>。</w:t>
      </w:r>
    </w:p>
    <w:p>
      <w:pPr>
        <w:bidi w:val="0"/>
        <w:rPr>
          <w:b/>
          <w:bCs/>
        </w:rPr>
      </w:pPr>
      <w:r>
        <w:rPr>
          <w:b/>
          <w:bCs/>
        </w:rPr>
        <w:t>（9）排酸</w:t>
      </w:r>
    </w:p>
    <w:p>
      <w:pPr>
        <w:bidi w:val="0"/>
      </w:pPr>
      <w:r>
        <w:t>牛经屠宰后，除去皮、头、蹄和内脏剩下的部分叫胴体，胴体肌肉在一定温度下产生一系列变化，使肉质变得柔软、多汁，并产生特殊的肉香，这一过程称为肉的“排酸”嫩化。</w:t>
      </w:r>
    </w:p>
    <w:p>
      <w:pPr>
        <w:bidi w:val="0"/>
        <w:rPr>
          <w:b/>
          <w:bCs/>
        </w:rPr>
      </w:pPr>
      <w:r>
        <w:rPr>
          <w:b/>
          <w:bCs/>
        </w:rPr>
        <w:t>（10）剔骨、分割</w:t>
      </w:r>
    </w:p>
    <w:p>
      <w:pPr>
        <w:bidi w:val="0"/>
      </w:pPr>
      <w:r>
        <w:t>排酸后的胴体一部分进行二分体后进入冷库然后外售，一部分经过剔骨分割进行肉骨分离，分离出来的肉一分部进行冷库，一部分与产生的牛骨一并外售。</w:t>
      </w:r>
    </w:p>
    <w:p>
      <w:pPr>
        <w:bidi w:val="0"/>
      </w:pPr>
      <w:r>
        <w:t>屠宰工艺流程及产污位置见下图。</w:t>
      </w:r>
    </w:p>
    <w:p>
      <w:pPr>
        <w:bidi w:val="0"/>
      </w:pPr>
    </w:p>
    <w:p>
      <w:pPr>
        <w:pStyle w:val="38"/>
      </w:pPr>
    </w:p>
    <w:p/>
    <w:p>
      <w:pPr>
        <w:pStyle w:val="38"/>
      </w:pPr>
    </w:p>
    <w:p/>
    <w:p>
      <w:pPr>
        <w:pStyle w:val="38"/>
      </w:pPr>
    </w:p>
    <w:p/>
    <w:p>
      <w:pPr>
        <w:pStyle w:val="38"/>
      </w:pPr>
    </w:p>
    <w:p/>
    <w:p>
      <w:pPr>
        <w:spacing w:line="360" w:lineRule="auto"/>
        <w:ind w:left="0" w:leftChars="0" w:firstLine="0" w:firstLineChars="0"/>
        <w:jc w:val="center"/>
        <w:rPr>
          <w:b/>
        </w:rPr>
      </w:pPr>
      <w:bookmarkStart w:id="437" w:name="OLE_LINK1"/>
      <w:r>
        <w:rPr>
          <w:b/>
        </w:rPr>
        <w:object>
          <v:shape id="_x0000_i1026" o:spt="75" type="#_x0000_t75" style="height:468pt;width:393.6pt;" o:ole="t" filled="f" o:preferrelative="t" stroked="f" coordsize="21600,21600">
            <v:path/>
            <v:fill on="f" focussize="0,0"/>
            <v:stroke on="f"/>
            <v:imagedata r:id="rId20" o:title=""/>
            <o:lock v:ext="edit" aspectratio="f"/>
            <w10:wrap type="none"/>
            <w10:anchorlock/>
          </v:shape>
          <o:OLEObject Type="Embed" ProgID="Visio.Drawing.15" ShapeID="_x0000_i1026" DrawAspect="Content" ObjectID="_1468075726" r:id="rId19">
            <o:LockedField>false</o:LockedField>
          </o:OLEObject>
        </w:object>
      </w:r>
    </w:p>
    <w:p>
      <w:pPr>
        <w:spacing w:line="360" w:lineRule="auto"/>
        <w:ind w:left="0" w:leftChars="0" w:firstLine="0" w:firstLineChars="0"/>
        <w:jc w:val="center"/>
        <w:rPr>
          <w:b/>
          <w:sz w:val="24"/>
        </w:rPr>
      </w:pPr>
      <w:r>
        <w:rPr>
          <w:b/>
          <w:sz w:val="24"/>
        </w:rPr>
        <w:t>图</w:t>
      </w:r>
      <w:r>
        <w:rPr>
          <w:rFonts w:hint="eastAsia"/>
          <w:b/>
          <w:sz w:val="24"/>
          <w:lang w:val="en-US" w:eastAsia="zh-CN"/>
        </w:rPr>
        <w:t>2</w:t>
      </w:r>
      <w:r>
        <w:rPr>
          <w:b/>
          <w:sz w:val="24"/>
        </w:rPr>
        <w:t xml:space="preserve">-2  </w:t>
      </w:r>
      <w:r>
        <w:rPr>
          <w:rFonts w:hint="eastAsia"/>
          <w:b/>
          <w:sz w:val="24"/>
          <w:lang w:val="en-US" w:eastAsia="zh-CN"/>
        </w:rPr>
        <w:t xml:space="preserve">  </w:t>
      </w:r>
      <w:r>
        <w:rPr>
          <w:b/>
          <w:sz w:val="24"/>
        </w:rPr>
        <w:t>畜禽屠宰加工生产工艺流程及产污</w:t>
      </w:r>
      <w:r>
        <w:rPr>
          <w:rFonts w:hint="eastAsia"/>
          <w:b/>
          <w:sz w:val="24"/>
          <w:lang w:val="en-US" w:eastAsia="zh-CN"/>
        </w:rPr>
        <w:t>环节</w:t>
      </w:r>
      <w:r>
        <w:rPr>
          <w:b/>
          <w:sz w:val="24"/>
        </w:rPr>
        <w:t>图</w:t>
      </w:r>
      <w:bookmarkEnd w:id="437"/>
    </w:p>
    <w:p>
      <w:pPr>
        <w:pStyle w:val="6"/>
        <w:bidi w:val="0"/>
        <w:rPr>
          <w:rFonts w:hint="default"/>
          <w:lang w:val="en-US" w:eastAsia="zh-CN"/>
        </w:rPr>
      </w:pPr>
      <w:r>
        <w:rPr>
          <w:rFonts w:hint="eastAsia"/>
          <w:lang w:val="en-US" w:eastAsia="zh-CN"/>
        </w:rPr>
        <w:t>2.9.3、牛羊屠宰副产物综合利用项目</w:t>
      </w:r>
    </w:p>
    <w:p>
      <w:pPr>
        <w:keepNext w:val="0"/>
        <w:keepLines w:val="0"/>
        <w:suppressLineNumbers w:val="0"/>
        <w:bidi w:val="0"/>
        <w:spacing w:before="0" w:beforeAutospacing="0" w:after="0" w:afterAutospacing="0"/>
        <w:ind w:left="0" w:right="0"/>
        <w:rPr>
          <w:rFonts w:hint="default"/>
          <w:b w:val="0"/>
          <w:bCs w:val="0"/>
          <w:lang w:val="en-US" w:eastAsia="zh-CN"/>
        </w:rPr>
      </w:pPr>
      <w:r>
        <w:rPr>
          <w:rFonts w:hint="eastAsia"/>
          <w:b w:val="0"/>
          <w:bCs w:val="0"/>
          <w:lang w:val="en-US" w:eastAsia="zh-CN"/>
        </w:rPr>
        <w:t>该项目主要涉及有：脱毛头、蹄、尾加工生产线；红白内脏加工生产线；酱卤熟制品加工生产线（主要是针对牛副产物），具体生产工艺流程如下：</w:t>
      </w:r>
    </w:p>
    <w:p>
      <w:pPr>
        <w:keepNext w:val="0"/>
        <w:keepLines w:val="0"/>
        <w:suppressLineNumbers w:val="0"/>
        <w:bidi w:val="0"/>
        <w:spacing w:before="0" w:beforeAutospacing="0" w:after="0" w:afterAutospacing="0"/>
        <w:ind w:left="0" w:right="0"/>
        <w:rPr>
          <w:rFonts w:hint="default"/>
          <w:b/>
          <w:bCs/>
          <w:lang w:val="en-US" w:eastAsia="zh-CN"/>
        </w:rPr>
      </w:pPr>
      <w:r>
        <w:rPr>
          <w:rFonts w:hint="eastAsia"/>
          <w:b/>
          <w:bCs/>
          <w:lang w:val="en-US" w:eastAsia="zh-CN"/>
        </w:rPr>
        <w:t>1、脱毛头、蹄、尾生产工艺流程</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牛头、蹄、尾经分选去除犄角和蹄匣、进行清洗，清洗后采用蒸汽脱毛机进行脱毛处理。脱毛后的产品加入除味剂在沸水中浸烫15-20min，清除血污和异味，撇净血沫后漂洗干净。用刀刮净皮上的残毛，经检验合格后进行包装。处理过的脱毛头蹄尾一部分进一步深加工酱卤制品上市销售，一部分直接鲜销。产污环节见图2-3。</w:t>
      </w:r>
    </w:p>
    <w:p>
      <w:pPr>
        <w:pStyle w:val="38"/>
        <w:keepNext w:val="0"/>
        <w:keepLines w:val="0"/>
        <w:suppressLineNumbers w:val="0"/>
        <w:spacing w:before="0" w:beforeAutospacing="0" w:after="0" w:afterAutospacing="0"/>
        <w:ind w:left="0" w:leftChars="0" w:right="0" w:firstLine="0" w:firstLineChars="0"/>
        <w:jc w:val="center"/>
        <w:rPr>
          <w:rFonts w:hint="default"/>
          <w:lang w:val="en-US" w:eastAsia="zh-CN"/>
        </w:rPr>
      </w:pPr>
      <w:r>
        <w:rPr>
          <w:sz w:val="24"/>
        </w:rPr>
        <mc:AlternateContent>
          <mc:Choice Requires="wps">
            <w:drawing>
              <wp:anchor distT="0" distB="0" distL="114300" distR="114300" simplePos="0" relativeHeight="251666432" behindDoc="0" locked="0" layoutInCell="1" allowOverlap="1">
                <wp:simplePos x="0" y="0"/>
                <wp:positionH relativeFrom="column">
                  <wp:posOffset>2404110</wp:posOffset>
                </wp:positionH>
                <wp:positionV relativeFrom="paragraph">
                  <wp:posOffset>137160</wp:posOffset>
                </wp:positionV>
                <wp:extent cx="1162050" cy="278130"/>
                <wp:effectExtent l="4445" t="4445" r="14605" b="22225"/>
                <wp:wrapNone/>
                <wp:docPr id="28" name="文本框 28"/>
                <wp:cNvGraphicFramePr/>
                <a:graphic xmlns:a="http://schemas.openxmlformats.org/drawingml/2006/main">
                  <a:graphicData uri="http://schemas.microsoft.com/office/word/2010/wordprocessingShape">
                    <wps:wsp>
                      <wps:cNvSpPr txBox="1"/>
                      <wps:spPr>
                        <a:xfrm>
                          <a:off x="3369945" y="2111375"/>
                          <a:ext cx="1162050" cy="2781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left="0" w:leftChars="0" w:firstLine="0" w:firstLineChars="0"/>
                              <w:rPr>
                                <w:rFonts w:hint="default" w:eastAsia="宋体"/>
                                <w:sz w:val="21"/>
                                <w:szCs w:val="21"/>
                                <w:lang w:val="en-US" w:eastAsia="zh-CN"/>
                              </w:rPr>
                            </w:pPr>
                            <w:r>
                              <w:rPr>
                                <w:rFonts w:hint="eastAsia"/>
                                <w:sz w:val="21"/>
                                <w:szCs w:val="21"/>
                                <w:lang w:val="en-US" w:eastAsia="zh-CN"/>
                              </w:rPr>
                              <w:t>肉牛头、蹄、尾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9.3pt;margin-top:10.8pt;height:21.9pt;width:91.5pt;z-index:251666432;mso-width-relative:page;mso-height-relative:page;" fillcolor="#FFFFFF [3201]" filled="t" stroked="t" coordsize="21600,21600" o:gfxdata="UEsDBAoAAAAAAIdO4kAAAAAAAAAAAAAAAAAEAAAAZHJzL1BLAwQUAAAACACHTuJAp1twetYAAAAJ&#10;AQAADwAAAGRycy9kb3ducmV2LnhtbE2PTU/DMAyG70j8h8hI3Fj6wcJU6k4CCQlxY+uFW9Z4bUXi&#10;VE22jn9PdoKTbfnR68f19uKsONMcRs8I+SoDQdx5M3KP0O7fHjYgQtRstPVMCD8UYNvc3tS6Mn7h&#10;TzrvYi9SCIdKIwwxTpWUoRvI6bDyE3HaHf3sdEzj3Esz6yWFOyuLLFPS6ZHThUFP9DpQ9707OYR3&#10;9RK/qDUfpixKv7Sym482IN7f5dkziEiX+AfDVT+pQ5OcDv7EJgiLUD5tVEIRijzVBKzVtTkgqPUj&#10;yKaW/z9ofgFQSwMEFAAAAAgAh07iQK60KaZlAgAAxQQAAA4AAABkcnMvZTJvRG9jLnhtbK1UzW4T&#10;MRC+I/EOlu90s/lrG3VThVZBSBWtVBBnx+vNWnhtYzvZLQ9A34ATF+48V5+Dz96kLS2HHsjBmb98&#10;M/PNTE5Ou0aRrXBeGl3Q/GBAidDclFKvC/rp4/LNESU+MF0yZbQo6I3w9HT++tVJa2diaGqjSuEI&#10;QLSftbagdQh2lmWe16Jh/sBYoeGsjGtYgOrWWelYC/RGZcPBYJq1xpXWGS68h/W8d9IdonsJoKkq&#10;ycW54ZtG6NCjOqFYQEu+ltbTeaq2qgQPl1XlRSCqoOg0pBdJIK/im81P2GztmK0l35XAXlLCk54a&#10;JjWS3kOds8DIxslnUI3kznhThQNumqxvJDGCLvLBE26ua2ZF6gVUe3tPuv9/sPzD9soRWRZ0iLlr&#10;1mDidz9u737+vvv1ncAGglrrZ4i7togM3VvTYW32dg9j7LurXBO/0RGBfzSaHh+PJ5TcADjP89Hh&#10;pKdadIHwCJBPh4MJpsBjxOFRPkqzyB6QrPPhnTANiUJBHUaZGGbbCx9QFUL3ITGxN0qWS6lUUtx6&#10;daYc2TKMfZk+MT1+8leY0qQt6HSEOp5BROx7iJVi/MtzBOApDdhIUE9ElEK36nasrUx5A9Kc6ffO&#10;W76UwL1gPlwxh0UDATjFcImnUgbFmJ1ESW3ct3/ZYzzmDy8lLRa3oP7rhjlBiXqvsRnH+XgcNz0p&#10;48nhEIp77Fk99uhNc2ZAUo6jtzyJMT6ovVg503zGxS5iVriY5shd0LAXz0J/Trh4LhaLFITdtixc&#10;6GvLI3QkV5vFJphKptFFmnpuduxhu9N4dpcYz+exnqIe/n3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nW3B61gAAAAkBAAAPAAAAAAAAAAEAIAAAACIAAABkcnMvZG93bnJldi54bWxQSwECFAAU&#10;AAAACACHTuJArrQppmUCAADFBAAADgAAAAAAAAABACAAAAAlAQAAZHJzL2Uyb0RvYy54bWxQSwUG&#10;AAAAAAYABgBZAQAA/AUAAAAA&#10;">
                <v:fill on="t" focussize="0,0"/>
                <v:stroke weight="0.5pt" color="#000000 [3204]" joinstyle="round"/>
                <v:imagedata o:title=""/>
                <o:lock v:ext="edit" aspectratio="f"/>
                <v:textbox>
                  <w:txbxContent>
                    <w:p>
                      <w:pPr>
                        <w:spacing w:line="240" w:lineRule="auto"/>
                        <w:ind w:left="0" w:leftChars="0" w:firstLine="0" w:firstLineChars="0"/>
                        <w:rPr>
                          <w:rFonts w:hint="default" w:eastAsia="宋体"/>
                          <w:sz w:val="21"/>
                          <w:szCs w:val="21"/>
                          <w:lang w:val="en-US" w:eastAsia="zh-CN"/>
                        </w:rPr>
                      </w:pPr>
                      <w:r>
                        <w:rPr>
                          <w:rFonts w:hint="eastAsia"/>
                          <w:sz w:val="21"/>
                          <w:szCs w:val="21"/>
                          <w:lang w:val="en-US" w:eastAsia="zh-CN"/>
                        </w:rPr>
                        <w:t>肉牛头、蹄、尾</w:t>
                      </w:r>
                    </w:p>
                  </w:txbxContent>
                </v:textbox>
              </v:shape>
            </w:pict>
          </mc:Fallback>
        </mc:AlternateContent>
      </w:r>
      <w:r>
        <w:drawing>
          <wp:inline distT="0" distB="0" distL="114300" distR="114300">
            <wp:extent cx="2644140" cy="3321685"/>
            <wp:effectExtent l="0" t="0" r="3810" b="12065"/>
            <wp:docPr id="2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pic:cNvPicPr>
                      <a:picLocks noChangeAspect="1"/>
                    </pic:cNvPicPr>
                  </pic:nvPicPr>
                  <pic:blipFill>
                    <a:blip r:embed="rId21"/>
                    <a:stretch>
                      <a:fillRect/>
                    </a:stretch>
                  </pic:blipFill>
                  <pic:spPr>
                    <a:xfrm>
                      <a:off x="0" y="0"/>
                      <a:ext cx="2644140" cy="3321685"/>
                    </a:xfrm>
                    <a:prstGeom prst="rect">
                      <a:avLst/>
                    </a:prstGeom>
                    <a:noFill/>
                    <a:ln>
                      <a:noFill/>
                    </a:ln>
                  </pic:spPr>
                </pic:pic>
              </a:graphicData>
            </a:graphic>
          </wp:inline>
        </w:drawing>
      </w:r>
    </w:p>
    <w:p>
      <w:pPr>
        <w:keepNext w:val="0"/>
        <w:keepLines w:val="0"/>
        <w:suppressLineNumbers w:val="0"/>
        <w:bidi w:val="0"/>
        <w:spacing w:before="0" w:beforeAutospacing="0" w:after="0" w:afterAutospacing="0" w:line="240" w:lineRule="auto"/>
        <w:ind w:left="0" w:right="0"/>
        <w:jc w:val="center"/>
        <w:rPr>
          <w:rFonts w:hint="default"/>
          <w:lang w:val="en-US" w:eastAsia="zh-CN"/>
        </w:rPr>
      </w:pPr>
      <w:r>
        <w:rPr>
          <w:rFonts w:hint="eastAsia"/>
          <w:b/>
          <w:bCs/>
          <w:lang w:val="en-US" w:eastAsia="zh-CN"/>
        </w:rPr>
        <w:t>图2-3    脱毛头蹄尾生产工艺及产污环节图</w:t>
      </w:r>
    </w:p>
    <w:p>
      <w:pPr>
        <w:keepNext w:val="0"/>
        <w:keepLines w:val="0"/>
        <w:suppressLineNumbers w:val="0"/>
        <w:bidi w:val="0"/>
        <w:spacing w:before="0" w:beforeAutospacing="0" w:after="0" w:afterAutospacing="0"/>
        <w:ind w:left="0" w:right="0"/>
        <w:rPr>
          <w:rFonts w:hint="default"/>
          <w:lang w:val="en-US" w:eastAsia="zh-CN"/>
        </w:rPr>
      </w:pPr>
      <w:r>
        <w:rPr>
          <w:rFonts w:hint="eastAsia"/>
          <w:b/>
          <w:bCs/>
          <w:lang w:val="en-US" w:eastAsia="zh-CN"/>
        </w:rPr>
        <w:t>2、红白内脏</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将牛肾除去白膜、油筋、尿管，心除去筋膜及脂肪，同时去除肠、胃中的薄膜，清洗干净后加入除味剂，煮熟后捞出晾干，最终整形检验包装。产污环节见图2-4。</w:t>
      </w:r>
    </w:p>
    <w:p>
      <w:pPr>
        <w:pStyle w:val="38"/>
        <w:keepNext w:val="0"/>
        <w:keepLines w:val="0"/>
        <w:suppressLineNumbers w:val="0"/>
        <w:spacing w:before="0" w:beforeAutospacing="0" w:after="0" w:afterAutospacing="0"/>
        <w:ind w:left="0" w:right="0"/>
        <w:jc w:val="center"/>
        <w:rPr>
          <w:rFonts w:hint="default" w:ascii="仿宋_GB2312" w:hAnsi="仿宋_GB2312" w:eastAsia="仿宋_GB2312" w:cs="仿宋_GB2312"/>
          <w:color w:val="auto"/>
          <w:sz w:val="24"/>
          <w:szCs w:val="24"/>
          <w:lang w:val="en-US" w:eastAsia="zh-CN"/>
        </w:rPr>
      </w:pPr>
      <w:r>
        <w:rPr>
          <w:sz w:val="24"/>
        </w:rPr>
        <mc:AlternateContent>
          <mc:Choice Requires="wps">
            <w:drawing>
              <wp:anchor distT="0" distB="0" distL="114300" distR="114300" simplePos="0" relativeHeight="251670528" behindDoc="0" locked="0" layoutInCell="1" allowOverlap="1">
                <wp:simplePos x="0" y="0"/>
                <wp:positionH relativeFrom="column">
                  <wp:posOffset>2819400</wp:posOffset>
                </wp:positionH>
                <wp:positionV relativeFrom="paragraph">
                  <wp:posOffset>63500</wp:posOffset>
                </wp:positionV>
                <wp:extent cx="841375" cy="278130"/>
                <wp:effectExtent l="4445" t="4445" r="11430" b="22225"/>
                <wp:wrapNone/>
                <wp:docPr id="29" name="文本框 29"/>
                <wp:cNvGraphicFramePr/>
                <a:graphic xmlns:a="http://schemas.openxmlformats.org/drawingml/2006/main">
                  <a:graphicData uri="http://schemas.microsoft.com/office/word/2010/wordprocessingShape">
                    <wps:wsp>
                      <wps:cNvSpPr txBox="1"/>
                      <wps:spPr>
                        <a:xfrm>
                          <a:off x="0" y="0"/>
                          <a:ext cx="841375" cy="2781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牛内脏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pt;margin-top:5pt;height:21.9pt;width:66.25pt;z-index:251670528;mso-width-relative:page;mso-height-relative:page;" fillcolor="#FFFFFF [3201]" filled="t" stroked="t" coordsize="21600,21600" o:gfxdata="UEsDBAoAAAAAAIdO4kAAAAAAAAAAAAAAAAAEAAAAZHJzL1BLAwQUAAAACACHTuJAEUJf89YAAAAJ&#10;AQAADwAAAGRycy9kb3ducmV2LnhtbE2PQU/DMAyF70j8h8hI3FiytStT13QSSEiIG1sv3LLGa6s1&#10;TpVk6/j3mBOcbOs9PX+v2t3cKK4Y4uBJw3KhQCC13g7UaWgOb08bEDEZsmb0hBq+McKuvr+rTGn9&#10;TJ943adOcAjF0mjoU5pKKWPbozNx4Sck1k4+OJP4DJ20wcwc7ka5UqqQzgzEH3oz4WuP7Xl/cRre&#10;i5f0hY39sNkq83Mj23Aao9aPD0u1BZHwlv7M8IvP6FAz09FfyEYxasjznLskFhRPNqyfizWIIy/Z&#10;BmRdyf8N6h9QSwMEFAAAAAgAh07iQKjWUwRbAgAAuAQAAA4AAABkcnMvZTJvRG9jLnhtbK1US27b&#10;MBDdF+gdCO4b2Y7zMyIHbgIXBYImQFp0TVOURZS/krSl9ADtDbrqpvueK+foI2U7vy6yqBbUcGb0&#10;ZubNjE7POq3IWvggrSnpcG9AiTDcVtIsS/rp4/zNMSUhMlMxZY0o6a0I9Gz6+tVp6yZiZBurKuEJ&#10;QEyYtK6kTYxuUhSBN0KzsGedMDDW1msWcfXLovKsBbpWxWgwOCxa6yvnLRchQHvRG+kG0b8E0Na1&#10;5OLC8pUWJvaoXigWUVJopAt0mrOta8HjVV0HEYkqKSqN+UQQyIt0FtNTNll65hrJNymwl6TwpCbN&#10;pEHQHdQFi4ysvHwGpSX3Ntg67nGri76QzAiqGA6ecHPTMCdyLaA6uB3p4f/B8g/ra09kVdLRCSWG&#10;aXT87uePu19/7n5/J9CBoNaFCfxuHDxj99Z2GJutPkCZ6u5qr9MbFRHYQe/tjl7RRcKhPB4P948O&#10;KOEwjY6Oh/uZ/uL+Y+dDfCesJkkoqUf3MqlsfRkiEoHr1iXFClbJai6Vyhe/XJwrT9YMnZ7nJ+WI&#10;Tx65KUPakh7uHwwy8iNbwt5BLBTjX54jAE8ZwCZO+tqTFLtFtyFqYatb8ORtP2rB8bkE7iUL8Zp5&#10;zBaowfbFKxy1skjGbiRKGuu//Uuf/NFyWClpMaslDV9XzAtK1HuDYTgZjsdpuPNlfHA0wsU/tCwe&#10;WsxKn1uQNMSeO57F5B/VVqy91Z+xpLMUFSZmOGKXNG7F89hvEJaci9ksO2GcHYuX5sbxBJ1aYuxs&#10;FW0tc+sSTT03G/Yw0Lk9m+VLG/Pwnr3ufzjT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FCX/PW&#10;AAAACQEAAA8AAAAAAAAAAQAgAAAAIgAAAGRycy9kb3ducmV2LnhtbFBLAQIUABQAAAAIAIdO4kCo&#10;1lMEWwIAALgEAAAOAAAAAAAAAAEAIAAAACUBAABkcnMvZTJvRG9jLnhtbFBLBQYAAAAABgAGAFkB&#10;AADyBQAAAAA=&#10;">
                <v:fill on="t" focussize="0,0"/>
                <v:stroke weight="0.5pt" color="#000000 [3204]" joinstyle="round"/>
                <v:imagedata o:title=""/>
                <o:lock v:ext="edit" aspectratio="f"/>
                <v:textbox>
                  <w:txbxContent>
                    <w:p>
                      <w:pPr>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牛内脏</w:t>
                      </w:r>
                    </w:p>
                  </w:txbxContent>
                </v:textbox>
              </v:shape>
            </w:pict>
          </mc:Fallback>
        </mc:AlternateContent>
      </w:r>
      <w:r>
        <w:rPr>
          <w:rFonts w:hint="default" w:ascii="仿宋_GB2312" w:hAnsi="仿宋_GB2312" w:eastAsia="仿宋_GB2312" w:cs="仿宋_GB2312"/>
          <w:color w:val="auto"/>
          <w:sz w:val="24"/>
          <w:szCs w:val="24"/>
          <w:lang w:val="en-US" w:eastAsia="zh-CN"/>
        </w:rPr>
        <w:drawing>
          <wp:inline distT="0" distB="0" distL="114300" distR="114300">
            <wp:extent cx="3324860" cy="3783965"/>
            <wp:effectExtent l="0" t="0" r="8890" b="6985"/>
            <wp:docPr id="26" name="图片 26" descr="16403412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640341286(1)"/>
                    <pic:cNvPicPr>
                      <a:picLocks noChangeAspect="1"/>
                    </pic:cNvPicPr>
                  </pic:nvPicPr>
                  <pic:blipFill>
                    <a:blip r:embed="rId22"/>
                    <a:stretch>
                      <a:fillRect/>
                    </a:stretch>
                  </pic:blipFill>
                  <pic:spPr>
                    <a:xfrm>
                      <a:off x="0" y="0"/>
                      <a:ext cx="3324860" cy="3783965"/>
                    </a:xfrm>
                    <a:prstGeom prst="rect">
                      <a:avLst/>
                    </a:prstGeom>
                  </pic:spPr>
                </pic:pic>
              </a:graphicData>
            </a:graphic>
          </wp:inline>
        </w:drawing>
      </w:r>
    </w:p>
    <w:p>
      <w:pPr>
        <w:keepNext w:val="0"/>
        <w:keepLines w:val="0"/>
        <w:suppressLineNumbers w:val="0"/>
        <w:bidi w:val="0"/>
        <w:spacing w:before="0" w:beforeAutospacing="0" w:after="0" w:afterAutospacing="0" w:line="240" w:lineRule="auto"/>
        <w:ind w:left="0" w:right="0"/>
        <w:jc w:val="center"/>
        <w:rPr>
          <w:rFonts w:hint="default"/>
          <w:lang w:val="en-US" w:eastAsia="zh-CN"/>
        </w:rPr>
      </w:pPr>
      <w:r>
        <w:rPr>
          <w:rFonts w:hint="eastAsia"/>
          <w:b/>
          <w:bCs/>
          <w:lang w:val="en-US" w:eastAsia="zh-CN"/>
        </w:rPr>
        <w:t>图2-4    红白内脏生产工艺及产污环节图</w:t>
      </w:r>
    </w:p>
    <w:p>
      <w:pPr>
        <w:keepNext w:val="0"/>
        <w:keepLines w:val="0"/>
        <w:suppressLineNumbers w:val="0"/>
        <w:bidi w:val="0"/>
        <w:spacing w:before="0" w:beforeAutospacing="0" w:after="0" w:afterAutospacing="0"/>
        <w:ind w:left="0" w:right="0"/>
        <w:rPr>
          <w:rFonts w:hint="eastAsia"/>
          <w:b/>
          <w:bCs/>
          <w:lang w:val="en-US" w:eastAsia="zh-CN"/>
        </w:rPr>
      </w:pPr>
      <w:r>
        <w:rPr>
          <w:rFonts w:hint="eastAsia"/>
          <w:b/>
          <w:bCs/>
          <w:lang w:val="en-US" w:eastAsia="zh-CN"/>
        </w:rPr>
        <w:t>3、酱卤熟制品</w:t>
      </w:r>
    </w:p>
    <w:p>
      <w:pPr>
        <w:keepNext w:val="0"/>
        <w:keepLines w:val="0"/>
        <w:suppressLineNumbers w:val="0"/>
        <w:bidi w:val="0"/>
        <w:spacing w:before="0" w:beforeAutospacing="0" w:after="0" w:afterAutospacing="0"/>
        <w:ind w:left="0" w:right="0"/>
        <w:rPr>
          <w:rFonts w:hint="default"/>
          <w:b w:val="0"/>
          <w:bCs w:val="0"/>
          <w:lang w:val="en-US" w:eastAsia="zh-CN"/>
        </w:rPr>
      </w:pPr>
      <w:r>
        <w:rPr>
          <w:rFonts w:hint="eastAsia"/>
          <w:b w:val="0"/>
          <w:bCs w:val="0"/>
          <w:lang w:val="en-US" w:eastAsia="zh-CN"/>
        </w:rPr>
        <w:t>酱卤熟制品生产工艺流程及产物环节详见下图。</w:t>
      </w:r>
    </w:p>
    <w:p>
      <w:pPr>
        <w:keepNext w:val="0"/>
        <w:keepLines w:val="0"/>
        <w:suppressLineNumbers w:val="0"/>
        <w:bidi w:val="0"/>
        <w:spacing w:before="0" w:beforeAutospacing="0" w:after="0" w:afterAutospacing="0"/>
        <w:ind w:left="0" w:leftChars="0" w:right="0" w:firstLine="0" w:firstLineChars="0"/>
        <w:jc w:val="center"/>
        <w:rPr>
          <w:rFonts w:hint="eastAsia"/>
          <w:lang w:val="en-US" w:eastAsia="zh-CN"/>
        </w:rPr>
      </w:pPr>
      <w:r>
        <w:rPr>
          <w:rFonts w:hint="eastAsia"/>
          <w:lang w:val="en-US" w:eastAsia="zh-CN"/>
        </w:rPr>
        <w:drawing>
          <wp:inline distT="0" distB="0" distL="114300" distR="114300">
            <wp:extent cx="6185535" cy="5336540"/>
            <wp:effectExtent l="0" t="0" r="5715" b="16510"/>
            <wp:docPr id="27" name="图片 27" descr="d91efa133bc98809a2fb07f869ea9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91efa133bc98809a2fb07f869ea96c"/>
                    <pic:cNvPicPr>
                      <a:picLocks noChangeAspect="1"/>
                    </pic:cNvPicPr>
                  </pic:nvPicPr>
                  <pic:blipFill>
                    <a:blip r:embed="rId23"/>
                    <a:stretch>
                      <a:fillRect/>
                    </a:stretch>
                  </pic:blipFill>
                  <pic:spPr>
                    <a:xfrm>
                      <a:off x="0" y="0"/>
                      <a:ext cx="6185535" cy="5336540"/>
                    </a:xfrm>
                    <a:prstGeom prst="rect">
                      <a:avLst/>
                    </a:prstGeom>
                  </pic:spPr>
                </pic:pic>
              </a:graphicData>
            </a:graphic>
          </wp:inline>
        </w:drawing>
      </w:r>
    </w:p>
    <w:p>
      <w:pPr>
        <w:keepNext w:val="0"/>
        <w:keepLines w:val="0"/>
        <w:suppressLineNumbers w:val="0"/>
        <w:bidi w:val="0"/>
        <w:spacing w:before="0" w:beforeAutospacing="0" w:after="0" w:afterAutospacing="0" w:line="240" w:lineRule="auto"/>
        <w:ind w:left="0" w:right="0"/>
        <w:jc w:val="center"/>
        <w:rPr>
          <w:rFonts w:hint="eastAsia"/>
          <w:b/>
          <w:bCs/>
          <w:lang w:val="en-US" w:eastAsia="zh-CN"/>
        </w:rPr>
      </w:pPr>
      <w:r>
        <w:rPr>
          <w:rFonts w:hint="eastAsia"/>
          <w:b/>
          <w:bCs/>
          <w:lang w:val="en-US" w:eastAsia="zh-CN"/>
        </w:rPr>
        <w:t>图2-5    酱卤熟制品生产工艺及产污环节图</w:t>
      </w:r>
    </w:p>
    <w:p>
      <w:pPr>
        <w:keepNext w:val="0"/>
        <w:keepLines w:val="0"/>
        <w:suppressLineNumbers w:val="0"/>
        <w:bidi w:val="0"/>
        <w:spacing w:before="0" w:beforeAutospacing="0" w:after="0" w:afterAutospacing="0"/>
        <w:ind w:left="0" w:right="0"/>
        <w:rPr>
          <w:rFonts w:hint="default"/>
          <w:b/>
          <w:bCs/>
          <w:lang w:val="en-US" w:eastAsia="zh-CN"/>
        </w:rPr>
      </w:pPr>
      <w:r>
        <w:rPr>
          <w:rFonts w:hint="eastAsia"/>
          <w:b/>
          <w:bCs/>
          <w:lang w:val="en-US" w:eastAsia="zh-CN"/>
        </w:rPr>
        <w:t>工艺流程简介：</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①切割：将成品牛头蹄及红白内脏根据补位不同，进行切割；</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②预煮：将切割完成的产品煮沸，撇去浮沫；</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③卤制：将预煮完成的产品放入夹层锅，加入调味品浸煮；</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④冷却：将卤制完成的产品捞出冷却后，转入内包间；</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⑤精细整形：冷却结束后，对各类产品进行精细整形；</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⑥杀菌：将真空包装好的肉袋放入灭菌架，将灭菌架放入灭菌锅内灭菌；</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⑦检验：灭菌出锅后用冷水冲淋，冷却至室温转入37℃恒温观察3-5d，攒观察期间涨袋的视为不合格品，不合格品进行再次杀菌检验包装，合格品进入成品包装间；</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⑧包装：产品要求无涨袋、无漏气、无重量异常、无杂物等，合格产品装入外包装袋，封口打标包装后，送入保鲜库。</w:t>
      </w:r>
    </w:p>
    <w:p>
      <w:pPr>
        <w:pStyle w:val="6"/>
        <w:bidi w:val="0"/>
        <w:rPr>
          <w:rFonts w:hint="eastAsia"/>
          <w:lang w:val="en-US" w:eastAsia="zh-CN"/>
        </w:rPr>
      </w:pPr>
      <w:r>
        <w:rPr>
          <w:rFonts w:hint="eastAsia"/>
          <w:lang w:val="en-US" w:eastAsia="zh-CN"/>
        </w:rPr>
        <w:t>2.9.4、5000头肉牛繁育基地基础设施建设项目</w:t>
      </w:r>
    </w:p>
    <w:p>
      <w:pPr>
        <w:bidi w:val="0"/>
        <w:rPr>
          <w:rFonts w:hint="default"/>
          <w:lang w:val="en-US" w:eastAsia="zh-CN"/>
        </w:rPr>
      </w:pPr>
      <w:r>
        <w:rPr>
          <w:rFonts w:hint="eastAsia"/>
          <w:lang w:val="en-US" w:eastAsia="zh-CN"/>
        </w:rPr>
        <w:t>该项目主要涉及有肉牛标准化饲养、牛粗饲料的生产、牛精饲料的生产，具体的工艺流程如下：</w:t>
      </w:r>
    </w:p>
    <w:p>
      <w:pPr>
        <w:adjustRightInd w:val="0"/>
        <w:snapToGrid w:val="0"/>
        <w:spacing w:line="460" w:lineRule="exact"/>
        <w:ind w:firstLine="482" w:firstLineChars="200"/>
        <w:rPr>
          <w:rFonts w:hint="default"/>
          <w:b w:val="0"/>
          <w:bCs w:val="0"/>
          <w:color w:val="auto"/>
          <w:sz w:val="24"/>
          <w:szCs w:val="24"/>
          <w:lang w:val="en-US" w:eastAsia="zh-CN"/>
        </w:rPr>
      </w:pPr>
      <w:r>
        <w:rPr>
          <w:rFonts w:hint="eastAsia"/>
          <w:b/>
          <w:bCs/>
          <w:color w:val="auto"/>
          <w:sz w:val="24"/>
          <w:szCs w:val="24"/>
          <w:lang w:val="en-US" w:eastAsia="zh-CN"/>
        </w:rPr>
        <w:t>1、肉牛标准化饲养工艺流程及产污环节</w:t>
      </w:r>
    </w:p>
    <w:p>
      <w:pPr>
        <w:adjustRightInd w:val="0"/>
        <w:snapToGrid w:val="0"/>
        <w:spacing w:line="460" w:lineRule="exact"/>
        <w:ind w:firstLine="480" w:firstLineChars="200"/>
        <w:rPr>
          <w:rFonts w:hint="eastAsia"/>
          <w:b w:val="0"/>
          <w:bCs w:val="0"/>
          <w:color w:val="auto"/>
          <w:sz w:val="24"/>
          <w:szCs w:val="24"/>
          <w:lang w:val="en-US" w:eastAsia="zh-CN"/>
        </w:rPr>
      </w:pPr>
      <w:r>
        <w:rPr>
          <w:rFonts w:hint="eastAsia"/>
          <w:b w:val="0"/>
          <w:bCs w:val="0"/>
          <w:color w:val="auto"/>
          <w:sz w:val="24"/>
          <w:szCs w:val="24"/>
          <w:lang w:val="en-US" w:eastAsia="zh-CN"/>
        </w:rPr>
        <w:t>根据现场调查，本项目饲养的全部为公牛，不饲养母牛，因此无分娩废物产生，具体的工艺流程详见下图。</w:t>
      </w:r>
    </w:p>
    <w:p>
      <w:pPr>
        <w:bidi w:val="0"/>
        <w:jc w:val="center"/>
        <w:rPr>
          <w:rFonts w:hint="eastAsia"/>
          <w:lang w:val="en-US" w:eastAsia="zh-CN"/>
        </w:rPr>
      </w:pPr>
      <w:r>
        <w:rPr>
          <w:rFonts w:hint="eastAsia"/>
          <w:lang w:val="en-US" w:eastAsia="zh-CN"/>
        </w:rPr>
        <w:object>
          <v:shape id="_x0000_i1027" o:spt="75" type="#_x0000_t75" style="height:61.85pt;width:283.3pt;" o:ole="t" filled="f" o:preferrelative="t" stroked="f" coordsize="21600,21600">
            <v:path/>
            <v:fill on="f" focussize="0,0"/>
            <v:stroke on="f"/>
            <v:imagedata r:id="rId25" o:title=""/>
            <o:lock v:ext="edit" aspectratio="f"/>
            <w10:wrap type="none"/>
            <w10:anchorlock/>
          </v:shape>
          <o:OLEObject Type="Embed" ProgID="Visio.Drawing.15" ShapeID="_x0000_i1027" DrawAspect="Content" ObjectID="_1468075727" r:id="rId24">
            <o:LockedField>false</o:LockedField>
          </o:OLEObject>
        </w:object>
      </w:r>
    </w:p>
    <w:p>
      <w:pPr>
        <w:adjustRightInd w:val="0"/>
        <w:snapToGrid w:val="0"/>
        <w:spacing w:line="460" w:lineRule="exact"/>
        <w:ind w:firstLine="482" w:firstLineChars="200"/>
        <w:jc w:val="center"/>
        <w:rPr>
          <w:rFonts w:hint="default"/>
          <w:b w:val="0"/>
          <w:bCs w:val="0"/>
          <w:color w:val="auto"/>
          <w:sz w:val="24"/>
          <w:szCs w:val="24"/>
          <w:lang w:val="en-US" w:eastAsia="zh-CN"/>
        </w:rPr>
      </w:pPr>
      <w:r>
        <w:rPr>
          <w:rFonts w:hint="eastAsia"/>
          <w:b/>
          <w:bCs/>
          <w:color w:val="auto"/>
          <w:sz w:val="24"/>
          <w:szCs w:val="24"/>
          <w:lang w:val="en-US" w:eastAsia="zh-CN"/>
        </w:rPr>
        <w:t>图2-6    肉牛标准化饲养工艺流程及产物环节图</w:t>
      </w:r>
    </w:p>
    <w:p>
      <w:pPr>
        <w:spacing w:line="500" w:lineRule="exact"/>
        <w:ind w:firstLine="482" w:firstLineChars="200"/>
        <w:rPr>
          <w:rFonts w:hint="default" w:ascii="Times New Roman" w:hAnsi="Times New Roman" w:cs="Times New Roman"/>
          <w:color w:val="auto"/>
          <w:sz w:val="24"/>
          <w:lang w:val="en-US" w:eastAsia="zh-CN"/>
        </w:rPr>
      </w:pPr>
      <w:r>
        <w:rPr>
          <w:rFonts w:hint="default" w:ascii="Times New Roman" w:hAnsi="Times New Roman" w:cs="Times New Roman"/>
          <w:b/>
          <w:bCs/>
          <w:color w:val="auto"/>
          <w:sz w:val="24"/>
          <w:lang w:val="en-US" w:eastAsia="zh-CN"/>
        </w:rPr>
        <w:t>肉牛标准化饲养工艺流程简述</w:t>
      </w:r>
      <w:r>
        <w:rPr>
          <w:rFonts w:hint="eastAsia" w:ascii="Times New Roman" w:hAnsi="Times New Roman" w:cs="Times New Roman"/>
          <w:b/>
          <w:bCs/>
          <w:color w:val="auto"/>
          <w:sz w:val="24"/>
          <w:lang w:val="en-US" w:eastAsia="zh-CN"/>
        </w:rPr>
        <w:t>：</w:t>
      </w:r>
    </w:p>
    <w:p>
      <w:pPr>
        <w:spacing w:line="500" w:lineRule="exact"/>
        <w:ind w:firstLine="482" w:firstLineChars="200"/>
        <w:rPr>
          <w:rFonts w:hint="default" w:ascii="Times New Roman" w:hAnsi="Times New Roman" w:cs="Times New Roman"/>
          <w:color w:val="auto"/>
          <w:sz w:val="24"/>
          <w:lang w:val="en-US" w:eastAsia="zh-CN"/>
        </w:rPr>
      </w:pPr>
      <w:r>
        <w:rPr>
          <w:rFonts w:hint="default" w:ascii="Times New Roman" w:hAnsi="Times New Roman" w:cs="Times New Roman"/>
          <w:b/>
          <w:bCs/>
          <w:sz w:val="24"/>
          <w:szCs w:val="24"/>
        </w:rPr>
        <w:t>①</w:t>
      </w:r>
      <w:r>
        <w:rPr>
          <w:rFonts w:hint="default" w:ascii="Times New Roman" w:hAnsi="Times New Roman" w:cs="Times New Roman"/>
          <w:b/>
          <w:bCs/>
          <w:color w:val="auto"/>
          <w:sz w:val="24"/>
          <w:lang w:val="en-US" w:eastAsia="zh-CN"/>
        </w:rPr>
        <w:t>外购架子牛</w:t>
      </w:r>
      <w:r>
        <w:rPr>
          <w:rFonts w:hint="default" w:ascii="Times New Roman" w:hAnsi="Times New Roman" w:cs="Times New Roman"/>
          <w:color w:val="auto"/>
          <w:sz w:val="24"/>
          <w:lang w:val="en-US" w:eastAsia="zh-CN"/>
        </w:rPr>
        <w:t>：肉牛品种选择我省西蒙塔尔、皮尔蒙特、夏洛莱牛等肉用公牛与本地黄牛母牛杂交后代为主，年龄要求为：2~2.5岁的良种黄牛、1~1.5岁公牛以及2~2.5岁阉牛、母牛进行育肥；适当组织少量犊牛合计10000头进行育肥。肉牛外购，必须在非疫区收购，购买时须经当地兽医部门检疫合格，签发检疫证明，同时对购入肉牛进行消毒、驱虫和注射疫苗后方可引入厂内；</w:t>
      </w:r>
    </w:p>
    <w:p>
      <w:pPr>
        <w:spacing w:line="500" w:lineRule="exact"/>
        <w:ind w:firstLine="482" w:firstLineChars="200"/>
        <w:rPr>
          <w:rFonts w:hint="default" w:ascii="Times New Roman" w:hAnsi="Times New Roman" w:cs="Times New Roman"/>
          <w:color w:val="auto"/>
          <w:sz w:val="24"/>
          <w:lang w:val="en-US" w:eastAsia="zh-CN"/>
        </w:rPr>
      </w:pPr>
      <w:r>
        <w:rPr>
          <w:rFonts w:hint="default" w:ascii="Times New Roman" w:hAnsi="Times New Roman" w:cs="Times New Roman"/>
          <w:b/>
          <w:bCs/>
          <w:sz w:val="24"/>
          <w:szCs w:val="24"/>
        </w:rPr>
        <w:t>②</w:t>
      </w:r>
      <w:r>
        <w:rPr>
          <w:rFonts w:hint="default" w:ascii="Times New Roman" w:hAnsi="Times New Roman" w:cs="Times New Roman"/>
          <w:b/>
          <w:bCs/>
          <w:color w:val="auto"/>
          <w:sz w:val="24"/>
          <w:lang w:val="en-US" w:eastAsia="zh-CN"/>
        </w:rPr>
        <w:t>强度育肥</w:t>
      </w:r>
      <w:r>
        <w:rPr>
          <w:rFonts w:hint="default" w:ascii="Times New Roman" w:hAnsi="Times New Roman" w:cs="Times New Roman"/>
          <w:color w:val="auto"/>
          <w:sz w:val="24"/>
          <w:lang w:val="en-US" w:eastAsia="zh-CN"/>
        </w:rPr>
        <w:t>：对购入肉牛实行围栏饲养，日粮以精料为主，草料为辅，进行为期120d的轻度育肥，日喂三次，先草后料，再饮水；在育肥期所用饲料必须是品质较好的，对改进胴体品质有利的饲料，各种精饲料原料如玉米、高梁、大麦、饼粕类、糠麸类须经仔细检查，不能潮湿发霉，也不允许长虫或鼠咬。否则，将影响牛的采食量和健康。精料加工不宜过细，呈碎片状为好，有利于牛的消化吸收。优质青粗饲料包括正确调制的青贮玉米秸杆，晒制的青干草，新鲜的糟渣等。作物秸杆中豆秸、干玉米秸等营养价值较高，而麦秸、稻草要求经过氨化处理或机械打碎，否则利用率很低，影响牛的采食量。</w:t>
      </w:r>
    </w:p>
    <w:p>
      <w:pPr>
        <w:adjustRightInd w:val="0"/>
        <w:snapToGrid w:val="0"/>
        <w:spacing w:line="460" w:lineRule="exact"/>
        <w:ind w:firstLine="482" w:firstLineChars="200"/>
        <w:rPr>
          <w:rFonts w:hint="eastAsia"/>
          <w:b w:val="0"/>
          <w:bCs w:val="0"/>
          <w:color w:val="auto"/>
          <w:sz w:val="24"/>
          <w:szCs w:val="24"/>
          <w:lang w:val="en-US" w:eastAsia="zh-CN"/>
        </w:rPr>
      </w:pPr>
      <w:r>
        <w:rPr>
          <w:rFonts w:hint="default" w:ascii="Times New Roman" w:hAnsi="Times New Roman" w:cs="Times New Roman"/>
          <w:b/>
          <w:bCs/>
          <w:sz w:val="24"/>
          <w:szCs w:val="24"/>
        </w:rPr>
        <w:t>③</w:t>
      </w:r>
      <w:r>
        <w:rPr>
          <w:rFonts w:hint="default" w:ascii="Times New Roman" w:hAnsi="Times New Roman" w:cs="Times New Roman"/>
          <w:b/>
          <w:bCs/>
          <w:color w:val="auto"/>
          <w:sz w:val="24"/>
          <w:lang w:val="en-US" w:eastAsia="zh-CN"/>
        </w:rPr>
        <w:t>育肥结束</w:t>
      </w:r>
      <w:r>
        <w:rPr>
          <w:rFonts w:hint="default" w:ascii="Times New Roman" w:hAnsi="Times New Roman" w:cs="Times New Roman"/>
          <w:color w:val="auto"/>
          <w:sz w:val="24"/>
          <w:lang w:val="en-US" w:eastAsia="zh-CN"/>
        </w:rPr>
        <w:t>：育肥默契肉牛体重应达到600kg以上，以保证牛肉的多汁性、大理石纹理结构以及嫩度，整个饲养过程采取</w:t>
      </w:r>
      <w:r>
        <w:rPr>
          <w:rFonts w:hint="default" w:ascii="Times New Roman" w:hAnsi="Times New Roman" w:eastAsia="宋体" w:cs="Times New Roman"/>
          <w:color w:val="auto"/>
          <w:sz w:val="24"/>
          <w:lang w:val="en-US" w:eastAsia="zh-CN"/>
        </w:rPr>
        <w:t>“分群定养、全进全出”</w:t>
      </w:r>
      <w:r>
        <w:rPr>
          <w:rFonts w:hint="default" w:ascii="Times New Roman" w:hAnsi="Times New Roman" w:cs="Times New Roman"/>
          <w:color w:val="auto"/>
          <w:sz w:val="24"/>
          <w:lang w:val="en-US" w:eastAsia="zh-CN"/>
        </w:rPr>
        <w:t>的办法，整批进牛，整批出售（屠宰加工）；</w:t>
      </w:r>
    </w:p>
    <w:p>
      <w:pPr>
        <w:spacing w:line="500" w:lineRule="exact"/>
        <w:ind w:firstLine="482" w:firstLineChars="200"/>
        <w:rPr>
          <w:rFonts w:hint="default" w:ascii="Times New Roman" w:hAnsi="Times New Roman" w:cs="Times New Roman"/>
          <w:b/>
          <w:bCs/>
          <w:color w:val="auto"/>
          <w:sz w:val="24"/>
          <w:lang w:val="en-US" w:eastAsia="zh-CN"/>
        </w:rPr>
      </w:pPr>
      <w:bookmarkStart w:id="438" w:name="_Toc506091362"/>
      <w:r>
        <w:rPr>
          <w:rFonts w:hint="eastAsia" w:cs="Times New Roman"/>
          <w:b/>
          <w:bCs/>
          <w:color w:val="auto"/>
          <w:sz w:val="24"/>
          <w:lang w:val="en-US" w:eastAsia="zh-CN"/>
        </w:rPr>
        <w:t>2、</w:t>
      </w:r>
      <w:r>
        <w:rPr>
          <w:rFonts w:hint="default" w:ascii="Times New Roman" w:hAnsi="Times New Roman" w:cs="Times New Roman"/>
          <w:b/>
          <w:bCs/>
          <w:color w:val="auto"/>
          <w:sz w:val="24"/>
          <w:lang w:val="en-US" w:eastAsia="zh-CN"/>
        </w:rPr>
        <w:t>粗饲料（青贮饲料）加工</w:t>
      </w:r>
      <w:bookmarkEnd w:id="438"/>
      <w:r>
        <w:rPr>
          <w:rFonts w:hint="default" w:ascii="Times New Roman" w:hAnsi="Times New Roman" w:cs="Times New Roman"/>
          <w:b/>
          <w:bCs/>
          <w:color w:val="auto"/>
          <w:sz w:val="24"/>
          <w:lang w:val="en-US" w:eastAsia="zh-CN"/>
        </w:rPr>
        <w:t>：</w:t>
      </w:r>
    </w:p>
    <w:p>
      <w:pPr>
        <w:adjustRightInd w:val="0"/>
        <w:snapToGrid w:val="0"/>
        <w:spacing w:line="460" w:lineRule="exact"/>
        <w:ind w:firstLine="480" w:firstLineChars="200"/>
        <w:rPr>
          <w:rFonts w:hint="eastAsia"/>
          <w:b w:val="0"/>
          <w:bCs w:val="0"/>
          <w:color w:val="auto"/>
          <w:sz w:val="24"/>
          <w:szCs w:val="24"/>
          <w:lang w:val="en-US" w:eastAsia="zh-CN"/>
        </w:rPr>
      </w:pPr>
      <w:r>
        <w:rPr>
          <w:rFonts w:hint="default" w:ascii="Times New Roman" w:hAnsi="Times New Roman" w:cs="Times New Roman"/>
          <w:color w:val="auto"/>
          <w:sz w:val="24"/>
          <w:lang w:val="en-US" w:eastAsia="zh-CN"/>
        </w:rPr>
        <w:t>粗饲料</w:t>
      </w:r>
      <w:r>
        <w:rPr>
          <w:rFonts w:hint="eastAsia" w:ascii="Times New Roman" w:hAnsi="Times New Roman" w:cs="Times New Roman"/>
          <w:color w:val="auto"/>
          <w:sz w:val="24"/>
          <w:lang w:val="en-US" w:eastAsia="zh-CN"/>
        </w:rPr>
        <w:t>加工</w:t>
      </w:r>
      <w:r>
        <w:rPr>
          <w:rFonts w:hint="default" w:ascii="Times New Roman" w:hAnsi="Times New Roman" w:cs="Times New Roman"/>
          <w:color w:val="auto"/>
          <w:sz w:val="24"/>
          <w:lang w:val="en-US" w:eastAsia="zh-CN"/>
        </w:rPr>
        <w:t>工艺流程如下：</w:t>
      </w:r>
    </w:p>
    <w:p>
      <w:pPr>
        <w:bidi w:val="0"/>
        <w:jc w:val="center"/>
        <w:rPr>
          <w:rFonts w:hint="eastAsia"/>
          <w:lang w:val="en-US" w:eastAsia="zh-CN"/>
        </w:rPr>
      </w:pPr>
      <w:r>
        <w:rPr>
          <w:rFonts w:hint="eastAsia"/>
          <w:lang w:val="en-US" w:eastAsia="zh-CN"/>
        </w:rPr>
        <w:object>
          <v:shape id="_x0000_i1028" o:spt="75" type="#_x0000_t75" style="height:416.35pt;width:313.4pt;" o:ole="t" filled="f" o:preferrelative="t" stroked="f" coordsize="21600,21600">
            <v:path/>
            <v:fill on="f" focussize="0,0"/>
            <v:stroke on="f"/>
            <v:imagedata r:id="rId27" o:title=""/>
            <o:lock v:ext="edit" aspectratio="f"/>
            <w10:wrap type="none"/>
            <w10:anchorlock/>
          </v:shape>
          <o:OLEObject Type="Embed" ProgID="Visio.Drawing.15" ShapeID="_x0000_i1028" DrawAspect="Content" ObjectID="_1468075728" r:id="rId26">
            <o:LockedField>false</o:LockedField>
          </o:OLEObject>
        </w:object>
      </w:r>
    </w:p>
    <w:p>
      <w:pPr>
        <w:bidi w:val="0"/>
        <w:jc w:val="center"/>
        <w:rPr>
          <w:rFonts w:hint="default"/>
          <w:b/>
          <w:bCs/>
          <w:lang w:val="en-US" w:eastAsia="zh-CN"/>
        </w:rPr>
      </w:pPr>
      <w:r>
        <w:rPr>
          <w:rFonts w:hint="eastAsia"/>
          <w:b/>
          <w:bCs/>
          <w:lang w:val="en-US" w:eastAsia="zh-CN"/>
        </w:rPr>
        <w:t>图</w:t>
      </w:r>
      <w:r>
        <w:rPr>
          <w:rFonts w:hint="eastAsia"/>
          <w:b/>
          <w:bCs/>
          <w:color w:val="auto"/>
          <w:sz w:val="24"/>
          <w:szCs w:val="24"/>
          <w:lang w:val="en-US" w:eastAsia="zh-CN"/>
        </w:rPr>
        <w:t>2-7</w:t>
      </w:r>
      <w:r>
        <w:rPr>
          <w:rFonts w:hint="eastAsia"/>
          <w:b/>
          <w:bCs/>
          <w:lang w:val="en-US" w:eastAsia="zh-CN"/>
        </w:rPr>
        <w:t xml:space="preserve">    </w:t>
      </w:r>
      <w:r>
        <w:rPr>
          <w:rFonts w:hint="default" w:ascii="Times New Roman" w:hAnsi="Times New Roman" w:cs="Times New Roman"/>
          <w:b/>
          <w:bCs/>
          <w:color w:val="auto"/>
          <w:sz w:val="24"/>
          <w:lang w:val="en-US" w:eastAsia="zh-CN"/>
        </w:rPr>
        <w:t>粗饲料（青贮饲料）加工</w:t>
      </w:r>
      <w:r>
        <w:rPr>
          <w:rFonts w:hint="eastAsia" w:ascii="Times New Roman" w:hAnsi="Times New Roman" w:cs="Times New Roman"/>
          <w:b/>
          <w:bCs/>
          <w:color w:val="auto"/>
          <w:sz w:val="24"/>
          <w:lang w:val="en-US" w:eastAsia="zh-CN"/>
        </w:rPr>
        <w:t>生产工艺流程及产物环节图</w:t>
      </w:r>
    </w:p>
    <w:p>
      <w:pPr>
        <w:bidi w:val="0"/>
        <w:rPr>
          <w:rFonts w:hint="default"/>
          <w:lang w:val="en-US" w:eastAsia="zh-CN"/>
        </w:rPr>
      </w:pPr>
      <w:r>
        <w:rPr>
          <w:rFonts w:hint="default" w:ascii="Times New Roman" w:hAnsi="Times New Roman" w:cs="Times New Roman"/>
          <w:b/>
          <w:bCs/>
          <w:color w:val="auto"/>
          <w:sz w:val="24"/>
          <w:lang w:val="en-US" w:eastAsia="zh-CN"/>
        </w:rPr>
        <w:t>粗饲料加工</w:t>
      </w:r>
      <w:r>
        <w:rPr>
          <w:rFonts w:hint="default"/>
          <w:b/>
          <w:bCs/>
          <w:lang w:val="en-US" w:eastAsia="zh-CN"/>
        </w:rPr>
        <w:t>工艺流程简述</w:t>
      </w:r>
      <w:r>
        <w:rPr>
          <w:rFonts w:hint="eastAsia"/>
          <w:b/>
          <w:bCs/>
          <w:lang w:val="en-US" w:eastAsia="zh-CN"/>
        </w:rPr>
        <w:t>：</w:t>
      </w:r>
    </w:p>
    <w:p>
      <w:pPr>
        <w:bidi w:val="0"/>
        <w:rPr>
          <w:rFonts w:hint="default"/>
          <w:lang w:val="en-US" w:eastAsia="zh-CN"/>
        </w:rPr>
      </w:pPr>
      <w:bookmarkStart w:id="439" w:name="_Toc25926_WPSOffice_Level2"/>
      <w:bookmarkStart w:id="440" w:name="_Toc24666_WPSOffice_Level2"/>
      <w:r>
        <w:rPr>
          <w:rFonts w:hint="default"/>
          <w:b/>
          <w:bCs/>
          <w:lang w:val="en-US" w:eastAsia="zh-CN"/>
        </w:rPr>
        <w:t>①原料的适时刈割</w:t>
      </w:r>
      <w:bookmarkEnd w:id="439"/>
      <w:bookmarkEnd w:id="440"/>
      <w:r>
        <w:rPr>
          <w:rFonts w:hint="eastAsia"/>
          <w:b/>
          <w:bCs/>
          <w:lang w:val="en-US" w:eastAsia="zh-CN"/>
        </w:rPr>
        <w:t>：</w:t>
      </w:r>
      <w:r>
        <w:rPr>
          <w:rFonts w:hint="default"/>
          <w:lang w:val="en-US" w:eastAsia="zh-CN"/>
        </w:rPr>
        <w:t>优质的青贮原料是调制优良青贮饲料的物质基础。适期刈割不但植株的水分和碳水化合物含量适当，而且可从单位面积上获得最高的干物质产量和最高的营养利用率，从而增加家畜的采食量，提高饲草的营养价值。整株玉米青贮应在乳熟初期至蜡熟期，即干物质含量为25~35%时收割青贮最好，收获后的玉米秸秆青贮，宜在玉米果穗成熟收获后，立即收割玉米秸秆青贮。</w:t>
      </w:r>
    </w:p>
    <w:p>
      <w:pPr>
        <w:bidi w:val="0"/>
        <w:rPr>
          <w:rFonts w:hint="default"/>
          <w:lang w:val="en-US" w:eastAsia="zh-CN"/>
        </w:rPr>
      </w:pPr>
      <w:bookmarkStart w:id="441" w:name="_Toc7021_WPSOffice_Level2"/>
      <w:bookmarkStart w:id="442" w:name="_Toc24321_WPSOffice_Level2"/>
      <w:r>
        <w:rPr>
          <w:rFonts w:hint="default"/>
          <w:b/>
          <w:bCs/>
          <w:lang w:val="en-US" w:eastAsia="zh-CN"/>
        </w:rPr>
        <w:t>②调节水分含量</w:t>
      </w:r>
      <w:bookmarkEnd w:id="441"/>
      <w:bookmarkEnd w:id="442"/>
      <w:r>
        <w:rPr>
          <w:rFonts w:hint="eastAsia"/>
          <w:b/>
          <w:bCs/>
          <w:lang w:val="en-US" w:eastAsia="zh-CN"/>
        </w:rPr>
        <w:t>：</w:t>
      </w:r>
      <w:r>
        <w:rPr>
          <w:rFonts w:hint="default"/>
          <w:lang w:val="en-US" w:eastAsia="zh-CN"/>
        </w:rPr>
        <w:t>青贮原料的水分含量是决定青贮成败最重要的因素之一。一般调制青贮饲料时适宜水量为70%左右。刚刈割后飞原料水分含量较高，可加入甘草、秸秆等或稍加晾晒以降低水分含量；谷物秸秆青贮时含水量低，可加水或与嫩绿新割的原料混合填装，以调节水分含量。测定青贮原料含水量，一般是以手抓法估测。（即将铡碎的不超过1cm原料在手里握成团，若草团慢慢散开，且无汁液或渗出很少的汁液，含水量即在70%左右。</w:t>
      </w:r>
    </w:p>
    <w:p>
      <w:pPr>
        <w:bidi w:val="0"/>
        <w:rPr>
          <w:rFonts w:hint="default"/>
          <w:lang w:val="en-US" w:eastAsia="zh-CN"/>
        </w:rPr>
      </w:pPr>
      <w:bookmarkStart w:id="443" w:name="_Toc18567_WPSOffice_Level2"/>
      <w:bookmarkStart w:id="444" w:name="_Toc25418_WPSOffice_Level2"/>
      <w:r>
        <w:rPr>
          <w:rFonts w:hint="default"/>
          <w:b/>
          <w:bCs/>
          <w:lang w:val="en-US" w:eastAsia="zh-CN"/>
        </w:rPr>
        <w:t>③切碎</w:t>
      </w:r>
      <w:bookmarkEnd w:id="443"/>
      <w:bookmarkEnd w:id="444"/>
      <w:r>
        <w:rPr>
          <w:rFonts w:hint="eastAsia"/>
          <w:b/>
          <w:bCs/>
          <w:lang w:val="en-US" w:eastAsia="zh-CN"/>
        </w:rPr>
        <w:t>：</w:t>
      </w:r>
      <w:r>
        <w:rPr>
          <w:rFonts w:hint="default"/>
          <w:lang w:val="en-US" w:eastAsia="zh-CN"/>
        </w:rPr>
        <w:t>一般玉米秸秆青贮时原料必须切碎，因为切碎除了便于压实外，还有利于汁液渗出润湿其表面，加速乳酸菌的繁殖，另外还有利于家畜采食，提高消化率。有试验表明，青贮原料切的越短，青贮饲料的品质越好，牛的采食率可以提高一倍，从而提高秸秆的利用率。</w:t>
      </w:r>
    </w:p>
    <w:p>
      <w:pPr>
        <w:bidi w:val="0"/>
        <w:rPr>
          <w:rFonts w:hint="default"/>
          <w:lang w:val="en-US" w:eastAsia="zh-CN"/>
        </w:rPr>
      </w:pPr>
      <w:bookmarkStart w:id="445" w:name="_Toc18107_WPSOffice_Level2"/>
      <w:bookmarkStart w:id="446" w:name="_Toc7468_WPSOffice_Level2"/>
      <w:r>
        <w:rPr>
          <w:rFonts w:hint="default" w:ascii="Times New Roman" w:hAnsi="Times New Roman" w:cs="Times New Roman"/>
          <w:b/>
          <w:bCs/>
          <w:lang w:val="en-US" w:eastAsia="zh-CN"/>
        </w:rPr>
        <w:t>④</w:t>
      </w:r>
      <w:r>
        <w:rPr>
          <w:rFonts w:hint="default"/>
          <w:b/>
          <w:bCs/>
          <w:lang w:val="en-US" w:eastAsia="zh-CN"/>
        </w:rPr>
        <w:t>填装与压实</w:t>
      </w:r>
      <w:bookmarkEnd w:id="445"/>
      <w:bookmarkEnd w:id="446"/>
      <w:r>
        <w:rPr>
          <w:rFonts w:hint="eastAsia"/>
          <w:b/>
          <w:bCs/>
          <w:lang w:val="en-US" w:eastAsia="zh-CN"/>
        </w:rPr>
        <w:t>：</w:t>
      </w:r>
      <w:r>
        <w:rPr>
          <w:rFonts w:hint="default"/>
          <w:lang w:val="en-US" w:eastAsia="zh-CN"/>
        </w:rPr>
        <w:t>青贮原料应随时切碎，随时装贮。如果在池外的时间放置过久，易发热霉烂。压实的作用是排出空气，为青贮池创造厌气乳酸菌发酵的条件。青贮原料装填越紧密，空气排出越彻底，青贮的质量越好。装填最重要的一项是要层层压实，每层装15-20cm厚，立即踩实，然后再继续填装。填装时还应特别注意四角和靠壁处的压实，要达到压实后没有弹力的程度。</w:t>
      </w:r>
    </w:p>
    <w:p>
      <w:pPr>
        <w:bidi w:val="0"/>
        <w:rPr>
          <w:rFonts w:hint="default"/>
          <w:lang w:val="en-US" w:eastAsia="zh-CN"/>
        </w:rPr>
      </w:pPr>
      <w:bookmarkStart w:id="447" w:name="_Toc17739_WPSOffice_Level2"/>
      <w:bookmarkStart w:id="448" w:name="_Toc7943_WPSOffice_Level2"/>
      <w:r>
        <w:rPr>
          <w:rFonts w:hint="default" w:ascii="Times New Roman" w:hAnsi="Times New Roman" w:cs="Times New Roman"/>
          <w:b/>
          <w:bCs/>
          <w:lang w:val="en-US" w:eastAsia="zh-CN"/>
        </w:rPr>
        <w:t>⑤</w:t>
      </w:r>
      <w:r>
        <w:rPr>
          <w:rFonts w:hint="default"/>
          <w:b/>
          <w:bCs/>
          <w:lang w:val="en-US" w:eastAsia="zh-CN"/>
        </w:rPr>
        <w:t>密封</w:t>
      </w:r>
      <w:bookmarkEnd w:id="447"/>
      <w:bookmarkEnd w:id="448"/>
      <w:r>
        <w:rPr>
          <w:rFonts w:hint="eastAsia"/>
          <w:b/>
          <w:bCs/>
          <w:lang w:val="en-US" w:eastAsia="zh-CN"/>
        </w:rPr>
        <w:t>：</w:t>
      </w:r>
      <w:r>
        <w:rPr>
          <w:rFonts w:hint="default"/>
          <w:lang w:val="en-US" w:eastAsia="zh-CN"/>
        </w:rPr>
        <w:t>严密封窖池、防止漏水漏气是调制优良青贮饲料的重要环节。如果在填装后拖延封窖，会导致青贮料品质降低，增加干物质损失量，因此，应尽量做到边装窖、边踩实、及时封窖。一般应将原料装至高出窖口70cm左右，再用塑料膜盖严后，用土覆盖30-50cm，窖顶呈馒头状或屋脊型，不漏气，有利于排水。为防止雨水渗入窖内，最好在窖周距离1m的地方挖排水沟，另外应经常检查窖顶是否有裂缝或破损，如果发现应及时修复，该项目为了提高玉米青贮草的质量，除了采用大型揉丝机加快揉丝和青贮的速度之外，还采用联合收割机进行机械收割，这种机械收割可以将刈割和揉丝在收割过程中同时完成，从收割机出来的即是揉丝好的玉米秸秆，直接进行青贮环节，机械收割与揉丝的应用，使收割速度大幅度提升的同时，玉米秸秆的营养也得到最大限度的保存，从而可以提高青贮玉米秸秆的营养价值和质量。</w:t>
      </w:r>
    </w:p>
    <w:p>
      <w:pPr>
        <w:bidi w:val="0"/>
        <w:rPr>
          <w:rFonts w:hint="default"/>
          <w:lang w:val="en-US" w:eastAsia="zh-CN"/>
        </w:rPr>
      </w:pPr>
      <w:bookmarkStart w:id="449" w:name="_Toc360_WPSOffice_Level2"/>
      <w:bookmarkStart w:id="450" w:name="_Toc13078_WPSOffice_Level2"/>
      <w:r>
        <w:rPr>
          <w:rFonts w:hint="default" w:ascii="Times New Roman" w:hAnsi="Times New Roman" w:cs="Times New Roman"/>
          <w:b/>
          <w:bCs/>
          <w:lang w:val="en-US" w:eastAsia="zh-CN"/>
        </w:rPr>
        <w:t>⑥</w:t>
      </w:r>
      <w:r>
        <w:rPr>
          <w:rFonts w:hint="default"/>
          <w:b/>
          <w:bCs/>
          <w:lang w:val="en-US" w:eastAsia="zh-CN"/>
        </w:rPr>
        <w:t>氨化发酵</w:t>
      </w:r>
      <w:bookmarkEnd w:id="449"/>
      <w:bookmarkEnd w:id="450"/>
      <w:r>
        <w:rPr>
          <w:rFonts w:hint="eastAsia"/>
          <w:b/>
          <w:bCs/>
          <w:lang w:val="en-US" w:eastAsia="zh-CN"/>
        </w:rPr>
        <w:t>：</w:t>
      </w:r>
      <w:r>
        <w:rPr>
          <w:rFonts w:hint="default"/>
          <w:lang w:val="en-US" w:eastAsia="zh-CN"/>
        </w:rPr>
        <w:t>由于秸秆中含有大量的粗纤维，直接做饲料适口性差，消化率低。秸秆氨化处理后，粗蛋白含量增加，质地松软，味甘辛，可提高适口性，增加采食量，提高消化率。氨化发酵</w:t>
      </w:r>
      <w:r>
        <w:rPr>
          <w:rFonts w:hint="eastAsia"/>
          <w:lang w:val="en-US" w:eastAsia="zh-CN"/>
        </w:rPr>
        <w:t>时</w:t>
      </w:r>
      <w:r>
        <w:rPr>
          <w:rFonts w:hint="default"/>
          <w:lang w:val="en-US" w:eastAsia="zh-CN"/>
        </w:rPr>
        <w:t>选择平坦场地采用地面堆垛法，并准备好氨化膜。将风干的秸秆用铡草机铡碎成2cm～3cm，加入秸秆重的4%～5％的尿素（15%～16％的碳铵）尿素溶液。将尿素溶液加入秸秆中，并充分搅拌均匀，如果为新鲜秸秆，可直接拌料氨化，如果为风干的秸秆，需加水拌料，用水量为风干秸秆重量的60%～70%然后装入氨化池并踏实。最后用氨化膜密封，四周用土封严，确保不漏气。氨化发酵大致可分为以下三个阶段：</w:t>
      </w:r>
    </w:p>
    <w:p>
      <w:pPr>
        <w:bidi w:val="0"/>
        <w:rPr>
          <w:rFonts w:hint="default"/>
          <w:lang w:val="en-US" w:eastAsia="zh-CN"/>
        </w:rPr>
      </w:pPr>
      <w:r>
        <w:rPr>
          <w:rFonts w:hint="default"/>
          <w:lang w:val="en-US" w:eastAsia="zh-CN"/>
        </w:rPr>
        <w:t>Ⅰ、耗氧发酵期（0.5-1d），将含有一定水分和糖分的秸秆原料装入密闭的容器内，通过呼吸作用，温度上升（52-54℃），原料被压紧后，从切口渗入少量汁液。各种酶和微生物大量活动，产生乳酸和醋酸；</w:t>
      </w:r>
    </w:p>
    <w:p>
      <w:pPr>
        <w:bidi w:val="0"/>
        <w:rPr>
          <w:rFonts w:hint="default"/>
          <w:lang w:val="en-US" w:eastAsia="zh-CN"/>
        </w:rPr>
      </w:pPr>
      <w:r>
        <w:rPr>
          <w:rFonts w:hint="default"/>
          <w:lang w:val="en-US" w:eastAsia="zh-CN"/>
        </w:rPr>
        <w:t>Ⅱ、乳酸菌发酵期（1-7d及8-15d），在1-7d内，青贮容器内氧气逐渐减少，在适宜的湿度和糖度的环境中，乳酸菌大量增殖，生成乳酸，同时产生二氧化碳、乙酸及其他成分。在8-15d里，青贮容器内二氧化碳占相当部分，此时以耐酸、厌氧的乳酸菌为主，pH值下降到4.2以下；</w:t>
      </w:r>
    </w:p>
    <w:p>
      <w:pPr>
        <w:bidi w:val="0"/>
        <w:rPr>
          <w:rFonts w:hint="default"/>
          <w:lang w:val="en-US" w:eastAsia="zh-CN"/>
        </w:rPr>
      </w:pPr>
      <w:r>
        <w:rPr>
          <w:rFonts w:hint="default"/>
          <w:lang w:val="en-US" w:eastAsia="zh-CN"/>
        </w:rPr>
        <w:t>Ⅲ、稳定期（25-35d），在以上正常状态下，青贮容器不出现异常，即没有空气或水分进入，青贮处于稳定期。</w:t>
      </w:r>
    </w:p>
    <w:p>
      <w:pPr>
        <w:bidi w:val="0"/>
        <w:rPr>
          <w:rFonts w:hint="eastAsia"/>
          <w:b w:val="0"/>
          <w:bCs w:val="0"/>
          <w:color w:val="auto"/>
          <w:szCs w:val="24"/>
          <w:lang w:val="en-US" w:eastAsia="zh-CN"/>
        </w:rPr>
      </w:pPr>
      <w:r>
        <w:rPr>
          <w:rFonts w:hint="default"/>
          <w:lang w:val="en-US" w:eastAsia="zh-CN"/>
        </w:rPr>
        <w:t>氨化发酵</w:t>
      </w:r>
      <w:r>
        <w:rPr>
          <w:rFonts w:hint="eastAsia"/>
          <w:lang w:val="en-US" w:eastAsia="zh-CN"/>
        </w:rPr>
        <w:t>后</w:t>
      </w:r>
      <w:r>
        <w:rPr>
          <w:rFonts w:hint="default"/>
          <w:lang w:val="en-US" w:eastAsia="zh-CN"/>
        </w:rPr>
        <w:t>优质氨化秸秆为棕黄色或红褐色，有强烈的氨味，发亮，放氨后呈现香味，质地柔软。开封之后要适当通风散发氨气，饲喂前先让家畜饥一顿，然后混合常规精料进行饲喂，由少到多，饲喂一周后可达全量。</w:t>
      </w:r>
    </w:p>
    <w:p>
      <w:pPr>
        <w:bidi w:val="0"/>
        <w:rPr>
          <w:rFonts w:hint="eastAsia"/>
          <w:lang w:val="en-US" w:eastAsia="zh-CN"/>
        </w:rPr>
      </w:pPr>
      <w:r>
        <w:rPr>
          <w:rFonts w:hint="eastAsia" w:eastAsia="宋体"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精饲料加工</w:t>
      </w:r>
    </w:p>
    <w:p>
      <w:pPr>
        <w:bidi w:val="0"/>
        <w:rPr>
          <w:rFonts w:hint="default" w:ascii="Times New Roman" w:hAnsi="Times New Roman" w:eastAsia="宋体" w:cs="Times New Roman"/>
          <w:b w:val="0"/>
          <w:bCs w:val="0"/>
          <w:color w:val="auto"/>
          <w:kern w:val="2"/>
          <w:sz w:val="24"/>
          <w:szCs w:val="24"/>
          <w:lang w:val="en-US" w:eastAsia="zh-CN" w:bidi="ar-SA"/>
        </w:rPr>
      </w:pPr>
      <w:r>
        <w:rPr>
          <w:rFonts w:hint="default" w:ascii="Times New Roman" w:hAnsi="Times New Roman" w:eastAsia="宋体" w:cs="Times New Roman"/>
          <w:b w:val="0"/>
          <w:bCs w:val="0"/>
          <w:color w:val="auto"/>
          <w:kern w:val="2"/>
          <w:sz w:val="24"/>
          <w:szCs w:val="24"/>
          <w:lang w:val="en-US" w:eastAsia="zh-CN" w:bidi="ar-SA"/>
        </w:rPr>
        <w:t>精饲料生产工艺</w:t>
      </w:r>
      <w:r>
        <w:rPr>
          <w:rFonts w:hint="eastAsia" w:ascii="Times New Roman" w:hAnsi="Times New Roman" w:eastAsia="宋体" w:cs="Times New Roman"/>
          <w:b w:val="0"/>
          <w:bCs w:val="0"/>
          <w:color w:val="auto"/>
          <w:kern w:val="2"/>
          <w:sz w:val="24"/>
          <w:szCs w:val="24"/>
          <w:lang w:val="en-US" w:eastAsia="zh-CN" w:bidi="ar-SA"/>
        </w:rPr>
        <w:t>流程及产污环节</w:t>
      </w:r>
      <w:r>
        <w:rPr>
          <w:rFonts w:hint="default" w:ascii="Times New Roman" w:hAnsi="Times New Roman" w:eastAsia="宋体" w:cs="Times New Roman"/>
          <w:b w:val="0"/>
          <w:bCs w:val="0"/>
          <w:color w:val="auto"/>
          <w:kern w:val="2"/>
          <w:sz w:val="24"/>
          <w:szCs w:val="24"/>
          <w:lang w:val="en-US" w:eastAsia="zh-CN" w:bidi="ar-SA"/>
        </w:rPr>
        <w:t>如下：</w:t>
      </w:r>
    </w:p>
    <w:p>
      <w:pPr>
        <w:bidi w:val="0"/>
        <w:ind w:left="0" w:leftChars="0" w:firstLine="0" w:firstLineChars="0"/>
        <w:jc w:val="center"/>
        <w:rPr>
          <w:rFonts w:hint="eastAsia"/>
          <w:lang w:val="en-US" w:eastAsia="zh-CN"/>
        </w:rPr>
      </w:pPr>
      <w:r>
        <w:rPr>
          <w:rFonts w:hint="eastAsia"/>
          <w:lang w:val="en-US" w:eastAsia="zh-CN"/>
        </w:rPr>
        <w:object>
          <v:shape id="_x0000_i1029" o:spt="75" type="#_x0000_t75" style="height:358.3pt;width:344.95pt;" o:ole="t" filled="f" o:preferrelative="t" stroked="f" coordsize="21600,21600">
            <v:path/>
            <v:fill on="f" focussize="0,0"/>
            <v:stroke on="f"/>
            <v:imagedata r:id="rId29" o:title=""/>
            <o:lock v:ext="edit" aspectratio="f"/>
            <w10:wrap type="none"/>
            <w10:anchorlock/>
          </v:shape>
          <o:OLEObject Type="Embed" ProgID="Visio.Drawing.15" ShapeID="_x0000_i1029" DrawAspect="Content" ObjectID="_1468075729" r:id="rId28">
            <o:LockedField>false</o:LockedField>
          </o:OLEObject>
        </w:object>
      </w:r>
    </w:p>
    <w:p>
      <w:pPr>
        <w:bidi w:val="0"/>
        <w:jc w:val="center"/>
        <w:rPr>
          <w:rFonts w:hint="default"/>
          <w:lang w:val="en-US" w:eastAsia="zh-CN"/>
        </w:rPr>
      </w:pPr>
      <w:r>
        <w:rPr>
          <w:rFonts w:hint="eastAsia"/>
          <w:b/>
          <w:bCs/>
          <w:lang w:val="en-US" w:eastAsia="zh-CN"/>
        </w:rPr>
        <w:t>图</w:t>
      </w:r>
      <w:r>
        <w:rPr>
          <w:rFonts w:hint="eastAsia"/>
          <w:b/>
          <w:bCs/>
          <w:color w:val="auto"/>
          <w:sz w:val="24"/>
          <w:szCs w:val="24"/>
          <w:lang w:val="en-US" w:eastAsia="zh-CN"/>
        </w:rPr>
        <w:t>2-8</w:t>
      </w:r>
      <w:r>
        <w:rPr>
          <w:rFonts w:hint="eastAsia"/>
          <w:b/>
          <w:bCs/>
          <w:lang w:val="en-US" w:eastAsia="zh-CN"/>
        </w:rPr>
        <w:t xml:space="preserve">    </w:t>
      </w:r>
      <w:r>
        <w:rPr>
          <w:rFonts w:hint="default" w:ascii="Times New Roman" w:hAnsi="Times New Roman" w:eastAsia="宋体" w:cs="Times New Roman"/>
          <w:b/>
          <w:bCs/>
          <w:color w:val="auto"/>
          <w:kern w:val="2"/>
          <w:sz w:val="24"/>
          <w:szCs w:val="24"/>
          <w:lang w:val="en-US" w:eastAsia="zh-CN" w:bidi="ar-SA"/>
        </w:rPr>
        <w:t>精饲料生产工艺</w:t>
      </w:r>
      <w:r>
        <w:rPr>
          <w:rFonts w:hint="eastAsia" w:ascii="Times New Roman" w:hAnsi="Times New Roman" w:eastAsia="宋体" w:cs="Times New Roman"/>
          <w:b/>
          <w:bCs/>
          <w:color w:val="auto"/>
          <w:kern w:val="2"/>
          <w:sz w:val="24"/>
          <w:szCs w:val="24"/>
          <w:lang w:val="en-US" w:eastAsia="zh-CN" w:bidi="ar-SA"/>
        </w:rPr>
        <w:t>流程及产物环节图</w:t>
      </w:r>
    </w:p>
    <w:p>
      <w:pPr>
        <w:bidi w:val="0"/>
        <w:rPr>
          <w:rFonts w:hint="eastAsia"/>
          <w:lang w:val="en-US" w:eastAsia="zh-CN"/>
        </w:rPr>
      </w:pPr>
      <w:r>
        <w:rPr>
          <w:rFonts w:hint="default" w:ascii="Times New Roman" w:hAnsi="Times New Roman" w:eastAsia="宋体" w:cs="Times New Roman"/>
          <w:b/>
          <w:bCs/>
          <w:color w:val="auto"/>
          <w:kern w:val="2"/>
          <w:sz w:val="24"/>
          <w:szCs w:val="24"/>
          <w:lang w:val="en-US" w:eastAsia="zh-CN" w:bidi="ar-SA"/>
        </w:rPr>
        <w:t>精饲料生产</w:t>
      </w:r>
      <w:r>
        <w:rPr>
          <w:rFonts w:hint="eastAsia"/>
          <w:b/>
          <w:bCs/>
          <w:lang w:val="en-US" w:eastAsia="zh-CN"/>
        </w:rPr>
        <w:t>工艺流程简述</w:t>
      </w:r>
    </w:p>
    <w:p>
      <w:pPr>
        <w:bidi w:val="0"/>
        <w:rPr>
          <w:rFonts w:hint="eastAsia"/>
          <w:lang w:val="en-US" w:eastAsia="zh-CN"/>
        </w:rPr>
      </w:pPr>
      <w:r>
        <w:rPr>
          <w:rFonts w:hint="default" w:ascii="Times New Roman" w:hAnsi="Times New Roman" w:cs="Times New Roman"/>
          <w:b/>
          <w:bCs/>
          <w:lang w:val="en-US" w:eastAsia="zh-CN"/>
        </w:rPr>
        <w:t>①原</w:t>
      </w:r>
      <w:r>
        <w:rPr>
          <w:rFonts w:hint="eastAsia"/>
          <w:b/>
          <w:bCs/>
          <w:lang w:val="en-US" w:eastAsia="zh-CN"/>
        </w:rPr>
        <w:t>料入库储存：</w:t>
      </w:r>
      <w:r>
        <w:rPr>
          <w:rFonts w:hint="eastAsia"/>
          <w:lang w:val="en-US" w:eastAsia="zh-CN"/>
        </w:rPr>
        <w:t>原料进厂前必须由品管部化验员对原料进行30%取样化验，化验合格后方可进入厂区。不合格的原料直接退货。原料过磅后入库储存，库房收料员核对（化验单）及磅单，品管部取样员再次进行100%取样，合格品由库房组织人力安排收料作业(不合格的原料退货)，液态原料由品管人员检查品质是否正常分别进入不同储存罐。库内原料储存以豆粕，鱼粉，磷酸氢钙为主，玉米进圆筒仓；库外垛位及圆筒仓进行定期通风一般夏季1～2天，春季3～5天，冬季7天以上，通风一次；对圆筒仓、贮油罐每半年清理一次。</w:t>
      </w:r>
    </w:p>
    <w:p>
      <w:pPr>
        <w:bidi w:val="0"/>
        <w:rPr>
          <w:rFonts w:hint="eastAsia"/>
          <w:lang w:val="en-US" w:eastAsia="zh-CN"/>
        </w:rPr>
      </w:pPr>
      <w:r>
        <w:rPr>
          <w:rFonts w:hint="eastAsia"/>
          <w:lang w:val="en-US" w:eastAsia="zh-CN"/>
        </w:rPr>
        <w:t>饲料品质的好坏与原料的品质有直接关系，原料库投料员除必须严格按品管部下料单要求操作外还应及时与生产中控员联系，以便于合理、正确投料。</w:t>
      </w:r>
    </w:p>
    <w:p>
      <w:pPr>
        <w:bidi w:val="0"/>
        <w:rPr>
          <w:rFonts w:hint="eastAsia"/>
          <w:lang w:val="en-US" w:eastAsia="zh-CN"/>
        </w:rPr>
      </w:pPr>
      <w:r>
        <w:rPr>
          <w:rFonts w:hint="eastAsia"/>
          <w:lang w:val="en-US" w:eastAsia="zh-CN"/>
        </w:rPr>
        <w:t xml:space="preserve">原料盘点采用每日盘点和每月盘点两种形式：每日盘点由原料库库管员实施，计算出每日原料损耗量，损耗量过大可及时查找原因，有效控制原料损耗；每月盘点由财务部和生产部一同对库存原料做实际清点，分析每种原料损耗原因，采取解决的办法，然后由财务进行调帐外理。 </w:t>
      </w:r>
    </w:p>
    <w:p>
      <w:pPr>
        <w:bidi w:val="0"/>
        <w:rPr>
          <w:rFonts w:hint="eastAsia"/>
          <w:lang w:val="en-US" w:eastAsia="zh-CN"/>
        </w:rPr>
      </w:pPr>
      <w:r>
        <w:rPr>
          <w:rFonts w:hint="default" w:ascii="Times New Roman" w:hAnsi="Times New Roman" w:cs="Times New Roman"/>
          <w:b/>
          <w:bCs/>
          <w:sz w:val="24"/>
          <w:szCs w:val="24"/>
        </w:rPr>
        <w:t>②</w:t>
      </w:r>
      <w:r>
        <w:rPr>
          <w:rFonts w:hint="eastAsia"/>
          <w:b/>
          <w:bCs/>
          <w:lang w:val="en-US" w:eastAsia="zh-CN"/>
        </w:rPr>
        <w:t>原料的清理：</w:t>
      </w:r>
      <w:r>
        <w:rPr>
          <w:rFonts w:hint="eastAsia"/>
          <w:lang w:val="en-US" w:eastAsia="zh-CN"/>
        </w:rPr>
        <w:t>饲料原料中的杂质，不仅影响饲料产品质量而且直接关系到饲料加工设备及人身安全，影响饲料生产的顺利进行，故应及时清除。清理设备以筛选和磁选设备为主，筛选设备除去原料中的石块、泥块、麻袋片等大而长的杂物，磁选设备主要去除铁质杂质。清理过的原料分为两部分进行处理，其中玉米原料采用蒸汽压片技术制备玉米压片原料，其余原料则进一步进行粉碎，进入后续工艺工序。</w:t>
      </w:r>
    </w:p>
    <w:p>
      <w:pPr>
        <w:bidi w:val="0"/>
        <w:rPr>
          <w:rFonts w:hint="eastAsia"/>
          <w:lang w:val="en-US" w:eastAsia="zh-CN"/>
        </w:rPr>
      </w:pPr>
      <w:r>
        <w:rPr>
          <w:rFonts w:hint="default" w:ascii="Times New Roman" w:hAnsi="Times New Roman" w:cs="Times New Roman"/>
          <w:b/>
          <w:bCs/>
          <w:sz w:val="24"/>
          <w:szCs w:val="24"/>
        </w:rPr>
        <w:t>③</w:t>
      </w:r>
      <w:r>
        <w:rPr>
          <w:rFonts w:hint="eastAsia"/>
          <w:b/>
          <w:bCs/>
          <w:lang w:val="en-US" w:eastAsia="zh-CN"/>
        </w:rPr>
        <w:t>玉米压片：</w:t>
      </w:r>
      <w:r>
        <w:rPr>
          <w:rFonts w:hint="eastAsia"/>
          <w:lang w:val="en-US" w:eastAsia="zh-CN"/>
        </w:rPr>
        <w:t>经过原料清理的玉米原料加水和调制剂调制，一般加8%~10%的水保持12~18h，使水分渗入玉米中；然后将玉米输入一个立式的不锈钢蒸汽箱内，经100~110℃蒸汽处理40~60min；最后用压片机（两个预热的大轧辊）把经调制和蒸汽处理过的玉米轧成期望的特定容重（通常309~386g/片）的玉米片原料，随后进入混合机。</w:t>
      </w:r>
    </w:p>
    <w:p>
      <w:pPr>
        <w:bidi w:val="0"/>
        <w:rPr>
          <w:rFonts w:hint="eastAsia"/>
          <w:lang w:val="en-US" w:eastAsia="zh-CN"/>
        </w:rPr>
      </w:pPr>
      <w:r>
        <w:rPr>
          <w:rFonts w:hint="default" w:ascii="Times New Roman" w:hAnsi="Times New Roman" w:cs="Times New Roman"/>
          <w:b/>
          <w:bCs/>
          <w:sz w:val="24"/>
          <w:szCs w:val="24"/>
        </w:rPr>
        <w:t>④</w:t>
      </w:r>
      <w:r>
        <w:rPr>
          <w:rFonts w:hint="eastAsia"/>
          <w:b/>
          <w:bCs/>
          <w:lang w:val="en-US" w:eastAsia="zh-CN"/>
        </w:rPr>
        <w:t>原辅料的粉碎</w:t>
      </w:r>
      <w:r>
        <w:rPr>
          <w:rFonts w:hint="eastAsia"/>
          <w:lang w:val="en-US" w:eastAsia="zh-CN"/>
        </w:rPr>
        <w:t>：根据项目产品要求的粒度和饲料的品种，麸皮等原料及玉米纤维、酒糟、菜粕、棉粕等辅料均采用阶段二次粉碎工艺，该工艺原辅料粉碎各自采用两台筛片不同的粉碎机，两粉碎机上各设一道分级筛，将物料先经第一道筛筛理，符合粒度要求的筛下物直接进行混合机，筛上物进入第一台粉碎机，粉碎的物料再进入分级筛进行筛理；采用一次复合粒度要求的原料经称量定重后进入混合机，其余的筛上物进入第二台粉碎机粉碎，粉碎后进入混合机；同样经过粉碎的辅料经称重定量后进入预混合，待辅料混合均匀后，进入混合机与原料混合。</w:t>
      </w:r>
    </w:p>
    <w:p>
      <w:pPr>
        <w:bidi w:val="0"/>
        <w:rPr>
          <w:rFonts w:hint="eastAsia"/>
          <w:lang w:val="en-US" w:eastAsia="zh-CN"/>
        </w:rPr>
      </w:pPr>
      <w:r>
        <w:rPr>
          <w:rFonts w:hint="eastAsia"/>
          <w:lang w:val="en-US" w:eastAsia="zh-CN"/>
        </w:rPr>
        <w:t xml:space="preserve">中控员通过合理安排粉碎品种及数量，保持原料仓充足，以提高生产效率；粉碎开始应确认粉碎品种、仓号及仓存品种，防止混料；粉碎过程中按时取样观察。 </w:t>
      </w:r>
    </w:p>
    <w:p>
      <w:pPr>
        <w:bidi w:val="0"/>
        <w:rPr>
          <w:rFonts w:hint="eastAsia"/>
          <w:lang w:val="en-US" w:eastAsia="zh-CN"/>
        </w:rPr>
      </w:pPr>
      <w:r>
        <w:rPr>
          <w:rFonts w:hint="default" w:ascii="Times New Roman" w:hAnsi="Times New Roman" w:cs="Times New Roman"/>
          <w:b/>
          <w:bCs/>
          <w:sz w:val="24"/>
          <w:szCs w:val="24"/>
        </w:rPr>
        <w:t>⑤</w:t>
      </w:r>
      <w:r>
        <w:rPr>
          <w:rFonts w:hint="eastAsia"/>
          <w:b/>
          <w:bCs/>
          <w:lang w:val="en-US" w:eastAsia="zh-CN"/>
        </w:rPr>
        <w:t>配料、混合</w:t>
      </w:r>
      <w:r>
        <w:rPr>
          <w:rFonts w:hint="eastAsia"/>
          <w:lang w:val="en-US" w:eastAsia="zh-CN"/>
        </w:rPr>
        <w:t>：项目采用容积式配料，每只配料仓下面配置一台容积式配料器，将所计量的物料按照其物理特性或称量范围分组，每组配上相应的计量装置，这个过程实现自动化，配料准确，工人劳动强度低。</w:t>
      </w:r>
    </w:p>
    <w:p>
      <w:pPr>
        <w:bidi w:val="0"/>
        <w:rPr>
          <w:rFonts w:hint="eastAsia"/>
          <w:lang w:val="en-US" w:eastAsia="zh-CN"/>
        </w:rPr>
      </w:pPr>
      <w:r>
        <w:rPr>
          <w:rFonts w:hint="eastAsia"/>
          <w:lang w:val="en-US" w:eastAsia="zh-CN"/>
        </w:rPr>
        <w:t>将各种饲料组分同时分别地连续计量，并按比例配合成含有各种组分的料流，当料流进入连续混合机后经过连续混合而成均匀的料流。该工艺可以连续地进行，容易与粉碎及制粒等连续操作的工序相衔接，生产时不需要频繁地操作。</w:t>
      </w:r>
    </w:p>
    <w:p>
      <w:pPr>
        <w:bidi w:val="0"/>
        <w:rPr>
          <w:rFonts w:hint="eastAsia"/>
          <w:lang w:val="en-US" w:eastAsia="zh-CN"/>
        </w:rPr>
      </w:pPr>
      <w:r>
        <w:rPr>
          <w:rFonts w:hint="eastAsia"/>
          <w:lang w:val="en-US" w:eastAsia="zh-CN"/>
        </w:rPr>
        <w:t>严格执行配方标准，各品种称重应准确无误，易结块物料应事先筛选处理，每批次小料添加应及时，不能早或晚，每日作业结束后，小料员应及时盘点库存认真填写小料添加结存单；开始配料前应重新核对电脑输入配方与品管下达配方，保证配方输入正确；下前应确认混合机内无残存料。</w:t>
      </w:r>
    </w:p>
    <w:p>
      <w:pPr>
        <w:bidi w:val="0"/>
        <w:rPr>
          <w:rFonts w:hint="eastAsia"/>
          <w:lang w:val="en-US" w:eastAsia="zh-CN"/>
        </w:rPr>
      </w:pPr>
      <w:r>
        <w:rPr>
          <w:rFonts w:hint="default" w:ascii="Times New Roman" w:hAnsi="Times New Roman" w:cs="Times New Roman"/>
          <w:b/>
          <w:bCs/>
          <w:sz w:val="24"/>
          <w:szCs w:val="24"/>
        </w:rPr>
        <w:t>⑥</w:t>
      </w:r>
      <w:r>
        <w:rPr>
          <w:rFonts w:hint="eastAsia"/>
          <w:b/>
          <w:bCs/>
          <w:lang w:val="en-US" w:eastAsia="zh-CN"/>
        </w:rPr>
        <w:t>包装：</w:t>
      </w:r>
      <w:r>
        <w:rPr>
          <w:rFonts w:hint="eastAsia"/>
          <w:lang w:val="en-US" w:eastAsia="zh-CN"/>
        </w:rPr>
        <w:t>为方便贮存和销售，同时防止产品再次污染、返潮现象的发生，产品需要及时包装入库。主要包装设备为定量包装机。</w:t>
      </w:r>
    </w:p>
    <w:p>
      <w:pPr>
        <w:bidi w:val="0"/>
        <w:rPr>
          <w:rFonts w:hint="eastAsia"/>
          <w:lang w:val="en-US" w:eastAsia="zh-CN"/>
        </w:rPr>
      </w:pPr>
      <w:r>
        <w:rPr>
          <w:rFonts w:hint="eastAsia"/>
          <w:lang w:val="en-US" w:eastAsia="zh-CN"/>
        </w:rPr>
        <w:t>在包装过程中，包装员要按时取样，认真观察饲料外观及颜色，发现异常立即停止，等待处理；应核算每仓的包装重量与批次是否相符，每日应按时抽包称重。</w:t>
      </w:r>
    </w:p>
    <w:p>
      <w:pPr>
        <w:bidi w:val="0"/>
        <w:rPr>
          <w:rFonts w:hint="eastAsia"/>
          <w:lang w:val="en-US" w:eastAsia="zh-CN"/>
        </w:rPr>
      </w:pPr>
      <w:r>
        <w:rPr>
          <w:rFonts w:hint="default" w:ascii="Times New Roman" w:hAnsi="Times New Roman" w:cs="Times New Roman"/>
          <w:b/>
          <w:bCs/>
          <w:sz w:val="24"/>
          <w:szCs w:val="24"/>
        </w:rPr>
        <w:t>⑦</w:t>
      </w:r>
      <w:r>
        <w:rPr>
          <w:rFonts w:hint="eastAsia"/>
          <w:b/>
          <w:bCs/>
          <w:lang w:val="en-US" w:eastAsia="zh-CN"/>
        </w:rPr>
        <w:t>产品入库、储存：</w:t>
      </w:r>
      <w:r>
        <w:rPr>
          <w:rFonts w:hint="eastAsia"/>
          <w:lang w:val="en-US" w:eastAsia="zh-CN"/>
        </w:rPr>
        <w:t>成品库房收货员同生产包装主管根据饲料成品的名称、包数、吨数共同办理产成品的入库手续，填写入库单；成品统计员在销售系统中按照实际收货量录入饲料成品入库信息；生产入库成品应按生产日期，品种，批次分开码放，为方便出货，同品种，同颜色（指饲料袋）应尽量码放在相同货位上，成品库所有存货区域均应编制货位号，并以成品库表为主，存货报表辅助，以达到先进先出原则，成品存放期间应防止雨淋及受潮。</w:t>
      </w:r>
    </w:p>
    <w:p>
      <w:pPr>
        <w:bidi w:val="0"/>
        <w:rPr>
          <w:rFonts w:hint="eastAsia"/>
          <w:lang w:val="en-US" w:eastAsia="zh-CN"/>
        </w:rPr>
      </w:pPr>
      <w:r>
        <w:rPr>
          <w:rFonts w:hint="eastAsia"/>
          <w:lang w:val="en-US" w:eastAsia="zh-CN"/>
        </w:rPr>
        <w:t>成品装车作业由成品出货员管制完成，出货员应见有效提货单后组织装车。次序以过磅次序（磅单号）为准，先入厂优先装车，不应营私舞弊，互相争抢，影响出货速度及装车数量的准确，装车时，出货员应与提货人共同仔细盘点，以确保装车品种，数量准确无误。提货车箱应洁净，装车工人应将货物堆放整齐，防止运输途中散落，造成损失。雨雪季节，出货员应督促提货车装完货后盖好篷布，防止雨淋、受潮。</w:t>
      </w:r>
    </w:p>
    <w:p>
      <w:pPr>
        <w:pStyle w:val="6"/>
        <w:bidi w:val="0"/>
        <w:rPr>
          <w:rFonts w:hint="default" w:eastAsia="宋体"/>
          <w:lang w:val="en-US" w:eastAsia="zh-CN"/>
        </w:rPr>
      </w:pPr>
      <w:r>
        <w:rPr>
          <w:rFonts w:hint="eastAsia"/>
          <w:lang w:val="en-US" w:eastAsia="zh-CN"/>
        </w:rPr>
        <w:t>2.9.5、节水型工农业复合循环体系改造升级项目</w:t>
      </w:r>
    </w:p>
    <w:p>
      <w:pPr>
        <w:spacing w:line="500" w:lineRule="exact"/>
        <w:ind w:firstLine="482" w:firstLineChars="200"/>
        <w:rPr>
          <w:rFonts w:hint="default" w:ascii="Times New Roman" w:hAnsi="Times New Roman" w:cs="Times New Roman"/>
          <w:color w:val="auto"/>
          <w:sz w:val="24"/>
          <w:lang w:val="en-US" w:eastAsia="zh-CN"/>
        </w:rPr>
      </w:pPr>
      <w:r>
        <w:rPr>
          <w:rFonts w:hint="eastAsia" w:ascii="Times New Roman" w:hAnsi="Times New Roman" w:cs="Times New Roman"/>
          <w:b/>
          <w:bCs/>
          <w:color w:val="auto"/>
          <w:sz w:val="24"/>
          <w:lang w:val="en-US" w:eastAsia="zh-CN"/>
        </w:rPr>
        <w:t>1、</w:t>
      </w:r>
      <w:r>
        <w:rPr>
          <w:rFonts w:hint="default" w:ascii="Times New Roman" w:hAnsi="Times New Roman" w:cs="Times New Roman"/>
          <w:b/>
          <w:bCs/>
          <w:color w:val="auto"/>
          <w:sz w:val="24"/>
          <w:lang w:eastAsia="zh-CN"/>
        </w:rPr>
        <w:t>节水型工农业复合循环体系改造升级项目技术路线</w:t>
      </w:r>
    </w:p>
    <w:p>
      <w:pPr>
        <w:spacing w:line="500" w:lineRule="exact"/>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节水型工农业复合循环体系改造升级项目技术路线图如下：</w:t>
      </w:r>
    </w:p>
    <w:p>
      <w:pPr>
        <w:bidi w:val="0"/>
        <w:rPr>
          <w:rFonts w:hint="default"/>
          <w:lang w:eastAsia="zh-CN"/>
        </w:rPr>
      </w:pPr>
    </w:p>
    <w:p>
      <w:pPr>
        <w:pStyle w:val="2"/>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default" w:ascii="Times New Roman" w:hAnsi="Times New Roman" w:cs="Times New Roman"/>
          <w:color w:val="auto"/>
          <w:lang w:eastAsia="zh-CN"/>
        </w:rPr>
      </w:pPr>
      <w:r>
        <w:rPr>
          <w:rFonts w:hint="default" w:ascii="Times New Roman" w:hAnsi="Times New Roman" w:cs="Times New Roman"/>
          <w:color w:val="auto"/>
        </w:rPr>
        <w:object>
          <v:shape id="_x0000_i1030" o:spt="75" type="#_x0000_t75" style="height:386.45pt;width:477.7pt;" o:ole="t" filled="f" o:preferrelative="t" stroked="f" coordsize="21600,21600">
            <v:path/>
            <v:fill on="f" focussize="0,0"/>
            <v:stroke on="f"/>
            <v:imagedata r:id="rId31" o:title=""/>
            <o:lock v:ext="edit" aspectratio="t"/>
            <w10:wrap type="none"/>
            <w10:anchorlock/>
          </v:shape>
          <o:OLEObject Type="Embed" ProgID="Visio.Drawing.11" ShapeID="_x0000_i1030" DrawAspect="Content" ObjectID="_1468075730" r:id="rId30">
            <o:LockedField>false</o:LockedField>
          </o:OLEObject>
        </w:object>
      </w:r>
    </w:p>
    <w:p>
      <w:pPr>
        <w:bidi w:val="0"/>
        <w:jc w:val="center"/>
        <w:rPr>
          <w:rFonts w:hint="eastAsia"/>
          <w:lang w:val="en-US" w:eastAsia="zh-CN"/>
        </w:rPr>
      </w:pPr>
      <w:r>
        <w:rPr>
          <w:rFonts w:hint="default" w:ascii="Times New Roman" w:hAnsi="Times New Roman" w:cs="Times New Roman"/>
          <w:b/>
          <w:bCs/>
          <w:color w:val="auto"/>
          <w:sz w:val="21"/>
          <w:szCs w:val="21"/>
          <w:lang w:eastAsia="zh-CN"/>
        </w:rPr>
        <w:t>图</w:t>
      </w:r>
      <w:r>
        <w:rPr>
          <w:rFonts w:hint="default" w:ascii="Times New Roman" w:hAnsi="Times New Roman" w:cs="Times New Roman"/>
          <w:b/>
          <w:bCs/>
          <w:color w:val="auto"/>
          <w:sz w:val="21"/>
          <w:szCs w:val="21"/>
          <w:lang w:val="en-US" w:eastAsia="zh-CN"/>
        </w:rPr>
        <w:t>2-</w:t>
      </w:r>
      <w:r>
        <w:rPr>
          <w:rFonts w:hint="eastAsia" w:cs="Times New Roman"/>
          <w:b/>
          <w:bCs/>
          <w:color w:val="auto"/>
          <w:sz w:val="21"/>
          <w:szCs w:val="21"/>
          <w:lang w:val="en-US" w:eastAsia="zh-CN"/>
        </w:rPr>
        <w:t>9</w:t>
      </w:r>
      <w:r>
        <w:rPr>
          <w:rFonts w:hint="default" w:ascii="Times New Roman" w:hAnsi="Times New Roman" w:cs="Times New Roman"/>
          <w:b/>
          <w:bCs/>
          <w:color w:val="auto"/>
          <w:sz w:val="21"/>
          <w:szCs w:val="21"/>
          <w:lang w:val="en-US" w:eastAsia="zh-CN"/>
        </w:rPr>
        <w:t xml:space="preserve">    节水型工农业复合循环体系改造升级项目技术路线图</w:t>
      </w:r>
    </w:p>
    <w:p>
      <w:pPr>
        <w:bidi w:val="0"/>
        <w:rPr>
          <w:rFonts w:hint="default"/>
          <w:b/>
          <w:bCs/>
          <w:lang w:val="en-US" w:eastAsia="zh-CN"/>
        </w:rPr>
      </w:pPr>
      <w:r>
        <w:rPr>
          <w:rFonts w:hint="eastAsia"/>
          <w:b/>
          <w:bCs/>
          <w:lang w:val="en-US" w:eastAsia="zh-CN"/>
        </w:rPr>
        <w:t>2、有机肥生产工艺流程</w:t>
      </w:r>
    </w:p>
    <w:p>
      <w:pPr>
        <w:bidi w:val="0"/>
        <w:rPr>
          <w:rFonts w:hint="default"/>
          <w:lang w:val="en-US"/>
        </w:rPr>
      </w:pPr>
      <w:r>
        <w:rPr>
          <w:rFonts w:hint="eastAsia"/>
          <w:lang w:val="en-US" w:eastAsia="zh-CN"/>
        </w:rPr>
        <w:t>节水型工农业复合循环体系改造升级项目基本是对已建的项目进行了升级改造，升级改造过程中主要是建设有机肥生产线来处理企业生产过程中产生的可以作为有机肥原料的固废，具体的工艺流程如下：</w:t>
      </w:r>
    </w:p>
    <w:p>
      <w:pPr>
        <w:bidi w:val="0"/>
        <w:rPr>
          <w:rFonts w:hint="default"/>
        </w:rPr>
      </w:pPr>
      <w:r>
        <w:rPr>
          <w:rFonts w:hint="default"/>
        </w:rPr>
        <w:t>有机肥生产</w:t>
      </w:r>
      <w:r>
        <w:rPr>
          <w:rFonts w:hint="eastAsia"/>
          <w:lang w:val="en-US" w:eastAsia="zh-CN"/>
        </w:rPr>
        <w:t>是</w:t>
      </w:r>
      <w:r>
        <w:rPr>
          <w:rFonts w:hint="default"/>
        </w:rPr>
        <w:t>通过发酵、疏松、输送、干燥综合处理装置，利用微生物发酵企业肉牛养殖所产生的粪便、秸秆、枯枝烂叶、草碳、稻壳及加工屠宰废弃物等固体废弃物，结合太阳能生物工程，制造生物发酵活性有机肥料，其生产的生物发酵活性有机肥料是集生物菌肥、有机肥、腐殖酸肥于一体的无污染的高效有机肥料。产品不仅养分全，有利于植物吸收，还保持肥效，增强肥效，补充微量元素，防止环境污染、进一步改善土壤土质。项目充分利用</w:t>
      </w:r>
      <w:r>
        <w:rPr>
          <w:rFonts w:hint="default"/>
          <w:lang w:eastAsia="zh-CN"/>
        </w:rPr>
        <w:t>光照</w:t>
      </w:r>
      <w:r>
        <w:rPr>
          <w:rFonts w:hint="default"/>
        </w:rPr>
        <w:t>和自身的发酵能量，解决了发酵质量和生产中无需消耗其他能源的问题，具有提高产量、降低成本、保护环境和实现工业化生产的功效。有机肥加工生产工艺如下：</w:t>
      </w:r>
    </w:p>
    <w:p>
      <w:pPr>
        <w:bidi w:val="0"/>
        <w:ind w:left="0" w:leftChars="0" w:firstLine="0" w:firstLineChars="0"/>
        <w:jc w:val="center"/>
        <w:rPr>
          <w:rFonts w:hint="eastAsia"/>
          <w:b/>
          <w:bCs/>
          <w:lang w:val="en-US" w:eastAsia="zh-CN"/>
        </w:rPr>
      </w:pPr>
      <w:r>
        <w:rPr>
          <w:rFonts w:hint="eastAsia"/>
          <w:b/>
          <w:bCs/>
          <w:lang w:val="en-US" w:eastAsia="zh-CN"/>
        </w:rPr>
        <w:object>
          <v:shape id="_x0000_i1031" o:spt="75" type="#_x0000_t75" style="height:565.5pt;width:312.75pt;" o:ole="t" filled="f" o:preferrelative="t" stroked="f" coordsize="21600,21600">
            <v:path/>
            <v:fill on="f" focussize="0,0"/>
            <v:stroke on="f"/>
            <v:imagedata r:id="rId33" o:title=""/>
            <o:lock v:ext="edit" aspectratio="f"/>
            <w10:wrap type="none"/>
            <w10:anchorlock/>
          </v:shape>
          <o:OLEObject Type="Embed" ProgID="Visio.Drawing.15" ShapeID="_x0000_i1031" DrawAspect="Content" ObjectID="_1468075731" r:id="rId32">
            <o:LockedField>false</o:LockedField>
          </o:OLEObject>
        </w:object>
      </w:r>
    </w:p>
    <w:p>
      <w:pPr>
        <w:bidi w:val="0"/>
        <w:ind w:left="0" w:leftChars="0" w:firstLine="0" w:firstLineChars="0"/>
        <w:jc w:val="center"/>
        <w:rPr>
          <w:rFonts w:hint="default"/>
          <w:b/>
          <w:bCs/>
          <w:lang w:val="en-US" w:eastAsia="zh-CN"/>
        </w:rPr>
      </w:pPr>
      <w:r>
        <w:rPr>
          <w:rFonts w:hint="eastAsia"/>
          <w:b/>
          <w:bCs/>
          <w:lang w:val="en-US" w:eastAsia="zh-CN"/>
        </w:rPr>
        <w:t xml:space="preserve">图2-10    </w:t>
      </w:r>
      <w:r>
        <w:rPr>
          <w:rFonts w:hint="default"/>
          <w:b/>
          <w:bCs/>
        </w:rPr>
        <w:t>有机肥加工生产工艺</w:t>
      </w:r>
      <w:r>
        <w:rPr>
          <w:rFonts w:hint="eastAsia"/>
          <w:b/>
          <w:bCs/>
          <w:lang w:val="en-US" w:eastAsia="zh-CN"/>
        </w:rPr>
        <w:t>流程及产物环节图</w:t>
      </w:r>
    </w:p>
    <w:p>
      <w:pPr>
        <w:bidi w:val="0"/>
        <w:rPr>
          <w:rFonts w:hint="eastAsia"/>
          <w:lang w:val="en-US" w:eastAsia="zh-CN"/>
        </w:rPr>
      </w:pPr>
      <w:r>
        <w:rPr>
          <w:rFonts w:hint="eastAsia"/>
          <w:b/>
          <w:bCs/>
          <w:lang w:val="en-US" w:eastAsia="zh-CN"/>
        </w:rPr>
        <w:t>（1）工艺流程简述</w:t>
      </w:r>
    </w:p>
    <w:p>
      <w:pPr>
        <w:bidi w:val="0"/>
        <w:rPr>
          <w:rFonts w:hint="eastAsia"/>
          <w:lang w:val="en-US" w:eastAsia="zh-CN"/>
        </w:rPr>
      </w:pPr>
      <w:r>
        <w:rPr>
          <w:rFonts w:hint="eastAsia"/>
          <w:lang w:val="en-US" w:eastAsia="zh-CN"/>
        </w:rPr>
        <w:t>将配料送到发酵、疏松、输送、干燥综合处理装置中进行混合均匀和发酵，发酵时间为8～12天（夏天或冬天），利用光照及发酵自身产热使物料温度控制在50～70℃之间。按照配方配比量复配各种原料，然后在预混池中再加入辅助发酵菌剂等其它辅料，搅拌均匀呈混合湿料。混合物料的发酵采用槽式发酵方式，槽式发酵与其它发酵产品相比，该发酵方式具有工艺简单，操作方便等优点。在发酵槽池内物料按1.5m厚度堆积，此后在一段时期内操作人员须即时监控槽池内物料的温度变化，适时开启翻抛机对物料进行充氧和翻动，当翻抛机在槽池末端工作完成后，再通过转移车将翻抛机转移至槽池前段内对新料进行抛翻。整个发酵过程利用物料自身的发酵热和光照供给，不仅提高了发酵的质量，而且缩短了发酵的周期，加速了水分的蒸发，并启动车间内的通风换气装置对室内空气进行换气，以保证有机物料的正常发酵；至发酵后期，随着发酵温度的降低，中温微生物菌开始活跃，混合物料进入二次发酵，即陈化阶段，这有利于较难分解的有机物全部变为腐殖质、氨基酸等比较稳定的有机物，使肥效大大提高，一般在15~20d即可陈化结束，陈化后的有机肥的表现特征为：水分含量显著降低（35%以下），后期温度天然下降，无臭味产生，不再招惹蚊蝇，置地松软，虫卵死亡。</w:t>
      </w:r>
    </w:p>
    <w:p>
      <w:pPr>
        <w:bidi w:val="0"/>
        <w:rPr>
          <w:rFonts w:hint="eastAsia"/>
          <w:lang w:val="en-US" w:eastAsia="zh-CN"/>
        </w:rPr>
      </w:pPr>
      <w:r>
        <w:rPr>
          <w:rFonts w:hint="eastAsia"/>
          <w:lang w:val="en-US" w:eastAsia="zh-CN"/>
        </w:rPr>
        <w:t>将上述完成发酵的物料通过粉碎机粉碎成粉末状后，经皮带输送机均匀输送给造粒机完成造粒，然后进行烘干（至水分30%以下），烘干设备采用燃油热风炉，待物料烘干并冷却后，进入筛选分级，最后成品包装入库。小粒径直接返回重新造粒；大粒径经破碎后返回到生产线，重新进行造粒。</w:t>
      </w:r>
    </w:p>
    <w:p>
      <w:pPr>
        <w:pStyle w:val="5"/>
        <w:bidi w:val="0"/>
      </w:pPr>
      <w:bookmarkStart w:id="451" w:name="_Toc782"/>
      <w:r>
        <w:t>2.</w:t>
      </w:r>
      <w:r>
        <w:rPr>
          <w:rFonts w:hint="eastAsia"/>
          <w:lang w:val="en-US" w:eastAsia="zh-CN"/>
        </w:rPr>
        <w:t>10</w:t>
      </w:r>
      <w:r>
        <w:rPr>
          <w:rFonts w:hint="eastAsia"/>
          <w:lang w:eastAsia="zh-CN"/>
        </w:rPr>
        <w:t>、</w:t>
      </w:r>
      <w:r>
        <w:t>现有工程污染源及治理措施</w:t>
      </w:r>
      <w:bookmarkEnd w:id="451"/>
    </w:p>
    <w:p>
      <w:pPr>
        <w:pStyle w:val="6"/>
        <w:bidi w:val="0"/>
      </w:pPr>
      <w:r>
        <w:t>2.</w:t>
      </w:r>
      <w:r>
        <w:rPr>
          <w:rFonts w:hint="eastAsia"/>
          <w:lang w:val="en-US" w:eastAsia="zh-CN"/>
        </w:rPr>
        <w:t>10</w:t>
      </w:r>
      <w:r>
        <w:t>.1</w:t>
      </w:r>
      <w:r>
        <w:rPr>
          <w:rFonts w:hint="eastAsia"/>
          <w:lang w:eastAsia="zh-CN"/>
        </w:rPr>
        <w:t>、</w:t>
      </w:r>
      <w:r>
        <w:t>废气</w:t>
      </w:r>
    </w:p>
    <w:p>
      <w:pPr>
        <w:bidi w:val="0"/>
      </w:pPr>
      <w:r>
        <w:t>通过对现场调查，结合建设单位提供的资料，现有工程污染源治理措施情况见表2.</w:t>
      </w:r>
      <w:r>
        <w:rPr>
          <w:rFonts w:hint="eastAsia"/>
          <w:lang w:val="en-US" w:eastAsia="zh-CN"/>
        </w:rPr>
        <w:t>7</w:t>
      </w:r>
      <w:r>
        <w:t>。</w:t>
      </w:r>
    </w:p>
    <w:p>
      <w:pPr>
        <w:bidi w:val="0"/>
        <w:spacing w:line="240" w:lineRule="auto"/>
        <w:jc w:val="center"/>
        <w:rPr>
          <w:lang w:val="zh-CN"/>
        </w:rPr>
      </w:pPr>
      <w:r>
        <w:rPr>
          <w:b/>
          <w:bCs/>
          <w:lang w:val="zh-CN"/>
        </w:rPr>
        <w:t>表</w:t>
      </w:r>
      <w:r>
        <w:rPr>
          <w:b/>
          <w:bCs/>
        </w:rPr>
        <w:t>2.</w:t>
      </w:r>
      <w:r>
        <w:rPr>
          <w:rFonts w:hint="eastAsia"/>
          <w:b/>
          <w:bCs/>
          <w:lang w:val="en-US" w:eastAsia="zh-CN"/>
        </w:rPr>
        <w:t>7</w:t>
      </w:r>
      <w:r>
        <w:rPr>
          <w:b/>
          <w:bCs/>
          <w:lang w:val="zh-CN"/>
        </w:rPr>
        <w:t xml:space="preserve"> </w:t>
      </w:r>
      <w:r>
        <w:rPr>
          <w:rFonts w:hint="eastAsia"/>
          <w:b/>
          <w:bCs/>
          <w:lang w:val="en-US" w:eastAsia="zh-CN"/>
        </w:rPr>
        <w:t xml:space="preserve">  </w:t>
      </w:r>
      <w:r>
        <w:rPr>
          <w:b/>
          <w:bCs/>
          <w:lang w:val="zh-CN"/>
        </w:rPr>
        <w:t xml:space="preserve"> </w:t>
      </w:r>
      <w:r>
        <w:rPr>
          <w:rFonts w:hint="eastAsia"/>
          <w:b/>
          <w:bCs/>
        </w:rPr>
        <w:t>现有</w:t>
      </w:r>
      <w:r>
        <w:rPr>
          <w:b/>
          <w:bCs/>
          <w:lang w:val="zh-CN"/>
        </w:rPr>
        <w:t>工程环保治理措施一览表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
        <w:gridCol w:w="956"/>
        <w:gridCol w:w="1271"/>
        <w:gridCol w:w="1492"/>
        <w:gridCol w:w="3015"/>
        <w:gridCol w:w="1277"/>
        <w:gridCol w:w="1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序号</w:t>
            </w:r>
          </w:p>
        </w:tc>
        <w:tc>
          <w:tcPr>
            <w:tcW w:w="1118" w:type="pct"/>
            <w:gridSpan w:val="2"/>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名称</w:t>
            </w:r>
          </w:p>
        </w:tc>
        <w:tc>
          <w:tcPr>
            <w:tcW w:w="749"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污染因子</w:t>
            </w:r>
          </w:p>
        </w:tc>
        <w:tc>
          <w:tcPr>
            <w:tcW w:w="1513"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lang w:val="en-US" w:eastAsia="zh-CN"/>
              </w:rPr>
              <w:t>污染治理设施</w:t>
            </w:r>
            <w:r>
              <w:rPr>
                <w:rFonts w:hint="default" w:ascii="Times New Roman" w:hAnsi="Times New Roman" w:eastAsia="宋体" w:cs="Times New Roman"/>
                <w:b/>
                <w:bCs/>
                <w:kern w:val="0"/>
                <w:sz w:val="21"/>
                <w:szCs w:val="21"/>
              </w:rPr>
              <w:t>名称</w:t>
            </w:r>
          </w:p>
        </w:tc>
        <w:tc>
          <w:tcPr>
            <w:tcW w:w="641"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kern w:val="0"/>
                <w:sz w:val="21"/>
                <w:szCs w:val="21"/>
                <w:lang w:eastAsia="zh-CN"/>
              </w:rPr>
            </w:pPr>
            <w:r>
              <w:rPr>
                <w:rFonts w:hint="default" w:ascii="Times New Roman" w:hAnsi="Times New Roman" w:eastAsia="宋体" w:cs="Times New Roman"/>
                <w:b/>
                <w:bCs/>
                <w:kern w:val="0"/>
                <w:sz w:val="21"/>
                <w:szCs w:val="21"/>
              </w:rPr>
              <w:t>排气筒高度</w:t>
            </w:r>
            <w:r>
              <w:rPr>
                <w:rFonts w:hint="default" w:ascii="Times New Roman" w:hAnsi="Times New Roman" w:eastAsia="宋体" w:cs="Times New Roman"/>
                <w:b/>
                <w:bCs/>
                <w:kern w:val="0"/>
                <w:sz w:val="21"/>
                <w:szCs w:val="21"/>
                <w:lang w:eastAsia="zh-CN"/>
              </w:rPr>
              <w:t>（</w:t>
            </w:r>
            <w:r>
              <w:rPr>
                <w:rFonts w:hint="default" w:ascii="Times New Roman" w:hAnsi="Times New Roman" w:eastAsia="宋体" w:cs="Times New Roman"/>
                <w:b/>
                <w:bCs/>
                <w:kern w:val="0"/>
                <w:sz w:val="21"/>
                <w:szCs w:val="21"/>
                <w:lang w:val="en-US" w:eastAsia="zh-CN"/>
              </w:rPr>
              <w:t>m</w:t>
            </w:r>
            <w:r>
              <w:rPr>
                <w:rFonts w:hint="default" w:ascii="Times New Roman" w:hAnsi="Times New Roman" w:eastAsia="宋体" w:cs="Times New Roman"/>
                <w:b/>
                <w:bCs/>
                <w:kern w:val="0"/>
                <w:sz w:val="21"/>
                <w:szCs w:val="21"/>
                <w:lang w:eastAsia="zh-CN"/>
              </w:rPr>
              <w:t>）</w:t>
            </w:r>
          </w:p>
        </w:tc>
        <w:tc>
          <w:tcPr>
            <w:tcW w:w="728"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b/>
                <w:bCs/>
                <w:kern w:val="0"/>
                <w:sz w:val="21"/>
                <w:szCs w:val="21"/>
                <w:lang w:eastAsia="zh-CN"/>
              </w:rPr>
            </w:pPr>
            <w:r>
              <w:rPr>
                <w:rFonts w:hint="default" w:ascii="Times New Roman" w:hAnsi="Times New Roman" w:eastAsia="宋体" w:cs="Times New Roman"/>
                <w:b/>
                <w:bCs/>
                <w:kern w:val="0"/>
                <w:sz w:val="21"/>
                <w:szCs w:val="21"/>
              </w:rPr>
              <w:t>排放口管道直径</w:t>
            </w:r>
            <w:r>
              <w:rPr>
                <w:rFonts w:hint="default" w:ascii="Times New Roman" w:hAnsi="Times New Roman" w:eastAsia="宋体" w:cs="Times New Roman"/>
                <w:b/>
                <w:bCs/>
                <w:kern w:val="0"/>
                <w:sz w:val="21"/>
                <w:szCs w:val="21"/>
                <w:lang w:eastAsia="zh-CN"/>
              </w:rPr>
              <w:t>（</w:t>
            </w:r>
            <w:r>
              <w:rPr>
                <w:rFonts w:hint="default" w:ascii="Times New Roman" w:hAnsi="Times New Roman" w:eastAsia="宋体" w:cs="Times New Roman"/>
                <w:b/>
                <w:bCs/>
                <w:kern w:val="0"/>
                <w:sz w:val="21"/>
                <w:szCs w:val="21"/>
                <w:lang w:val="en-US" w:eastAsia="zh-CN"/>
              </w:rPr>
              <w:t>m</w:t>
            </w:r>
            <w:r>
              <w:rPr>
                <w:rFonts w:hint="default" w:ascii="Times New Roman" w:hAnsi="Times New Roman" w:eastAsia="宋体" w:cs="Times New Roman"/>
                <w:b/>
                <w:bCs/>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tcBorders>
              <w:tl2br w:val="nil"/>
              <w:tr2bl w:val="nil"/>
            </w:tcBorders>
            <w:noWrap w:val="0"/>
            <w:vAlign w:val="center"/>
          </w:tcPr>
          <w:p>
            <w:pPr>
              <w:pStyle w:val="103"/>
              <w:spacing w:line="240" w:lineRule="auto"/>
              <w:rPr>
                <w:rFonts w:hint="default" w:ascii="Times New Roman" w:hAnsi="Times New Roman" w:eastAsia="宋体" w:cs="Times New Roman"/>
                <w:sz w:val="21"/>
                <w:szCs w:val="21"/>
                <w:lang w:val="en-US"/>
              </w:rPr>
            </w:pPr>
            <w:r>
              <w:rPr>
                <w:rFonts w:hint="default" w:ascii="Times New Roman" w:hAnsi="Times New Roman" w:eastAsia="宋体" w:cs="Times New Roman"/>
                <w:b/>
                <w:bCs/>
                <w:sz w:val="21"/>
                <w:szCs w:val="21"/>
                <w:lang w:val="en-US" w:eastAsia="zh-CN"/>
              </w:rPr>
              <w:t>一、3万头/年肉牛精深加工生产项目和牛羊屠宰副产物综合利用项目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w:t>
            </w:r>
          </w:p>
        </w:tc>
        <w:tc>
          <w:tcPr>
            <w:tcW w:w="1118" w:type="pct"/>
            <w:gridSpan w:val="2"/>
            <w:tcBorders>
              <w:tl2br w:val="nil"/>
              <w:tr2bl w:val="nil"/>
            </w:tcBorders>
            <w:noWrap w:val="0"/>
            <w:vAlign w:val="center"/>
          </w:tcPr>
          <w:p>
            <w:pPr>
              <w:pStyle w:val="103"/>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肉牛精深加工车间</w:t>
            </w:r>
          </w:p>
        </w:tc>
        <w:tc>
          <w:tcPr>
            <w:tcW w:w="749"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硫化氢、氨、臭气浓度</w:t>
            </w:r>
          </w:p>
        </w:tc>
        <w:tc>
          <w:tcPr>
            <w:tcW w:w="1513"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活性炭吸附装置</w:t>
            </w:r>
            <w:r>
              <w:rPr>
                <w:rFonts w:hint="eastAsia" w:ascii="Times New Roman" w:hAnsi="Times New Roman" w:eastAsia="宋体" w:cs="Times New Roman"/>
                <w:kern w:val="0"/>
                <w:sz w:val="21"/>
                <w:szCs w:val="21"/>
                <w:lang w:val="en-US" w:eastAsia="zh-CN"/>
              </w:rPr>
              <w:t>（1套）</w:t>
            </w:r>
          </w:p>
        </w:tc>
        <w:tc>
          <w:tcPr>
            <w:tcW w:w="641"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tcBorders>
              <w:tl2br w:val="nil"/>
              <w:tr2bl w:val="nil"/>
            </w:tcBorders>
            <w:noWrap w:val="0"/>
            <w:vAlign w:val="center"/>
          </w:tcPr>
          <w:p>
            <w:pPr>
              <w:widowControl/>
              <w:spacing w:line="240" w:lineRule="auto"/>
              <w:ind w:firstLine="0" w:firstLineChars="0"/>
              <w:jc w:val="both"/>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备注：</w:t>
            </w:r>
            <w:r>
              <w:rPr>
                <w:rFonts w:hint="default" w:ascii="Times New Roman" w:hAnsi="Times New Roman" w:eastAsia="宋体" w:cs="Times New Roman"/>
                <w:sz w:val="21"/>
                <w:szCs w:val="21"/>
                <w:lang w:val="en-US" w:eastAsia="zh-CN"/>
              </w:rPr>
              <w:t>肉牛精深加工车间与牛羊屠宰副产物综合利用车间全部位于厂区现有的综合生产车间内，两个车间公用1套排气系统，公用1套废气处理装置。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b/>
                <w:bCs/>
                <w:kern w:val="0"/>
                <w:sz w:val="21"/>
                <w:szCs w:val="21"/>
                <w:lang w:val="en-US" w:eastAsia="zh-CN"/>
              </w:rPr>
              <w:t>二、</w:t>
            </w:r>
            <w:r>
              <w:rPr>
                <w:rFonts w:hint="default" w:ascii="Times New Roman" w:hAnsi="Times New Roman" w:eastAsia="宋体" w:cs="Times New Roman"/>
                <w:b/>
                <w:bCs/>
                <w:sz w:val="21"/>
                <w:szCs w:val="21"/>
                <w:lang w:val="en-US" w:eastAsia="zh-CN"/>
              </w:rPr>
              <w:t>5000头肉牛繁育基地基础设施建设项目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w:t>
            </w:r>
          </w:p>
        </w:tc>
        <w:tc>
          <w:tcPr>
            <w:tcW w:w="1118" w:type="pct"/>
            <w:gridSpan w:val="2"/>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auto"/>
                <w:sz w:val="21"/>
                <w:szCs w:val="21"/>
                <w:lang w:val="en-US" w:eastAsia="zh-CN"/>
              </w:rPr>
              <w:t>牛舍</w:t>
            </w:r>
          </w:p>
        </w:tc>
        <w:tc>
          <w:tcPr>
            <w:tcW w:w="749"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硫化氢、氨、臭气浓度</w:t>
            </w:r>
          </w:p>
        </w:tc>
        <w:tc>
          <w:tcPr>
            <w:tcW w:w="1513"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auto"/>
                <w:sz w:val="21"/>
                <w:szCs w:val="21"/>
                <w:lang w:val="en-US" w:eastAsia="zh-CN"/>
              </w:rPr>
              <w:t>干清粪+优化日粮设计+定期喷洒生物除臭剂</w:t>
            </w:r>
          </w:p>
        </w:tc>
        <w:tc>
          <w:tcPr>
            <w:tcW w:w="641"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w:t>
            </w:r>
          </w:p>
        </w:tc>
        <w:tc>
          <w:tcPr>
            <w:tcW w:w="728"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2</w:t>
            </w:r>
          </w:p>
        </w:tc>
        <w:tc>
          <w:tcPr>
            <w:tcW w:w="480"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粗饲料</w:t>
            </w:r>
          </w:p>
        </w:tc>
        <w:tc>
          <w:tcPr>
            <w:tcW w:w="637"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氨化和青贮工段</w:t>
            </w:r>
          </w:p>
        </w:tc>
        <w:tc>
          <w:tcPr>
            <w:tcW w:w="749"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rPr>
              <w:t>硫化氢、氨、臭气浓度</w:t>
            </w:r>
          </w:p>
        </w:tc>
        <w:tc>
          <w:tcPr>
            <w:tcW w:w="1513"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自然逸散</w:t>
            </w:r>
          </w:p>
        </w:tc>
        <w:tc>
          <w:tcPr>
            <w:tcW w:w="641"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w:t>
            </w:r>
          </w:p>
        </w:tc>
        <w:tc>
          <w:tcPr>
            <w:tcW w:w="728"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247" w:type="pct"/>
            <w:vMerge w:val="restart"/>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3</w:t>
            </w:r>
          </w:p>
        </w:tc>
        <w:tc>
          <w:tcPr>
            <w:tcW w:w="480" w:type="pct"/>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精饲料</w:t>
            </w:r>
          </w:p>
        </w:tc>
        <w:tc>
          <w:tcPr>
            <w:tcW w:w="63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原料粉碎、筛分</w:t>
            </w:r>
            <w:r>
              <w:rPr>
                <w:rFonts w:hint="default" w:ascii="Times New Roman" w:hAnsi="Times New Roman" w:eastAsia="宋体" w:cs="Times New Roman"/>
                <w:color w:val="auto"/>
                <w:sz w:val="21"/>
                <w:szCs w:val="21"/>
                <w:lang w:val="en-US" w:eastAsia="zh-CN"/>
              </w:rPr>
              <w:t>工段</w:t>
            </w:r>
          </w:p>
        </w:tc>
        <w:tc>
          <w:tcPr>
            <w:tcW w:w="749" w:type="pct"/>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颗粒物</w:t>
            </w:r>
          </w:p>
        </w:tc>
        <w:tc>
          <w:tcPr>
            <w:tcW w:w="1513" w:type="pct"/>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color w:val="auto"/>
                <w:kern w:val="2"/>
                <w:sz w:val="21"/>
                <w:szCs w:val="21"/>
                <w:lang w:val="en-US" w:eastAsia="zh-CN" w:bidi="ar-SA"/>
              </w:rPr>
              <w:t>破碎、筛分、分装工段产生的粉尘经设备自带的布袋除尘器处理后废气汇集至经1根15m高排气筒排放</w:t>
            </w:r>
          </w:p>
        </w:tc>
        <w:tc>
          <w:tcPr>
            <w:tcW w:w="641" w:type="pct"/>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vMerge w:val="restar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247" w:type="pct"/>
            <w:vMerge w:val="continue"/>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rPr>
            </w:pPr>
          </w:p>
        </w:tc>
        <w:tc>
          <w:tcPr>
            <w:tcW w:w="480"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63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sz w:val="21"/>
                <w:szCs w:val="21"/>
                <w:lang w:val="en-US" w:eastAsia="zh-CN"/>
              </w:rPr>
              <w:t>辅料粉碎、筛分</w:t>
            </w:r>
            <w:r>
              <w:rPr>
                <w:rFonts w:hint="default" w:ascii="Times New Roman" w:hAnsi="Times New Roman" w:eastAsia="宋体" w:cs="Times New Roman"/>
                <w:color w:val="auto"/>
                <w:sz w:val="21"/>
                <w:szCs w:val="21"/>
                <w:lang w:val="en-US" w:eastAsia="zh-CN"/>
              </w:rPr>
              <w:t>工段</w:t>
            </w:r>
          </w:p>
        </w:tc>
        <w:tc>
          <w:tcPr>
            <w:tcW w:w="749"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1513"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641"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728"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rPr>
            </w:pPr>
          </w:p>
        </w:tc>
        <w:tc>
          <w:tcPr>
            <w:tcW w:w="480"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637" w:type="pct"/>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分装</w:t>
            </w:r>
            <w:r>
              <w:rPr>
                <w:rFonts w:hint="default" w:ascii="Times New Roman" w:hAnsi="Times New Roman" w:eastAsia="宋体" w:cs="Times New Roman"/>
                <w:color w:val="auto"/>
                <w:sz w:val="21"/>
                <w:szCs w:val="21"/>
                <w:lang w:val="en-US" w:eastAsia="zh-CN"/>
              </w:rPr>
              <w:t>工段</w:t>
            </w:r>
          </w:p>
        </w:tc>
        <w:tc>
          <w:tcPr>
            <w:tcW w:w="749"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1513"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641"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c>
          <w:tcPr>
            <w:tcW w:w="728" w:type="pct"/>
            <w:vMerge w:val="continue"/>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b/>
                <w:bCs/>
                <w:sz w:val="21"/>
                <w:szCs w:val="21"/>
                <w:lang w:val="en-US" w:eastAsia="zh-CN"/>
              </w:rPr>
              <w:t>三、</w:t>
            </w:r>
            <w:r>
              <w:rPr>
                <w:rFonts w:hint="default" w:ascii="Times New Roman" w:hAnsi="Times New Roman" w:eastAsia="宋体" w:cs="Times New Roman"/>
                <w:b/>
                <w:bCs/>
                <w:sz w:val="21"/>
                <w:szCs w:val="21"/>
                <w:lang w:eastAsia="zh-CN"/>
              </w:rPr>
              <w:t>节水型工农业复合循环体系改造升级</w:t>
            </w:r>
            <w:r>
              <w:rPr>
                <w:rFonts w:hint="default" w:ascii="Times New Roman" w:hAnsi="Times New Roman" w:eastAsia="宋体" w:cs="Times New Roman"/>
                <w:b/>
                <w:bCs/>
                <w:sz w:val="21"/>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1</w:t>
            </w:r>
          </w:p>
        </w:tc>
        <w:tc>
          <w:tcPr>
            <w:tcW w:w="1118" w:type="pct"/>
            <w:gridSpan w:val="2"/>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原料预混工段</w:t>
            </w:r>
          </w:p>
        </w:tc>
        <w:tc>
          <w:tcPr>
            <w:tcW w:w="749" w:type="pct"/>
            <w:tcBorders>
              <w:tl2br w:val="nil"/>
              <w:tr2bl w:val="nil"/>
            </w:tcBorders>
            <w:noWrap w:val="0"/>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颗粒物、硫化氢、氨、臭气浓度</w:t>
            </w:r>
          </w:p>
        </w:tc>
        <w:tc>
          <w:tcPr>
            <w:tcW w:w="1513" w:type="pct"/>
            <w:tcBorders>
              <w:tl2br w:val="nil"/>
              <w:tr2bl w:val="nil"/>
            </w:tcBorders>
            <w:noWrap w:val="0"/>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喷洒生物除臭剂</w:t>
            </w:r>
          </w:p>
        </w:tc>
        <w:tc>
          <w:tcPr>
            <w:tcW w:w="641"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noWrap w:val="0"/>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2</w:t>
            </w:r>
          </w:p>
        </w:tc>
        <w:tc>
          <w:tcPr>
            <w:tcW w:w="1118" w:type="pct"/>
            <w:gridSpan w:val="2"/>
            <w:tcBorders>
              <w:tl2br w:val="nil"/>
              <w:tr2bl w:val="nil"/>
            </w:tcBorders>
            <w:noWrap w:val="0"/>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原料发酵工段</w:t>
            </w:r>
          </w:p>
        </w:tc>
        <w:tc>
          <w:tcPr>
            <w:tcW w:w="749" w:type="pct"/>
            <w:tcBorders>
              <w:tl2br w:val="nil"/>
              <w:tr2bl w:val="nil"/>
            </w:tcBorders>
            <w:noWrap w:val="0"/>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颗粒物、硫化氢、氨、臭气浓度</w:t>
            </w:r>
          </w:p>
        </w:tc>
        <w:tc>
          <w:tcPr>
            <w:tcW w:w="1513" w:type="pct"/>
            <w:tcBorders>
              <w:tl2br w:val="nil"/>
              <w:tr2bl w:val="nil"/>
            </w:tcBorders>
            <w:noWrap w:val="0"/>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集气罩+布袋除尘器+活性炭吸附装置（1套）+排气筒</w:t>
            </w:r>
          </w:p>
        </w:tc>
        <w:tc>
          <w:tcPr>
            <w:tcW w:w="641"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noWrap w:val="0"/>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3</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原料粉碎、筛选工段</w:t>
            </w:r>
          </w:p>
        </w:tc>
        <w:tc>
          <w:tcPr>
            <w:tcW w:w="749" w:type="pct"/>
            <w:tcBorders>
              <w:tl2br w:val="nil"/>
              <w:tr2bl w:val="nil"/>
            </w:tcBorders>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w:t>
            </w:r>
          </w:p>
        </w:tc>
        <w:tc>
          <w:tcPr>
            <w:tcW w:w="1513" w:type="pct"/>
            <w:tcBorders>
              <w:tl2br w:val="nil"/>
              <w:tr2bl w:val="nil"/>
            </w:tcBorders>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集气罩+布袋除尘器（1套）+排气筒</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4</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造粒工段</w:t>
            </w:r>
          </w:p>
        </w:tc>
        <w:tc>
          <w:tcPr>
            <w:tcW w:w="749" w:type="pct"/>
            <w:tcBorders>
              <w:tl2br w:val="nil"/>
              <w:tr2bl w:val="nil"/>
            </w:tcBorders>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w:t>
            </w:r>
          </w:p>
        </w:tc>
        <w:tc>
          <w:tcPr>
            <w:tcW w:w="1513" w:type="pct"/>
            <w:tcBorders>
              <w:tl2br w:val="nil"/>
              <w:tr2bl w:val="nil"/>
            </w:tcBorders>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集气罩+布袋除尘器（1套）+排气筒</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5</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半成品筛选、粉碎工段</w:t>
            </w:r>
          </w:p>
        </w:tc>
        <w:tc>
          <w:tcPr>
            <w:tcW w:w="749" w:type="pct"/>
            <w:tcBorders>
              <w:tl2br w:val="nil"/>
              <w:tr2bl w:val="nil"/>
            </w:tcBorders>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w:t>
            </w:r>
          </w:p>
        </w:tc>
        <w:tc>
          <w:tcPr>
            <w:tcW w:w="1513" w:type="pct"/>
            <w:tcBorders>
              <w:tl2br w:val="nil"/>
              <w:tr2bl w:val="nil"/>
            </w:tcBorders>
            <w:vAlign w:val="center"/>
          </w:tcPr>
          <w:p>
            <w:pPr>
              <w:pStyle w:val="43"/>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集气罩+布袋除尘器（1套）+排气筒</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6</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烘干工段</w:t>
            </w:r>
          </w:p>
        </w:tc>
        <w:tc>
          <w:tcPr>
            <w:tcW w:w="749"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c>
          <w:tcPr>
            <w:tcW w:w="1513"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auto"/>
                <w:sz w:val="21"/>
                <w:szCs w:val="21"/>
                <w:lang w:val="en-US" w:eastAsia="zh-CN"/>
              </w:rPr>
              <w:t>降尘室（1座）+旋风除尘器（1套）+排气筒</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kern w:val="0"/>
                <w:sz w:val="21"/>
                <w:szCs w:val="21"/>
                <w:lang w:val="en-US" w:eastAsia="zh-CN"/>
              </w:rPr>
              <w:t>7</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冷却工段</w:t>
            </w:r>
          </w:p>
        </w:tc>
        <w:tc>
          <w:tcPr>
            <w:tcW w:w="749"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颗粒物、SO</w:t>
            </w:r>
            <w:r>
              <w:rPr>
                <w:rFonts w:hint="default" w:ascii="Times New Roman" w:hAnsi="Times New Roman" w:eastAsia="宋体" w:cs="Times New Roman"/>
                <w:color w:val="auto"/>
                <w:sz w:val="21"/>
                <w:szCs w:val="21"/>
                <w:vertAlign w:val="subscript"/>
                <w:lang w:val="en-US" w:eastAsia="zh-CN"/>
              </w:rPr>
              <w:t>2</w:t>
            </w:r>
            <w:r>
              <w:rPr>
                <w:rFonts w:hint="default" w:ascii="Times New Roman" w:hAnsi="Times New Roman" w:eastAsia="宋体" w:cs="Times New Roman"/>
                <w:color w:val="auto"/>
                <w:sz w:val="21"/>
                <w:szCs w:val="21"/>
                <w:lang w:val="en-US" w:eastAsia="zh-CN"/>
              </w:rPr>
              <w:t>、NOx</w:t>
            </w:r>
          </w:p>
        </w:tc>
        <w:tc>
          <w:tcPr>
            <w:tcW w:w="1513"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auto"/>
                <w:sz w:val="21"/>
                <w:szCs w:val="21"/>
                <w:lang w:val="en-US" w:eastAsia="zh-CN"/>
              </w:rPr>
              <w:t>降尘室（1座）+排气筒</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lang w:val="en-US" w:eastAsia="zh-CN"/>
              </w:rPr>
              <w:t>15</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bidi="ar-SA"/>
              </w:rPr>
            </w:pPr>
            <w:r>
              <w:rPr>
                <w:rFonts w:hint="default" w:ascii="Times New Roman" w:hAnsi="Times New Roman" w:eastAsia="宋体" w:cs="Times New Roman"/>
                <w:kern w:val="0"/>
                <w:sz w:val="21"/>
                <w:szCs w:val="21"/>
              </w:rPr>
              <w:t>0.</w:t>
            </w:r>
            <w:r>
              <w:rPr>
                <w:rFonts w:hint="default" w:ascii="Times New Roman" w:hAnsi="Times New Roman" w:eastAsia="宋体" w:cs="Times New Roman"/>
                <w:kern w:val="0"/>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b/>
                <w:bCs/>
                <w:kern w:val="0"/>
                <w:sz w:val="21"/>
                <w:szCs w:val="21"/>
                <w:lang w:val="en-US" w:eastAsia="zh-CN"/>
              </w:rPr>
              <w:t>四、污水处理站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污水处理</w:t>
            </w:r>
          </w:p>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过程</w:t>
            </w:r>
          </w:p>
        </w:tc>
        <w:tc>
          <w:tcPr>
            <w:tcW w:w="749"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硫化氢、氨、臭气浓度</w:t>
            </w:r>
          </w:p>
        </w:tc>
        <w:tc>
          <w:tcPr>
            <w:tcW w:w="1513"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zh-CN" w:eastAsia="zh-CN"/>
              </w:rPr>
              <w:t>“</w:t>
            </w:r>
            <w:r>
              <w:rPr>
                <w:rFonts w:hint="eastAsia" w:ascii="Times New Roman" w:hAnsi="Times New Roman" w:eastAsia="宋体" w:cs="Times New Roman"/>
                <w:color w:val="auto"/>
                <w:sz w:val="21"/>
                <w:szCs w:val="21"/>
                <w:lang w:val="en-US" w:eastAsia="zh-CN"/>
              </w:rPr>
              <w:t>UV光氧+活性炭</w:t>
            </w:r>
            <w:r>
              <w:rPr>
                <w:rFonts w:hint="eastAsia" w:ascii="Times New Roman" w:hAnsi="Times New Roman" w:eastAsia="宋体" w:cs="Times New Roman"/>
                <w:color w:val="auto"/>
                <w:sz w:val="21"/>
                <w:szCs w:val="21"/>
                <w:lang w:val="zh-CN" w:eastAsia="zh-CN"/>
              </w:rPr>
              <w:t>”</w:t>
            </w:r>
            <w:r>
              <w:rPr>
                <w:rFonts w:hint="eastAsia" w:eastAsia="宋体" w:cs="Times New Roman"/>
                <w:color w:val="auto"/>
                <w:sz w:val="21"/>
                <w:szCs w:val="21"/>
                <w:lang w:val="zh-CN" w:eastAsia="zh-CN"/>
              </w:rPr>
              <w:t>（</w:t>
            </w:r>
            <w:r>
              <w:rPr>
                <w:rFonts w:hint="eastAsia" w:eastAsia="宋体" w:cs="Times New Roman"/>
                <w:color w:val="auto"/>
                <w:sz w:val="21"/>
                <w:szCs w:val="21"/>
                <w:lang w:val="en-US" w:eastAsia="zh-CN"/>
              </w:rPr>
              <w:t>1套</w:t>
            </w:r>
            <w:r>
              <w:rPr>
                <w:rFonts w:hint="eastAsia" w:eastAsia="宋体" w:cs="Times New Roman"/>
                <w:color w:val="auto"/>
                <w:sz w:val="21"/>
                <w:szCs w:val="21"/>
                <w:lang w:val="zh-CN" w:eastAsia="zh-CN"/>
              </w:rPr>
              <w:t>）</w:t>
            </w:r>
            <w:r>
              <w:rPr>
                <w:rFonts w:hint="eastAsia" w:ascii="Times New Roman" w:hAnsi="Times New Roman" w:eastAsia="宋体" w:cs="Times New Roman"/>
                <w:color w:val="auto"/>
                <w:sz w:val="21"/>
                <w:szCs w:val="21"/>
                <w:lang w:val="en-US" w:eastAsia="zh-CN"/>
              </w:rPr>
              <w:t>+排气筒</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7"/>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b/>
                <w:bCs/>
                <w:kern w:val="0"/>
                <w:sz w:val="21"/>
                <w:szCs w:val="21"/>
                <w:lang w:val="en-US" w:eastAsia="zh-CN"/>
              </w:rPr>
              <w:t>五、食堂油烟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tcBorders>
              <w:tl2br w:val="nil"/>
              <w:tr2bl w:val="nil"/>
            </w:tcBorders>
            <w:vAlign w:val="center"/>
          </w:tcPr>
          <w:p>
            <w:pPr>
              <w:widowControl/>
              <w:numPr>
                <w:ilvl w:val="0"/>
                <w:numId w:val="0"/>
              </w:numPr>
              <w:spacing w:line="240" w:lineRule="auto"/>
              <w:ind w:left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w:t>
            </w:r>
          </w:p>
        </w:tc>
        <w:tc>
          <w:tcPr>
            <w:tcW w:w="1118" w:type="pct"/>
            <w:gridSpan w:val="2"/>
            <w:tcBorders>
              <w:tl2br w:val="nil"/>
              <w:tr2bl w:val="nil"/>
            </w:tcBorders>
            <w:vAlign w:val="center"/>
          </w:tcPr>
          <w:p>
            <w:pPr>
              <w:pStyle w:val="43"/>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eastAsia="宋体" w:cs="Times New Roman"/>
                <w:color w:val="auto"/>
                <w:sz w:val="21"/>
                <w:szCs w:val="21"/>
                <w:lang w:val="en-US" w:eastAsia="zh-CN"/>
              </w:rPr>
              <w:t>烹饪过程</w:t>
            </w:r>
          </w:p>
        </w:tc>
        <w:tc>
          <w:tcPr>
            <w:tcW w:w="749" w:type="pct"/>
            <w:tcBorders>
              <w:tl2br w:val="nil"/>
              <w:tr2bl w:val="nil"/>
            </w:tcBorders>
            <w:vAlign w:val="center"/>
          </w:tcPr>
          <w:p>
            <w:pPr>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油烟</w:t>
            </w:r>
          </w:p>
        </w:tc>
        <w:tc>
          <w:tcPr>
            <w:tcW w:w="1513"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油烟净化装置</w:t>
            </w:r>
            <w:r>
              <w:rPr>
                <w:rFonts w:hint="eastAsia" w:eastAsia="宋体" w:cs="Times New Roman"/>
                <w:color w:val="auto"/>
                <w:sz w:val="21"/>
                <w:szCs w:val="21"/>
                <w:lang w:val="zh-CN" w:eastAsia="zh-CN"/>
              </w:rPr>
              <w:t>（</w:t>
            </w:r>
            <w:r>
              <w:rPr>
                <w:rFonts w:hint="eastAsia" w:eastAsia="宋体" w:cs="Times New Roman"/>
                <w:color w:val="auto"/>
                <w:sz w:val="21"/>
                <w:szCs w:val="21"/>
                <w:lang w:val="en-US" w:eastAsia="zh-CN"/>
              </w:rPr>
              <w:t>1套</w:t>
            </w:r>
            <w:r>
              <w:rPr>
                <w:rFonts w:hint="eastAsia" w:eastAsia="宋体" w:cs="Times New Roman"/>
                <w:color w:val="auto"/>
                <w:sz w:val="21"/>
                <w:szCs w:val="21"/>
                <w:lang w:val="zh-CN" w:eastAsia="zh-CN"/>
              </w:rPr>
              <w:t>）</w:t>
            </w:r>
          </w:p>
        </w:tc>
        <w:tc>
          <w:tcPr>
            <w:tcW w:w="641"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6</w:t>
            </w:r>
          </w:p>
        </w:tc>
        <w:tc>
          <w:tcPr>
            <w:tcW w:w="728"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0.25</w:t>
            </w:r>
          </w:p>
        </w:tc>
      </w:tr>
    </w:tbl>
    <w:p>
      <w:pPr>
        <w:pStyle w:val="6"/>
        <w:bidi w:val="0"/>
      </w:pPr>
      <w:r>
        <w:t>2.</w:t>
      </w:r>
      <w:r>
        <w:rPr>
          <w:rFonts w:hint="eastAsia"/>
          <w:lang w:val="en-US" w:eastAsia="zh-CN"/>
        </w:rPr>
        <w:t>10</w:t>
      </w:r>
      <w:r>
        <w:t>.2</w:t>
      </w:r>
      <w:r>
        <w:rPr>
          <w:rFonts w:hint="eastAsia"/>
          <w:lang w:eastAsia="zh-CN"/>
        </w:rPr>
        <w:t>、</w:t>
      </w:r>
      <w:r>
        <w:t>废水</w:t>
      </w:r>
    </w:p>
    <w:p>
      <w:pPr>
        <w:bidi w:val="0"/>
      </w:pPr>
      <w:r>
        <w:rPr>
          <w:rFonts w:hint="eastAsia"/>
          <w:lang w:val="en-US" w:eastAsia="zh-CN"/>
        </w:rPr>
        <w:t>现有工程</w:t>
      </w:r>
      <w:r>
        <w:rPr>
          <w:rFonts w:hint="eastAsia"/>
        </w:rPr>
        <w:t>生活污水及生产废水全部</w:t>
      </w:r>
      <w:r>
        <w:rPr>
          <w:rFonts w:hint="eastAsia"/>
          <w:lang w:val="en-US" w:eastAsia="zh-CN"/>
        </w:rPr>
        <w:t>经</w:t>
      </w:r>
      <w:r>
        <w:rPr>
          <w:rFonts w:hint="eastAsia"/>
        </w:rPr>
        <w:t>厂区现有的污水处理站处理达标后用于厂区饲草区灌溉，厂区现有的污水处理产处理规模为</w:t>
      </w:r>
      <w:r>
        <w:rPr>
          <w:rFonts w:hint="eastAsia"/>
          <w:lang w:val="en-US" w:eastAsia="zh-CN"/>
        </w:rPr>
        <w:t>70</w:t>
      </w:r>
      <w:r>
        <w:rPr>
          <w:rFonts w:hint="eastAsia"/>
        </w:rPr>
        <w:t>0m</w:t>
      </w:r>
      <w:r>
        <w:rPr>
          <w:rFonts w:hint="eastAsia"/>
          <w:vertAlign w:val="superscript"/>
        </w:rPr>
        <w:t>3</w:t>
      </w:r>
      <w:r>
        <w:rPr>
          <w:rFonts w:hint="eastAsia"/>
        </w:rPr>
        <w:t>/d，污水处理工艺</w:t>
      </w:r>
      <w:r>
        <w:rPr>
          <w:rFonts w:hint="eastAsia"/>
          <w:lang w:val="en-US" w:eastAsia="zh-CN"/>
        </w:rPr>
        <w:t>为</w:t>
      </w:r>
      <w:r>
        <w:rPr>
          <w:rFonts w:hint="eastAsia"/>
        </w:rPr>
        <w:t>“预处理+二级生化处理+消毒处理”</w:t>
      </w:r>
      <w:r>
        <w:rPr>
          <w:rFonts w:hint="eastAsia"/>
          <w:lang w:eastAsia="zh-CN"/>
        </w:rPr>
        <w:t>，</w:t>
      </w:r>
      <w:r>
        <w:rPr>
          <w:rFonts w:hint="eastAsia"/>
        </w:rPr>
        <w:t>具体的污水</w:t>
      </w:r>
      <w:r>
        <w:t>工艺如下：</w:t>
      </w:r>
    </w:p>
    <w:p>
      <w:pPr>
        <w:adjustRightInd w:val="0"/>
        <w:snapToGrid w:val="0"/>
        <w:spacing w:line="240" w:lineRule="auto"/>
        <w:ind w:firstLine="0" w:firstLineChars="0"/>
        <w:jc w:val="center"/>
        <w:rPr>
          <w:b/>
          <w:bCs/>
          <w:sz w:val="21"/>
          <w:szCs w:val="21"/>
        </w:rPr>
      </w:pPr>
      <w:r>
        <w:rPr>
          <w:b/>
          <w:bCs/>
          <w:sz w:val="21"/>
          <w:szCs w:val="21"/>
        </w:rPr>
        <w:object>
          <v:shape id="_x0000_i1032" o:spt="75" type="#_x0000_t75" style="height:169.15pt;width:388.25pt;" o:ole="t" filled="f" o:preferrelative="t" stroked="f" coordsize="21600,21600">
            <v:path/>
            <v:fill on="f" focussize="0,0"/>
            <v:stroke on="f"/>
            <v:imagedata r:id="rId35" o:title=""/>
            <o:lock v:ext="edit" aspectratio="f"/>
            <w10:wrap type="none"/>
            <w10:anchorlock/>
          </v:shape>
          <o:OLEObject Type="Embed" ProgID="Visio.Drawing.15" ShapeID="_x0000_i1032" DrawAspect="Content" ObjectID="_1468075732" r:id="rId34">
            <o:LockedField>false</o:LockedField>
          </o:OLEObject>
        </w:object>
      </w:r>
    </w:p>
    <w:p>
      <w:pPr>
        <w:adjustRightInd w:val="0"/>
        <w:snapToGrid w:val="0"/>
        <w:spacing w:line="240" w:lineRule="auto"/>
        <w:ind w:firstLine="0" w:firstLineChars="0"/>
        <w:jc w:val="center"/>
        <w:rPr>
          <w:b/>
          <w:bCs/>
          <w:sz w:val="21"/>
          <w:szCs w:val="21"/>
        </w:rPr>
      </w:pPr>
      <w:r>
        <w:rPr>
          <w:b/>
          <w:bCs/>
        </w:rPr>
        <w:t>图</w:t>
      </w:r>
      <w:r>
        <w:rPr>
          <w:rFonts w:hint="eastAsia"/>
          <w:b/>
          <w:bCs/>
          <w:lang w:val="en-US" w:eastAsia="zh-CN"/>
        </w:rPr>
        <w:t>2</w:t>
      </w:r>
      <w:r>
        <w:rPr>
          <w:b/>
          <w:bCs/>
        </w:rPr>
        <w:t>-1</w:t>
      </w:r>
      <w:r>
        <w:rPr>
          <w:rFonts w:hint="eastAsia"/>
          <w:b/>
          <w:bCs/>
          <w:lang w:val="en-US" w:eastAsia="zh-CN"/>
        </w:rPr>
        <w:t>1</w:t>
      </w:r>
      <w:r>
        <w:rPr>
          <w:b/>
          <w:bCs/>
        </w:rPr>
        <w:t xml:space="preserve">    污水处理工艺流程图</w:t>
      </w:r>
    </w:p>
    <w:p>
      <w:pPr>
        <w:bidi w:val="0"/>
      </w:pPr>
      <w:r>
        <w:t>生活废水经化粪池处理、食堂废水经隔油池处理后，与生产废水一起进入机械细格栅去除大的悬浮杂质如碎屑肉、毛等，以防止其后管道和设备堵塞。</w:t>
      </w:r>
      <w:r>
        <w:rPr>
          <w:rFonts w:hint="eastAsia"/>
        </w:rPr>
        <w:t>经格栅处理后废水进入</w:t>
      </w:r>
      <w:r>
        <w:t>隔油沉淀池去除废水中的油脂、泥沙后流入调节池调节水质</w:t>
      </w:r>
      <w:r>
        <w:rPr>
          <w:rFonts w:hint="eastAsia"/>
        </w:rPr>
        <w:t>、</w:t>
      </w:r>
      <w:r>
        <w:t>水量，调节池池内设置搅拌设备，避免沉淀</w:t>
      </w:r>
      <w:r>
        <w:rPr>
          <w:rFonts w:hint="eastAsia"/>
        </w:rPr>
        <w:t>。</w:t>
      </w:r>
      <w:r>
        <w:t>污水经调节池</w:t>
      </w:r>
      <w:r>
        <w:rPr>
          <w:rFonts w:hint="eastAsia"/>
        </w:rPr>
        <w:t>处理后后</w:t>
      </w:r>
      <w:r>
        <w:t>进入气浮池，依靠微气泡，使部分污染物粘附于絮粒上，絮粒强制性上浮，达到固、液分离。污水经气浮池处理后再次泵至水解酸化池中，在兼氧和厌氧条件下，将废水中的有机物分解为氨基酸、碳水化合物等小分子有机物和无机物</w:t>
      </w:r>
      <w:r>
        <w:rPr>
          <w:rFonts w:hint="eastAsia"/>
        </w:rPr>
        <w:t>。</w:t>
      </w:r>
      <w:r>
        <w:t>水解酸化池出水进入接触氧化池，在充氧状态下，利用微生物的新陈代谢作用去除水中有机物，并在硝化作用下将NH</w:t>
      </w:r>
      <w:r>
        <w:rPr>
          <w:vertAlign w:val="subscript"/>
        </w:rPr>
        <w:t>3</w:t>
      </w:r>
      <w:r>
        <w:t>-N氧化成NO</w:t>
      </w:r>
      <w:r>
        <w:rPr>
          <w:vertAlign w:val="subscript"/>
        </w:rPr>
        <w:t>3</w:t>
      </w:r>
      <w:r>
        <w:rPr>
          <w:vertAlign w:val="superscript"/>
        </w:rPr>
        <w:t>-</w:t>
      </w:r>
      <w:r>
        <w:t>，混合液回流至水解池</w:t>
      </w:r>
      <w:r>
        <w:rPr>
          <w:rFonts w:hint="eastAsia"/>
        </w:rPr>
        <w:t>。</w:t>
      </w:r>
      <w:r>
        <w:t>接触氧化池出水进入二沉池重力分离去除大部分SS，二沉池</w:t>
      </w:r>
      <w:r>
        <w:rPr>
          <w:rFonts w:hint="eastAsia"/>
        </w:rPr>
        <w:t>设置的</w:t>
      </w:r>
      <w:r>
        <w:t>斜管填料可以让废水中的凝结的细小悬浮物快速沉淀从而降低废水中的悬浮物</w:t>
      </w:r>
      <w:r>
        <w:rPr>
          <w:rFonts w:hint="eastAsia"/>
        </w:rPr>
        <w:t>，最后废水</w:t>
      </w:r>
      <w:r>
        <w:t>经消毒池消毒后，达标排放。</w:t>
      </w:r>
      <w:r>
        <w:rPr>
          <w:rFonts w:hint="eastAsia"/>
        </w:rPr>
        <w:t>调节池、气浮池、</w:t>
      </w:r>
      <w:r>
        <w:t>二沉池剩余污泥送入污泥浓缩池，经过压滤机干化后干污泥定期外运，分离后的清水回流至调节池。</w:t>
      </w:r>
    </w:p>
    <w:p>
      <w:pPr>
        <w:pStyle w:val="6"/>
        <w:bidi w:val="0"/>
      </w:pPr>
      <w:r>
        <w:t>2.</w:t>
      </w:r>
      <w:r>
        <w:rPr>
          <w:rFonts w:hint="eastAsia"/>
          <w:lang w:val="en-US" w:eastAsia="zh-CN"/>
        </w:rPr>
        <w:t>10</w:t>
      </w:r>
      <w:r>
        <w:t>.3</w:t>
      </w:r>
      <w:r>
        <w:rPr>
          <w:rFonts w:hint="eastAsia"/>
          <w:lang w:eastAsia="zh-CN"/>
        </w:rPr>
        <w:t>、</w:t>
      </w:r>
      <w:r>
        <w:t>噪声</w:t>
      </w:r>
    </w:p>
    <w:p>
      <w:pPr>
        <w:bidi w:val="0"/>
      </w:pPr>
      <w:bookmarkStart w:id="452" w:name="_Toc392000480"/>
      <w:bookmarkStart w:id="453" w:name="_Toc392001594"/>
      <w:bookmarkStart w:id="454" w:name="_Toc392001479"/>
      <w:bookmarkStart w:id="455" w:name="_Toc391964363"/>
      <w:bookmarkStart w:id="456" w:name="_Toc335225657"/>
      <w:bookmarkStart w:id="457" w:name="_Toc337482574"/>
      <w:bookmarkStart w:id="458" w:name="_Toc314117717"/>
      <w:bookmarkStart w:id="459" w:name="_Toc313606114"/>
      <w:bookmarkStart w:id="460" w:name="_Toc337482383"/>
      <w:r>
        <w:t>现有工程噪声</w:t>
      </w:r>
      <w:bookmarkEnd w:id="452"/>
      <w:bookmarkEnd w:id="453"/>
      <w:bookmarkEnd w:id="454"/>
      <w:bookmarkEnd w:id="455"/>
      <w:bookmarkStart w:id="461" w:name="_Toc392000481"/>
      <w:bookmarkStart w:id="462" w:name="_Toc392001480"/>
      <w:bookmarkStart w:id="463" w:name="_Toc391964364"/>
      <w:bookmarkStart w:id="464" w:name="_Toc392001595"/>
      <w:r>
        <w:t>治理措施主要为选用低噪声设备，同时对噪声设备基础进行隔振、减震处理</w:t>
      </w:r>
      <w:r>
        <w:rPr>
          <w:rFonts w:hint="eastAsia"/>
          <w:lang w:eastAsia="zh-CN"/>
        </w:rPr>
        <w:t>、</w:t>
      </w:r>
      <w:r>
        <w:rPr>
          <w:rFonts w:hint="eastAsia"/>
          <w:lang w:val="en-US" w:eastAsia="zh-CN"/>
        </w:rPr>
        <w:t>将产噪设备置于室内等措施。</w:t>
      </w:r>
      <w:bookmarkEnd w:id="456"/>
      <w:bookmarkEnd w:id="457"/>
      <w:bookmarkEnd w:id="458"/>
      <w:bookmarkEnd w:id="459"/>
      <w:bookmarkEnd w:id="460"/>
      <w:bookmarkEnd w:id="461"/>
      <w:bookmarkEnd w:id="462"/>
      <w:bookmarkEnd w:id="463"/>
      <w:bookmarkEnd w:id="464"/>
    </w:p>
    <w:p>
      <w:pPr>
        <w:pStyle w:val="6"/>
        <w:bidi w:val="0"/>
      </w:pPr>
      <w:r>
        <w:t>2.</w:t>
      </w:r>
      <w:r>
        <w:rPr>
          <w:rFonts w:hint="eastAsia"/>
          <w:lang w:val="en-US" w:eastAsia="zh-CN"/>
        </w:rPr>
        <w:t>10</w:t>
      </w:r>
      <w:r>
        <w:t>.4</w:t>
      </w:r>
      <w:r>
        <w:rPr>
          <w:rFonts w:hint="eastAsia"/>
          <w:lang w:eastAsia="zh-CN"/>
        </w:rPr>
        <w:t>、</w:t>
      </w:r>
      <w:r>
        <w:t>固体废物</w:t>
      </w:r>
    </w:p>
    <w:p>
      <w:pPr>
        <w:bidi w:val="0"/>
        <w:rPr>
          <w:rFonts w:hint="default"/>
          <w:b/>
          <w:bCs/>
          <w:lang w:val="en-US" w:eastAsia="zh-CN"/>
        </w:rPr>
      </w:pPr>
      <w:r>
        <w:rPr>
          <w:rFonts w:hint="eastAsia"/>
          <w:b/>
          <w:bCs/>
          <w:lang w:val="en-US" w:eastAsia="zh-CN"/>
        </w:rPr>
        <w:t>1、</w:t>
      </w:r>
      <w:r>
        <w:rPr>
          <w:rFonts w:hint="default"/>
          <w:b/>
          <w:bCs/>
          <w:lang w:val="en-US" w:eastAsia="zh-CN"/>
        </w:rPr>
        <w:t>万吨清真肉品冷链物流配送市场服务体系建设项目</w:t>
      </w:r>
    </w:p>
    <w:p>
      <w:pPr>
        <w:bidi w:val="0"/>
        <w:rPr>
          <w:rFonts w:hint="eastAsia"/>
          <w:lang w:val="en-US" w:eastAsia="zh-CN"/>
        </w:rPr>
      </w:pPr>
      <w:r>
        <w:rPr>
          <w:rFonts w:hint="eastAsia"/>
          <w:lang w:val="en-US" w:eastAsia="zh-CN"/>
        </w:rPr>
        <w:t>该项目运行过程中无固废产生。</w:t>
      </w:r>
    </w:p>
    <w:p>
      <w:pPr>
        <w:bidi w:val="0"/>
        <w:rPr>
          <w:rFonts w:hint="default"/>
          <w:lang w:val="en-US" w:eastAsia="zh-CN"/>
        </w:rPr>
      </w:pPr>
      <w:r>
        <w:rPr>
          <w:rFonts w:hint="eastAsia"/>
          <w:b/>
          <w:bCs/>
          <w:lang w:val="en-US" w:eastAsia="zh-CN"/>
        </w:rPr>
        <w:t>2、3万头/年肉牛精深加工生产项目</w:t>
      </w:r>
    </w:p>
    <w:p>
      <w:pPr>
        <w:bidi w:val="0"/>
        <w:rPr>
          <w:rFonts w:hint="default"/>
          <w:lang w:val="en-US" w:eastAsia="zh-CN"/>
        </w:rPr>
      </w:pPr>
      <w:r>
        <w:rPr>
          <w:rFonts w:hint="eastAsia"/>
          <w:lang w:val="en-US" w:eastAsia="zh-CN"/>
        </w:rPr>
        <w:t>（1）待宰圈牛粪</w:t>
      </w:r>
    </w:p>
    <w:p>
      <w:pPr>
        <w:bidi w:val="0"/>
        <w:rPr>
          <w:rFonts w:hint="default"/>
          <w:lang w:val="en-US" w:eastAsia="zh-CN"/>
        </w:rPr>
      </w:pPr>
      <w:r>
        <w:rPr>
          <w:rFonts w:hint="eastAsia"/>
          <w:lang w:val="en-US" w:eastAsia="zh-CN"/>
        </w:rPr>
        <w:t>待宰圈牛粪产生量为21t/a，牛粪集中收集后拉运至有机肥生产车间作为有机肥原料使用。</w:t>
      </w:r>
    </w:p>
    <w:p>
      <w:pPr>
        <w:bidi w:val="0"/>
        <w:rPr>
          <w:rFonts w:hint="default"/>
          <w:lang w:val="en-US" w:eastAsia="zh-CN"/>
        </w:rPr>
      </w:pPr>
      <w:r>
        <w:rPr>
          <w:rFonts w:hint="eastAsia"/>
          <w:lang w:val="en-US" w:eastAsia="zh-CN"/>
        </w:rPr>
        <w:t>（2）屠宰固废</w:t>
      </w:r>
    </w:p>
    <w:p>
      <w:pPr>
        <w:bidi w:val="0"/>
        <w:rPr>
          <w:rFonts w:hint="default"/>
          <w:lang w:val="en-US" w:eastAsia="zh-CN"/>
        </w:rPr>
      </w:pPr>
      <w:r>
        <w:rPr>
          <w:rFonts w:hint="eastAsia"/>
          <w:lang w:val="en-US" w:eastAsia="zh-CN"/>
        </w:rPr>
        <w:t>肉牛屠宰过程中产生的固废量为198.4t/a，屠宰固废集中收集后拉运至有机肥生产车间作为有机肥原料使用。</w:t>
      </w:r>
    </w:p>
    <w:p>
      <w:pPr>
        <w:bidi w:val="0"/>
        <w:rPr>
          <w:rFonts w:hint="default"/>
          <w:lang w:val="en-US" w:eastAsia="zh-CN"/>
        </w:rPr>
      </w:pPr>
      <w:r>
        <w:rPr>
          <w:rFonts w:hint="eastAsia"/>
          <w:lang w:val="en-US" w:eastAsia="zh-CN"/>
        </w:rPr>
        <w:t>（3）废活性炭</w:t>
      </w:r>
    </w:p>
    <w:p>
      <w:pPr>
        <w:bidi w:val="0"/>
        <w:rPr>
          <w:rFonts w:hint="default" w:eastAsia="宋体"/>
          <w:lang w:val="en-US" w:eastAsia="zh-CN"/>
        </w:rPr>
      </w:pPr>
      <w:r>
        <w:rPr>
          <w:rFonts w:hint="eastAsia"/>
          <w:lang w:val="en-US" w:eastAsia="zh-CN"/>
        </w:rPr>
        <w:t>“3万头/年肉牛精深加工生产项目”和“牛羊屠宰副产物综合利用项目”共用1座综合生产车间，生产过程中产生的废气（硫化氢、氨）共用1套活性炭吸附装置进行处理，废活性炭产生量为</w:t>
      </w:r>
      <w:r>
        <w:rPr>
          <w:rFonts w:hint="eastAsia"/>
        </w:rPr>
        <w:t>2.4t/a</w:t>
      </w:r>
      <w:r>
        <w:rPr>
          <w:rFonts w:hint="eastAsia"/>
          <w:lang w:eastAsia="zh-CN"/>
        </w:rPr>
        <w:t>。</w:t>
      </w:r>
      <w:r>
        <w:rPr>
          <w:rFonts w:hint="eastAsia"/>
          <w:lang w:val="en-US" w:eastAsia="zh-CN"/>
        </w:rPr>
        <w:t>废活性炭集中收集后交由嘉峪关刘氏泰和环保科技有限公司处置。</w:t>
      </w:r>
    </w:p>
    <w:p>
      <w:pPr>
        <w:bidi w:val="0"/>
        <w:rPr>
          <w:rFonts w:hint="default"/>
          <w:b/>
          <w:bCs/>
          <w:lang w:val="en-US" w:eastAsia="zh-CN"/>
        </w:rPr>
      </w:pPr>
      <w:r>
        <w:rPr>
          <w:rFonts w:hint="eastAsia"/>
          <w:b/>
          <w:bCs/>
          <w:lang w:val="en-US" w:eastAsia="zh-CN"/>
        </w:rPr>
        <w:t>3、5000头肉牛繁育基地基础设施建设项目</w:t>
      </w:r>
    </w:p>
    <w:p>
      <w:pPr>
        <w:bidi w:val="0"/>
        <w:rPr>
          <w:rFonts w:hint="default"/>
          <w:lang w:val="en-US" w:eastAsia="zh-CN"/>
        </w:rPr>
      </w:pPr>
      <w:r>
        <w:rPr>
          <w:rFonts w:hint="eastAsia"/>
          <w:b/>
          <w:bCs/>
          <w:lang w:val="en-US" w:eastAsia="zh-CN"/>
        </w:rPr>
        <w:t>（1）牛粪</w:t>
      </w:r>
    </w:p>
    <w:p>
      <w:pPr>
        <w:bidi w:val="0"/>
        <w:rPr>
          <w:rFonts w:hint="default"/>
          <w:lang w:val="en-US" w:eastAsia="zh-CN"/>
        </w:rPr>
      </w:pPr>
      <w:r>
        <w:rPr>
          <w:rFonts w:hint="eastAsia"/>
          <w:lang w:val="en-US" w:eastAsia="zh-CN"/>
        </w:rPr>
        <w:t>肉牛养殖过程中会产生牛粪，牛粪的产生量为5.5万t/a，牛粪集中收集后拉运至有机肥生产车间作为有机肥原料使用。</w:t>
      </w:r>
    </w:p>
    <w:p>
      <w:pPr>
        <w:bidi w:val="0"/>
        <w:rPr>
          <w:rFonts w:hint="default"/>
          <w:b/>
          <w:bCs/>
          <w:lang w:val="en-US" w:eastAsia="zh-CN"/>
        </w:rPr>
      </w:pPr>
      <w:r>
        <w:rPr>
          <w:rFonts w:hint="eastAsia"/>
          <w:b/>
          <w:bCs/>
          <w:lang w:val="en-US" w:eastAsia="zh-CN"/>
        </w:rPr>
        <w:t>（2）精饲料生产加工线去杂工段产生的杂质</w:t>
      </w:r>
    </w:p>
    <w:p>
      <w:pPr>
        <w:bidi w:val="0"/>
        <w:rPr>
          <w:rFonts w:hint="default"/>
          <w:lang w:val="en-US" w:eastAsia="zh-CN"/>
        </w:rPr>
      </w:pPr>
      <w:r>
        <w:rPr>
          <w:rFonts w:hint="eastAsia"/>
          <w:lang w:val="en-US" w:eastAsia="zh-CN"/>
        </w:rPr>
        <w:t>精饲料生产加工线去杂工段产生的杂质主要以铁质杂质为主，产生量为1.2t/a，该部分杂质集中收集后外售废旧回收单位综合利用。</w:t>
      </w:r>
    </w:p>
    <w:p>
      <w:pPr>
        <w:bidi w:val="0"/>
        <w:rPr>
          <w:rFonts w:hint="default"/>
          <w:b/>
          <w:bCs/>
          <w:lang w:val="en-US" w:eastAsia="zh-CN"/>
        </w:rPr>
      </w:pPr>
      <w:r>
        <w:rPr>
          <w:rFonts w:hint="eastAsia"/>
          <w:b/>
          <w:bCs/>
          <w:lang w:val="en-US" w:eastAsia="zh-CN"/>
        </w:rPr>
        <w:t>（3）除尘器收尘灰</w:t>
      </w:r>
    </w:p>
    <w:p>
      <w:pPr>
        <w:bidi w:val="0"/>
        <w:rPr>
          <w:rFonts w:hint="default"/>
          <w:lang w:val="en-US" w:eastAsia="zh-CN"/>
        </w:rPr>
      </w:pPr>
      <w:r>
        <w:rPr>
          <w:rFonts w:hint="eastAsia"/>
          <w:lang w:val="en-US" w:eastAsia="zh-CN"/>
        </w:rPr>
        <w:t>精饲料生产加工线布袋除尘器收尘灰产生量为5.8t/a，布袋除尘器收尘灰集中收集后作为精饲料生产加工线原料使用。</w:t>
      </w:r>
    </w:p>
    <w:p>
      <w:pPr>
        <w:bidi w:val="0"/>
        <w:rPr>
          <w:rFonts w:hint="default"/>
          <w:b/>
          <w:bCs/>
          <w:lang w:val="en-US" w:eastAsia="zh-CN"/>
        </w:rPr>
      </w:pPr>
      <w:r>
        <w:rPr>
          <w:rFonts w:hint="eastAsia"/>
          <w:b/>
          <w:bCs/>
          <w:lang w:val="en-US" w:eastAsia="zh-CN"/>
        </w:rPr>
        <w:t>（4）病死牛</w:t>
      </w:r>
    </w:p>
    <w:p>
      <w:pPr>
        <w:bidi w:val="0"/>
        <w:rPr>
          <w:rFonts w:hint="default"/>
          <w:lang w:val="en-US" w:eastAsia="zh-CN"/>
        </w:rPr>
      </w:pPr>
      <w:r>
        <w:rPr>
          <w:rFonts w:hint="eastAsia"/>
          <w:lang w:val="en-US" w:eastAsia="zh-CN"/>
        </w:rPr>
        <w:t>养殖过程中病死牛产生量为5.0t/a，病死牛集中收集后交由甘州区甘浚镇畜牧兽医站。</w:t>
      </w:r>
    </w:p>
    <w:p>
      <w:pPr>
        <w:bidi w:val="0"/>
        <w:rPr>
          <w:rFonts w:hint="default"/>
          <w:b/>
          <w:bCs/>
          <w:lang w:val="en-US" w:eastAsia="zh-CN"/>
        </w:rPr>
      </w:pPr>
      <w:r>
        <w:rPr>
          <w:rFonts w:hint="eastAsia"/>
          <w:b/>
          <w:bCs/>
          <w:lang w:val="en-US" w:eastAsia="zh-CN"/>
        </w:rPr>
        <w:t>（5）医疗废物</w:t>
      </w:r>
    </w:p>
    <w:p>
      <w:pPr>
        <w:bidi w:val="0"/>
        <w:rPr>
          <w:rFonts w:hint="default"/>
          <w:b w:val="0"/>
          <w:bCs w:val="0"/>
          <w:lang w:val="en-US" w:eastAsia="zh-CN"/>
        </w:rPr>
      </w:pPr>
      <w:r>
        <w:rPr>
          <w:rFonts w:hint="eastAsia"/>
          <w:b w:val="0"/>
          <w:bCs w:val="0"/>
          <w:lang w:val="en-US" w:eastAsia="zh-CN"/>
        </w:rPr>
        <w:t>对肉牛进行防疫、诊断等过程中会产生医疗废物，医疗废物属于危险危废（HW01/医疗废物/841-001-01），医疗废物产生量为0.01t/a，该部分废物集中收集在危废暂存间，经危废暂存间暂存后交由甘州区甘浚镇畜牧兽医站统一处置。</w:t>
      </w:r>
    </w:p>
    <w:p>
      <w:pPr>
        <w:bidi w:val="0"/>
        <w:rPr>
          <w:rFonts w:hint="default"/>
          <w:b/>
          <w:bCs/>
          <w:color w:val="auto"/>
          <w:lang w:val="en-US" w:eastAsia="zh-CN"/>
        </w:rPr>
      </w:pPr>
      <w:r>
        <w:rPr>
          <w:rFonts w:hint="eastAsia"/>
          <w:b/>
          <w:bCs/>
          <w:lang w:val="en-US" w:eastAsia="zh-CN"/>
        </w:rPr>
        <w:t>4、牛羊屠宰副产物综合利用项目</w:t>
      </w:r>
    </w:p>
    <w:p>
      <w:pPr>
        <w:keepNext w:val="0"/>
        <w:keepLines w:val="0"/>
        <w:suppressLineNumbers w:val="0"/>
        <w:bidi w:val="0"/>
        <w:spacing w:before="0" w:beforeAutospacing="0" w:after="0" w:afterAutospacing="0"/>
        <w:ind w:left="0" w:right="0"/>
        <w:rPr>
          <w:rFonts w:hint="default" w:ascii="Times New Roman" w:hAnsi="Times New Roman" w:cs="Times New Roman"/>
          <w:color w:val="auto"/>
        </w:rPr>
      </w:pPr>
      <w:r>
        <w:rPr>
          <w:rFonts w:hint="default" w:ascii="Times New Roman" w:hAnsi="Times New Roman" w:cs="Times New Roman"/>
          <w:b/>
          <w:bCs/>
          <w:color w:val="auto"/>
          <w:lang w:val="en-US" w:eastAsia="zh-CN"/>
        </w:rPr>
        <w:t>（1）脱毛头蹄加工生产线</w:t>
      </w:r>
    </w:p>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①毛发</w:t>
      </w:r>
    </w:p>
    <w:p>
      <w:pPr>
        <w:keepNext w:val="0"/>
        <w:keepLines w:val="0"/>
        <w:widowControl/>
        <w:suppressLineNumbers w:val="0"/>
        <w:spacing w:before="0" w:beforeAutospacing="0" w:after="0" w:afterAutospacing="0"/>
        <w:ind w:left="0" w:right="0"/>
        <w:jc w:val="left"/>
        <w:rPr>
          <w:rFonts w:hint="default" w:ascii="Times New Roman" w:hAnsi="Times New Roman" w:cs="Times New Roman"/>
          <w:lang w:val="en-US"/>
        </w:rPr>
      </w:pPr>
      <w:r>
        <w:rPr>
          <w:rFonts w:hint="default" w:ascii="Times New Roman" w:hAnsi="Times New Roman" w:cs="Times New Roman"/>
          <w:b w:val="0"/>
          <w:bCs w:val="0"/>
          <w:color w:val="auto"/>
          <w:lang w:val="en-US" w:eastAsia="zh-CN"/>
        </w:rPr>
        <w:t>牛羊头蹄在加工时需要进行脱毛，脱毛过程中会产生一定量的毛发，</w:t>
      </w:r>
      <w:r>
        <w:rPr>
          <w:rFonts w:hint="default" w:ascii="Times New Roman" w:hAnsi="Times New Roman" w:eastAsia="宋体" w:cs="Times New Roman"/>
          <w:color w:val="auto"/>
          <w:kern w:val="0"/>
          <w:sz w:val="24"/>
          <w:szCs w:val="24"/>
          <w:lang w:val="en-US" w:eastAsia="zh-CN" w:bidi="ar"/>
        </w:rPr>
        <w:t>根据现场调查，毛发产生量为10.5t/a，毛发集中收集后拉运至有机肥生产车间作为原料使用。</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②蹄匣</w:t>
      </w:r>
    </w:p>
    <w:p>
      <w:pPr>
        <w:keepNext w:val="0"/>
        <w:keepLines w:val="0"/>
        <w:widowControl/>
        <w:suppressLineNumbers w:val="0"/>
        <w:spacing w:before="0" w:beforeAutospacing="0" w:after="0" w:afterAutospacing="0"/>
        <w:ind w:left="0" w:right="0"/>
        <w:jc w:val="left"/>
        <w:rPr>
          <w:rFonts w:hint="default" w:ascii="Times New Roman" w:hAnsi="Times New Roman" w:cs="Times New Roman"/>
          <w:color w:val="auto"/>
        </w:rPr>
      </w:pPr>
      <w:r>
        <w:rPr>
          <w:rFonts w:hint="default" w:ascii="Times New Roman" w:hAnsi="Times New Roman" w:cs="Times New Roman"/>
          <w:b w:val="0"/>
          <w:bCs w:val="0"/>
          <w:color w:val="auto"/>
          <w:lang w:val="en-US" w:eastAsia="zh-CN"/>
        </w:rPr>
        <w:t>牛羊蹄在加工时需要去除蹄</w:t>
      </w:r>
      <w:r>
        <w:rPr>
          <w:rFonts w:hint="default" w:ascii="Times New Roman" w:hAnsi="Times New Roman" w:eastAsia="宋体" w:cs="Times New Roman"/>
          <w:color w:val="000000"/>
          <w:kern w:val="0"/>
          <w:sz w:val="24"/>
          <w:szCs w:val="24"/>
          <w:lang w:val="en-US" w:eastAsia="zh-CN" w:bidi="ar"/>
        </w:rPr>
        <w:t>匣</w:t>
      </w:r>
      <w:r>
        <w:rPr>
          <w:rFonts w:hint="default" w:ascii="Times New Roman" w:hAnsi="Times New Roman" w:cs="Times New Roman"/>
          <w:color w:val="000000"/>
          <w:kern w:val="0"/>
          <w:sz w:val="24"/>
          <w:szCs w:val="24"/>
          <w:lang w:val="en-US" w:eastAsia="zh-CN" w:bidi="ar"/>
        </w:rPr>
        <w:t>，会产生废</w:t>
      </w:r>
      <w:r>
        <w:rPr>
          <w:rFonts w:hint="default" w:ascii="Times New Roman" w:hAnsi="Times New Roman" w:cs="Times New Roman"/>
          <w:b w:val="0"/>
          <w:bCs w:val="0"/>
          <w:color w:val="auto"/>
          <w:lang w:val="en-US" w:eastAsia="zh-CN"/>
        </w:rPr>
        <w:t>蹄</w:t>
      </w:r>
      <w:r>
        <w:rPr>
          <w:rFonts w:hint="default" w:ascii="Times New Roman" w:hAnsi="Times New Roman" w:eastAsia="宋体" w:cs="Times New Roman"/>
          <w:color w:val="000000"/>
          <w:kern w:val="0"/>
          <w:sz w:val="24"/>
          <w:szCs w:val="24"/>
          <w:lang w:val="en-US" w:eastAsia="zh-CN" w:bidi="ar"/>
        </w:rPr>
        <w:t>匣</w:t>
      </w:r>
      <w:r>
        <w:rPr>
          <w:rFonts w:hint="default" w:ascii="Times New Roman" w:hAnsi="Times New Roman" w:cs="Times New Roman"/>
          <w:color w:val="000000"/>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根据现场调查，蹄匣产生量为22.5t/a，蹄匣集中收集后拉运至有机肥生产车间作为原料使用。</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③整形废料</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auto"/>
          <w:kern w:val="0"/>
          <w:sz w:val="24"/>
          <w:szCs w:val="24"/>
          <w:lang w:val="en-US" w:eastAsia="zh-CN" w:bidi="ar"/>
        </w:rPr>
        <w:t>整形检验过程将挑除形状不好、无美感的牛羊头蹄，</w:t>
      </w:r>
      <w:r>
        <w:rPr>
          <w:rFonts w:hint="default" w:ascii="Times New Roman" w:hAnsi="Times New Roman" w:cs="Times New Roman"/>
          <w:color w:val="auto"/>
          <w:kern w:val="0"/>
          <w:sz w:val="24"/>
          <w:szCs w:val="24"/>
          <w:lang w:val="en-US" w:eastAsia="zh-CN" w:bidi="ar"/>
        </w:rPr>
        <w:t>会产生一定量的整形废料，</w:t>
      </w:r>
      <w:r>
        <w:rPr>
          <w:rFonts w:hint="default" w:ascii="Times New Roman" w:hAnsi="Times New Roman" w:eastAsia="宋体" w:cs="Times New Roman"/>
          <w:color w:val="auto"/>
          <w:kern w:val="0"/>
          <w:sz w:val="24"/>
          <w:szCs w:val="24"/>
          <w:lang w:val="en-US" w:eastAsia="zh-CN" w:bidi="ar"/>
        </w:rPr>
        <w:t>根据现场调查，整形废料产生量为17.1t/a，整形废料集中收集后拉运至有机肥生产车间作为原料使用。</w:t>
      </w:r>
    </w:p>
    <w:p>
      <w:pPr>
        <w:keepNext w:val="0"/>
        <w:keepLines w:val="0"/>
        <w:suppressLineNumbers w:val="0"/>
        <w:bidi w:val="0"/>
        <w:spacing w:before="0" w:beforeAutospacing="0" w:after="0" w:afterAutospacing="0"/>
        <w:ind w:left="0" w:right="0"/>
        <w:rPr>
          <w:rFonts w:hint="default" w:ascii="Times New Roman" w:hAnsi="Times New Roman" w:cs="Times New Roman"/>
          <w:b/>
          <w:bCs/>
        </w:rPr>
      </w:pPr>
      <w:r>
        <w:rPr>
          <w:rFonts w:hint="default" w:ascii="Times New Roman" w:hAnsi="Times New Roman" w:cs="Times New Roman"/>
          <w:b/>
          <w:bCs/>
          <w:lang w:val="en-US" w:eastAsia="zh-CN"/>
        </w:rPr>
        <w:t>（2）红白内脏加工生产线</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①肉末、肉渣</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auto"/>
          <w:kern w:val="0"/>
          <w:sz w:val="24"/>
          <w:szCs w:val="24"/>
          <w:lang w:val="en-US" w:eastAsia="zh-CN" w:bidi="ar"/>
        </w:rPr>
        <w:t>牛羊内脏原料加工过程应首先去除肾脏白膜、脂肪、筋，胃、肠薄膜等，主要成分为蛋白质。根据现场调查，</w:t>
      </w:r>
      <w:r>
        <w:rPr>
          <w:rFonts w:hint="default" w:ascii="Times New Roman" w:hAnsi="Times New Roman" w:eastAsia="宋体" w:cs="Times New Roman"/>
          <w:color w:val="000000"/>
          <w:kern w:val="0"/>
          <w:sz w:val="24"/>
          <w:szCs w:val="24"/>
          <w:lang w:val="en-US" w:eastAsia="zh-CN" w:bidi="ar"/>
        </w:rPr>
        <w:t>肉末、肉渣</w:t>
      </w:r>
      <w:r>
        <w:rPr>
          <w:rFonts w:hint="default" w:ascii="Times New Roman" w:hAnsi="Times New Roman" w:eastAsia="宋体" w:cs="Times New Roman"/>
          <w:color w:val="auto"/>
          <w:kern w:val="0"/>
          <w:sz w:val="24"/>
          <w:szCs w:val="24"/>
          <w:lang w:val="en-US" w:eastAsia="zh-CN" w:bidi="ar"/>
        </w:rPr>
        <w:t>产生量为128.2t/a，</w:t>
      </w:r>
      <w:r>
        <w:rPr>
          <w:rFonts w:hint="default" w:ascii="Times New Roman" w:hAnsi="Times New Roman" w:eastAsia="宋体" w:cs="Times New Roman"/>
          <w:color w:val="000000"/>
          <w:kern w:val="0"/>
          <w:sz w:val="24"/>
          <w:szCs w:val="24"/>
          <w:lang w:val="en-US" w:eastAsia="zh-CN" w:bidi="ar"/>
        </w:rPr>
        <w:t>肉末、肉渣</w:t>
      </w:r>
      <w:r>
        <w:rPr>
          <w:rFonts w:hint="default" w:ascii="Times New Roman" w:hAnsi="Times New Roman" w:eastAsia="宋体" w:cs="Times New Roman"/>
          <w:color w:val="auto"/>
          <w:kern w:val="0"/>
          <w:sz w:val="24"/>
          <w:szCs w:val="24"/>
          <w:lang w:val="en-US" w:eastAsia="zh-CN" w:bidi="ar"/>
        </w:rPr>
        <w:t>集中收集后拉运至有机肥生产车间作为原料使用。</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②整形废料</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auto"/>
          <w:kern w:val="0"/>
          <w:sz w:val="24"/>
          <w:szCs w:val="24"/>
          <w:lang w:val="en-US" w:eastAsia="zh-CN" w:bidi="ar"/>
        </w:rPr>
        <w:t>整形检验过程将挑除形状不好、无美感的内脏产品，根据现场调查，</w:t>
      </w:r>
      <w:r>
        <w:rPr>
          <w:rFonts w:hint="default" w:ascii="Times New Roman" w:hAnsi="Times New Roman" w:eastAsia="宋体" w:cs="Times New Roman"/>
          <w:color w:val="000000"/>
          <w:kern w:val="0"/>
          <w:sz w:val="24"/>
          <w:szCs w:val="24"/>
          <w:lang w:val="en-US" w:eastAsia="zh-CN" w:bidi="ar"/>
        </w:rPr>
        <w:t>整形废料产生</w:t>
      </w:r>
      <w:r>
        <w:rPr>
          <w:rFonts w:hint="default" w:ascii="Times New Roman" w:hAnsi="Times New Roman" w:eastAsia="宋体" w:cs="Times New Roman"/>
          <w:color w:val="auto"/>
          <w:kern w:val="0"/>
          <w:sz w:val="24"/>
          <w:szCs w:val="24"/>
          <w:lang w:val="en-US" w:eastAsia="zh-CN" w:bidi="ar"/>
        </w:rPr>
        <w:t>量为13.5t/a，整</w:t>
      </w:r>
      <w:r>
        <w:rPr>
          <w:rFonts w:hint="default" w:ascii="Times New Roman" w:hAnsi="Times New Roman" w:eastAsia="宋体" w:cs="Times New Roman"/>
          <w:color w:val="000000"/>
          <w:kern w:val="0"/>
          <w:sz w:val="24"/>
          <w:szCs w:val="24"/>
          <w:lang w:val="en-US" w:eastAsia="zh-CN" w:bidi="ar"/>
        </w:rPr>
        <w:t>形废料</w:t>
      </w:r>
      <w:r>
        <w:rPr>
          <w:rFonts w:hint="default" w:ascii="Times New Roman" w:hAnsi="Times New Roman" w:eastAsia="宋体" w:cs="Times New Roman"/>
          <w:color w:val="auto"/>
          <w:kern w:val="0"/>
          <w:sz w:val="24"/>
          <w:szCs w:val="24"/>
          <w:lang w:val="en-US" w:eastAsia="zh-CN" w:bidi="ar"/>
        </w:rPr>
        <w:t>集中收集后拉运至有机肥生产车间作为原料使用。</w:t>
      </w:r>
    </w:p>
    <w:p>
      <w:pPr>
        <w:keepNext w:val="0"/>
        <w:keepLines w:val="0"/>
        <w:widowControl/>
        <w:suppressLineNumbers w:val="0"/>
        <w:spacing w:before="0" w:beforeAutospacing="0" w:after="0" w:afterAutospacing="0"/>
        <w:ind w:left="0" w:right="0"/>
        <w:jc w:val="left"/>
        <w:rPr>
          <w:rFonts w:hint="default" w:ascii="Times New Roman" w:hAnsi="Times New Roman" w:cs="Times New Roman"/>
          <w:b/>
          <w:bCs/>
          <w:lang w:val="en-US"/>
        </w:rPr>
      </w:pPr>
      <w:r>
        <w:rPr>
          <w:rFonts w:hint="default" w:ascii="Times New Roman" w:hAnsi="Times New Roman" w:eastAsia="宋体" w:cs="Times New Roman"/>
          <w:b/>
          <w:bCs/>
          <w:color w:val="000000"/>
          <w:kern w:val="0"/>
          <w:sz w:val="24"/>
          <w:szCs w:val="24"/>
          <w:lang w:val="en-US" w:eastAsia="zh-CN" w:bidi="ar"/>
        </w:rPr>
        <w:t>（3）</w:t>
      </w:r>
      <w:r>
        <w:rPr>
          <w:rFonts w:hint="default" w:ascii="Times New Roman" w:hAnsi="Times New Roman" w:cs="Times New Roman"/>
          <w:b/>
          <w:bCs/>
          <w:lang w:val="en-US" w:eastAsia="zh-CN"/>
        </w:rPr>
        <w:t>酱卤熟制品生产线</w:t>
      </w:r>
    </w:p>
    <w:p>
      <w:pPr>
        <w:keepNext w:val="0"/>
        <w:keepLines w:val="0"/>
        <w:widowControl/>
        <w:suppressLineNumbers w:val="0"/>
        <w:spacing w:before="0" w:beforeAutospacing="0" w:after="0" w:afterAutospacing="0"/>
        <w:ind w:left="0" w:right="0"/>
        <w:jc w:val="left"/>
        <w:rPr>
          <w:rFonts w:hint="default" w:ascii="Times New Roman" w:hAnsi="Times New Roman" w:cs="Times New Roman"/>
          <w:lang w:val="en-US"/>
        </w:rPr>
      </w:pPr>
      <w:r>
        <w:rPr>
          <w:rFonts w:hint="default" w:ascii="Times New Roman" w:hAnsi="Times New Roman" w:eastAsia="宋体" w:cs="Times New Roman"/>
          <w:color w:val="000000"/>
          <w:kern w:val="0"/>
          <w:sz w:val="24"/>
          <w:szCs w:val="24"/>
          <w:lang w:val="en-US" w:eastAsia="zh-CN" w:bidi="ar"/>
        </w:rPr>
        <w:t>①不合格产品</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auto"/>
          <w:kern w:val="0"/>
          <w:sz w:val="24"/>
          <w:szCs w:val="24"/>
          <w:lang w:val="en-US" w:eastAsia="zh-CN" w:bidi="ar"/>
        </w:rPr>
        <w:t>杀菌降温后的产品须进行检验，发现涨袋的即为不合格品，根据现场调查，不合格产品产生量10.2t/a，不合格品集中收集后拉运至有机肥生产车间作为原料使用。</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000000"/>
          <w:kern w:val="0"/>
          <w:sz w:val="24"/>
          <w:szCs w:val="24"/>
          <w:lang w:val="en-US" w:eastAsia="zh-CN" w:bidi="ar"/>
        </w:rPr>
        <w:t>②废调料</w:t>
      </w:r>
    </w:p>
    <w:p>
      <w:pPr>
        <w:keepNext w:val="0"/>
        <w:keepLines w:val="0"/>
        <w:widowControl/>
        <w:suppressLineNumbers w:val="0"/>
        <w:spacing w:before="0" w:beforeAutospacing="0" w:after="0" w:afterAutospacing="0"/>
        <w:ind w:left="0" w:right="0"/>
        <w:jc w:val="left"/>
        <w:rPr>
          <w:rFonts w:hint="default" w:ascii="Times New Roman" w:hAnsi="Times New Roman" w:cs="Times New Roman"/>
        </w:rPr>
      </w:pPr>
      <w:r>
        <w:rPr>
          <w:rFonts w:hint="default" w:ascii="Times New Roman" w:hAnsi="Times New Roman" w:eastAsia="宋体" w:cs="Times New Roman"/>
          <w:color w:val="auto"/>
          <w:kern w:val="0"/>
          <w:sz w:val="24"/>
          <w:szCs w:val="24"/>
          <w:lang w:val="en-US" w:eastAsia="zh-CN" w:bidi="ar"/>
        </w:rPr>
        <w:t>卤汁熬制过程须加入各类调味料，除去可溶解性的盐、味精、鸡精等，不可溶的调味料有葱、姜、蒜等</w:t>
      </w:r>
      <w:r>
        <w:rPr>
          <w:rFonts w:hint="default" w:ascii="Times New Roman" w:hAnsi="Times New Roman" w:cs="Times New Roman"/>
          <w:color w:val="auto"/>
          <w:kern w:val="0"/>
          <w:sz w:val="24"/>
          <w:szCs w:val="24"/>
          <w:lang w:val="en-US" w:eastAsia="zh-CN" w:bidi="ar"/>
        </w:rPr>
        <w:t>，不可溶的调料全部为废调料</w:t>
      </w:r>
      <w:r>
        <w:rPr>
          <w:rFonts w:hint="default" w:ascii="Times New Roman" w:hAnsi="Times New Roman" w:eastAsia="宋体" w:cs="Times New Roman"/>
          <w:color w:val="auto"/>
          <w:kern w:val="0"/>
          <w:sz w:val="24"/>
          <w:szCs w:val="24"/>
          <w:lang w:val="en-US" w:eastAsia="zh-CN" w:bidi="ar"/>
        </w:rPr>
        <w:t>，根据现场调查，废调料产生量3.5t/a，</w:t>
      </w:r>
      <w:r>
        <w:rPr>
          <w:rFonts w:hint="default" w:ascii="Times New Roman" w:hAnsi="Times New Roman" w:eastAsia="宋体" w:cs="Times New Roman"/>
          <w:color w:val="000000"/>
          <w:kern w:val="0"/>
          <w:sz w:val="24"/>
          <w:szCs w:val="24"/>
          <w:lang w:val="en-US" w:eastAsia="zh-CN" w:bidi="ar"/>
        </w:rPr>
        <w:t>废调料</w:t>
      </w:r>
      <w:r>
        <w:rPr>
          <w:rFonts w:hint="default" w:ascii="Times New Roman" w:hAnsi="Times New Roman" w:eastAsia="宋体" w:cs="Times New Roman"/>
          <w:color w:val="auto"/>
          <w:kern w:val="0"/>
          <w:sz w:val="24"/>
          <w:szCs w:val="24"/>
          <w:lang w:val="en-US" w:eastAsia="zh-CN" w:bidi="ar"/>
        </w:rPr>
        <w:t>集中收集后拉运至有机肥生产车间作为原料使用。</w:t>
      </w:r>
    </w:p>
    <w:p>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（4）废包装</w:t>
      </w:r>
    </w:p>
    <w:p>
      <w:pPr>
        <w:bidi w:val="0"/>
        <w:rPr>
          <w:rFonts w:hint="eastAsia"/>
          <w:lang w:val="en-US" w:eastAsia="zh-CN"/>
        </w:rPr>
      </w:pPr>
      <w:r>
        <w:rPr>
          <w:rFonts w:hint="default" w:ascii="Times New Roman" w:hAnsi="Times New Roman" w:eastAsia="宋体" w:cs="Times New Roman"/>
          <w:color w:val="auto"/>
          <w:kern w:val="0"/>
          <w:sz w:val="24"/>
          <w:szCs w:val="24"/>
          <w:lang w:val="en-US" w:eastAsia="zh-CN" w:bidi="ar"/>
        </w:rPr>
        <w:t>根据现场调查，</w:t>
      </w:r>
      <w:r>
        <w:rPr>
          <w:rFonts w:hint="default" w:ascii="Times New Roman" w:hAnsi="Times New Roman" w:eastAsia="宋体" w:cs="Times New Roman"/>
          <w:color w:val="000000"/>
          <w:kern w:val="0"/>
          <w:sz w:val="24"/>
          <w:szCs w:val="24"/>
          <w:lang w:val="en-US" w:eastAsia="zh-CN" w:bidi="ar"/>
        </w:rPr>
        <w:t>废包装袋产生量约0.22t/a，废纸箱及废包装袋集中收集后外售废品收购单位处置。</w:t>
      </w:r>
    </w:p>
    <w:p>
      <w:pPr>
        <w:bidi w:val="0"/>
        <w:rPr>
          <w:rFonts w:hint="default"/>
          <w:b/>
          <w:bCs/>
          <w:lang w:val="en-US" w:eastAsia="zh-CN"/>
        </w:rPr>
      </w:pPr>
      <w:r>
        <w:rPr>
          <w:rFonts w:hint="eastAsia"/>
          <w:b/>
          <w:bCs/>
          <w:lang w:val="en-US" w:eastAsia="zh-CN"/>
        </w:rPr>
        <w:t>5、</w:t>
      </w:r>
      <w:r>
        <w:rPr>
          <w:rFonts w:hint="default"/>
          <w:b/>
          <w:bCs/>
          <w:lang w:eastAsia="zh-CN"/>
        </w:rPr>
        <w:t>节水型工农业复合循环体系改造升级</w:t>
      </w:r>
      <w:r>
        <w:rPr>
          <w:rFonts w:hint="default"/>
          <w:b/>
          <w:bCs/>
        </w:rPr>
        <w:t>项目</w:t>
      </w:r>
    </w:p>
    <w:p>
      <w:pPr>
        <w:bidi w:val="0"/>
        <w:rPr>
          <w:rFonts w:hint="default"/>
          <w:b/>
          <w:bCs/>
          <w:lang w:val="en-US" w:eastAsia="zh-CN"/>
        </w:rPr>
      </w:pPr>
      <w:r>
        <w:rPr>
          <w:rFonts w:hint="eastAsia"/>
          <w:b/>
          <w:bCs/>
          <w:lang w:val="en-US" w:eastAsia="zh-CN"/>
        </w:rPr>
        <w:t>（1）</w:t>
      </w:r>
      <w:r>
        <w:rPr>
          <w:rFonts w:hint="default"/>
          <w:b/>
          <w:bCs/>
          <w:lang w:val="en-US" w:eastAsia="zh-CN"/>
        </w:rPr>
        <w:t>除尘器、降尘室</w:t>
      </w:r>
      <w:r>
        <w:rPr>
          <w:rFonts w:hint="eastAsia"/>
          <w:b/>
          <w:bCs/>
          <w:lang w:val="en-US" w:eastAsia="zh-CN"/>
        </w:rPr>
        <w:t>收尘灰</w:t>
      </w:r>
    </w:p>
    <w:p>
      <w:pPr>
        <w:bidi w:val="0"/>
        <w:rPr>
          <w:rFonts w:hint="default"/>
          <w:lang w:val="en-US" w:eastAsia="zh-CN"/>
        </w:rPr>
      </w:pPr>
      <w:r>
        <w:rPr>
          <w:rFonts w:hint="eastAsia"/>
          <w:lang w:val="en-US" w:eastAsia="zh-CN"/>
        </w:rPr>
        <w:t>除尘器、降尘室收尘灰产生量为3.5t/a，该部分固废集中收集后作为有机肥生产原料使用。</w:t>
      </w:r>
    </w:p>
    <w:p>
      <w:pPr>
        <w:bidi w:val="0"/>
        <w:rPr>
          <w:rFonts w:hint="default"/>
          <w:b/>
          <w:bCs/>
          <w:lang w:val="en-US" w:eastAsia="zh-CN"/>
        </w:rPr>
      </w:pPr>
      <w:r>
        <w:rPr>
          <w:rFonts w:hint="eastAsia"/>
          <w:b/>
          <w:bCs/>
          <w:lang w:val="en-US" w:eastAsia="zh-CN"/>
        </w:rPr>
        <w:t>（2）废活性炭</w:t>
      </w:r>
    </w:p>
    <w:p>
      <w:pPr>
        <w:bidi w:val="0"/>
        <w:rPr>
          <w:rFonts w:hint="default"/>
          <w:lang w:val="en-US" w:eastAsia="zh-CN"/>
        </w:rPr>
      </w:pPr>
      <w:r>
        <w:rPr>
          <w:rFonts w:hint="eastAsia"/>
          <w:lang w:val="en-US" w:eastAsia="zh-CN"/>
        </w:rPr>
        <w:t>有机肥生产车间发酵工段产生的废气采用活性炭吸附装置进行处理，活性炭吸附装置在处理过程中会产生废活性炭，废活性炭属于危险废物（HW49/其他废物/900-039-49），废活性炭产生量为0.85t/a，废活性炭集中收集后交由嘉峪关刘氏泰和环保科技有限公司处置。</w:t>
      </w:r>
    </w:p>
    <w:p>
      <w:pPr>
        <w:bidi w:val="0"/>
        <w:rPr>
          <w:rFonts w:hint="default"/>
          <w:b/>
          <w:bCs/>
          <w:lang w:val="en-US" w:eastAsia="zh-CN"/>
        </w:rPr>
      </w:pPr>
      <w:r>
        <w:rPr>
          <w:rFonts w:hint="eastAsia"/>
          <w:b/>
          <w:bCs/>
          <w:lang w:val="en-US" w:eastAsia="zh-CN"/>
        </w:rPr>
        <w:t>6、其他</w:t>
      </w:r>
    </w:p>
    <w:p>
      <w:pPr>
        <w:bidi w:val="0"/>
        <w:rPr>
          <w:rFonts w:hint="default"/>
          <w:b/>
          <w:bCs/>
          <w:lang w:val="en-US" w:eastAsia="zh-CN"/>
        </w:rPr>
      </w:pPr>
      <w:r>
        <w:rPr>
          <w:rFonts w:hint="eastAsia"/>
          <w:b/>
          <w:bCs/>
          <w:lang w:val="en-US" w:eastAsia="zh-CN"/>
        </w:rPr>
        <w:t>（1）生活垃圾</w:t>
      </w:r>
    </w:p>
    <w:p>
      <w:pPr>
        <w:bidi w:val="0"/>
        <w:rPr>
          <w:rFonts w:hint="default"/>
          <w:lang w:val="en-US" w:eastAsia="zh-CN"/>
        </w:rPr>
      </w:pPr>
      <w:r>
        <w:rPr>
          <w:rFonts w:hint="eastAsia"/>
          <w:lang w:val="en-US" w:eastAsia="zh-CN"/>
        </w:rPr>
        <w:t>生活垃圾产生量为21.6t/a，生活垃圾集中收集后交由园区环卫部门统一收集处理。</w:t>
      </w:r>
    </w:p>
    <w:p>
      <w:pPr>
        <w:bidi w:val="0"/>
        <w:rPr>
          <w:rFonts w:hint="default"/>
          <w:lang w:val="en-US" w:eastAsia="zh-CN"/>
        </w:rPr>
      </w:pPr>
      <w:r>
        <w:rPr>
          <w:rFonts w:hint="eastAsia"/>
          <w:b/>
          <w:bCs/>
          <w:lang w:val="en-US" w:eastAsia="zh-CN"/>
        </w:rPr>
        <w:t>（2）污水处理站</w:t>
      </w:r>
    </w:p>
    <w:p>
      <w:pPr>
        <w:bidi w:val="0"/>
        <w:rPr>
          <w:rFonts w:hint="default" w:ascii="Times New Roman" w:hAnsi="Times New Roman" w:cs="Times New Roman"/>
          <w:lang w:val="en-US" w:eastAsia="zh-CN"/>
        </w:rPr>
      </w:pPr>
      <w:r>
        <w:rPr>
          <w:rFonts w:hint="default" w:ascii="Times New Roman" w:hAnsi="Times New Roman" w:cs="Times New Roman"/>
          <w:lang w:val="en-US" w:eastAsia="zh-CN"/>
        </w:rPr>
        <w:t>①</w:t>
      </w:r>
      <w:r>
        <w:rPr>
          <w:rFonts w:hint="eastAsia" w:ascii="Times New Roman" w:hAnsi="Times New Roman" w:cs="Times New Roman"/>
          <w:lang w:val="en-US" w:eastAsia="zh-CN"/>
        </w:rPr>
        <w:t>污水处理站泥污</w:t>
      </w:r>
    </w:p>
    <w:p>
      <w:pPr>
        <w:bidi w:val="0"/>
        <w:rPr>
          <w:rFonts w:hint="default" w:ascii="Times New Roman" w:hAnsi="Times New Roman" w:cs="Times New Roman"/>
          <w:lang w:val="en-US" w:eastAsia="zh-CN"/>
        </w:rPr>
      </w:pPr>
      <w:r>
        <w:rPr>
          <w:rFonts w:hint="eastAsia" w:ascii="Times New Roman" w:hAnsi="Times New Roman" w:cs="Times New Roman"/>
          <w:lang w:val="en-US" w:eastAsia="zh-CN"/>
        </w:rPr>
        <w:t>污水处理站泥污产生量为</w:t>
      </w:r>
      <w:r>
        <w:rPr>
          <w:rFonts w:hint="eastAsia" w:cs="Times New Roman"/>
          <w:color w:val="auto"/>
          <w:sz w:val="21"/>
          <w:szCs w:val="21"/>
          <w:lang w:val="en-US" w:eastAsia="zh-CN"/>
        </w:rPr>
        <w:t>8.9t/a，</w:t>
      </w:r>
      <w:r>
        <w:rPr>
          <w:rFonts w:hint="eastAsia" w:ascii="Times New Roman" w:hAnsi="Times New Roman" w:cs="Times New Roman"/>
          <w:lang w:val="en-US" w:eastAsia="zh-CN"/>
        </w:rPr>
        <w:t>污水处理站泥污</w:t>
      </w:r>
      <w:r>
        <w:rPr>
          <w:rFonts w:hint="eastAsia"/>
          <w:lang w:val="en-US" w:eastAsia="zh-CN"/>
        </w:rPr>
        <w:t>集中收集后作为有机肥生产原料使用。</w:t>
      </w:r>
    </w:p>
    <w:p>
      <w:pPr>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②废UV光管</w:t>
      </w:r>
    </w:p>
    <w:p>
      <w:pPr>
        <w:bidi w:val="0"/>
        <w:rPr>
          <w:rFonts w:hint="default"/>
          <w:lang w:val="en-US" w:eastAsia="zh-CN"/>
        </w:rPr>
      </w:pPr>
      <w:r>
        <w:rPr>
          <w:rFonts w:hint="eastAsia"/>
          <w:lang w:val="en-US" w:eastAsia="zh-CN"/>
        </w:rPr>
        <w:t>废UV光管属于危险废物（HW29/含汞废物/900-023-29），废UV光管产生量为0.02t/a，废UV光管集中收集后交由嘉峪关刘氏泰和环保科技有限公司处置。</w:t>
      </w:r>
    </w:p>
    <w:p>
      <w:pPr>
        <w:bidi w:val="0"/>
        <w:rPr>
          <w:rFonts w:hint="default"/>
          <w:b/>
          <w:bCs/>
          <w:lang w:val="en-US" w:eastAsia="zh-CN"/>
        </w:rPr>
      </w:pPr>
      <w:r>
        <w:rPr>
          <w:rFonts w:hint="eastAsia"/>
          <w:b/>
          <w:bCs/>
          <w:lang w:val="en-US" w:eastAsia="zh-CN"/>
        </w:rPr>
        <w:t>（3）锅炉房</w:t>
      </w:r>
    </w:p>
    <w:p>
      <w:pPr>
        <w:bidi w:val="0"/>
        <w:rPr>
          <w:rFonts w:hint="default"/>
          <w:lang w:val="en-US" w:eastAsia="zh-CN"/>
        </w:rPr>
      </w:pPr>
      <w:r>
        <w:rPr>
          <w:rFonts w:hint="default"/>
          <w:lang w:val="en-US" w:eastAsia="zh-CN"/>
        </w:rPr>
        <w:t>①废离子交换树脂</w:t>
      </w:r>
    </w:p>
    <w:p>
      <w:pPr>
        <w:bidi w:val="0"/>
        <w:rPr>
          <w:rFonts w:hint="default"/>
          <w:lang w:val="en-US" w:eastAsia="zh-CN"/>
        </w:rPr>
      </w:pPr>
      <w:r>
        <w:rPr>
          <w:rFonts w:hint="default"/>
          <w:lang w:val="en-US" w:eastAsia="zh-CN"/>
        </w:rPr>
        <w:t>废离子交换树脂</w:t>
      </w:r>
      <w:r>
        <w:rPr>
          <w:rFonts w:hint="eastAsia"/>
          <w:lang w:val="en-US" w:eastAsia="zh-CN"/>
        </w:rPr>
        <w:t>产生量为0.5t/a，</w:t>
      </w:r>
      <w:r>
        <w:rPr>
          <w:rFonts w:hint="default"/>
          <w:lang w:val="en-US" w:eastAsia="zh-CN"/>
        </w:rPr>
        <w:t>废离子交换树脂更换委托外部单位进行，更换后的</w:t>
      </w:r>
      <w:r>
        <w:rPr>
          <w:rFonts w:hint="eastAsia"/>
          <w:lang w:val="en-US" w:eastAsia="zh-CN"/>
        </w:rPr>
        <w:t>废</w:t>
      </w:r>
      <w:r>
        <w:rPr>
          <w:rFonts w:hint="default"/>
          <w:lang w:val="en-US" w:eastAsia="zh-CN"/>
        </w:rPr>
        <w:t>离子交换树脂由更换单位单走，厂区不储存</w:t>
      </w:r>
    </w:p>
    <w:p>
      <w:pPr>
        <w:bidi w:val="0"/>
        <w:rPr>
          <w:rFonts w:hint="default" w:ascii="Times New Roman" w:hAnsi="Times New Roman" w:eastAsia="宋体" w:cs="Times New Roman"/>
          <w:lang w:val="en-US" w:eastAsia="zh-CN"/>
        </w:rPr>
      </w:pPr>
      <w:r>
        <w:rPr>
          <w:rFonts w:hint="default" w:ascii="Times New Roman" w:hAnsi="Times New Roman" w:cs="Times New Roman"/>
          <w:lang w:val="en-US" w:eastAsia="zh-CN"/>
        </w:rPr>
        <w:t>②废导热油</w:t>
      </w:r>
    </w:p>
    <w:p>
      <w:pPr>
        <w:bidi w:val="0"/>
        <w:rPr>
          <w:rFonts w:hint="default"/>
          <w:lang w:val="en-US" w:eastAsia="zh-CN"/>
        </w:rPr>
      </w:pPr>
      <w:r>
        <w:rPr>
          <w:rFonts w:hint="eastAsia"/>
          <w:lang w:val="en-US" w:eastAsia="zh-CN"/>
        </w:rPr>
        <w:t>废导热油属于危险废物（HW08/废矿物油与含矿物油废物/900-249-08），废导热油产生量为0.65t/a，废导热油集中收集后交由嘉峪关刘氏泰和环保科技有限公司处置。</w:t>
      </w:r>
    </w:p>
    <w:p>
      <w:pPr>
        <w:pStyle w:val="5"/>
        <w:bidi w:val="0"/>
        <w:rPr>
          <w:rFonts w:hint="eastAsia"/>
        </w:rPr>
      </w:pPr>
      <w:bookmarkStart w:id="465" w:name="_Toc188"/>
      <w:r>
        <w:t>2.1</w:t>
      </w:r>
      <w:r>
        <w:rPr>
          <w:rFonts w:hint="eastAsia"/>
          <w:lang w:val="en-US" w:eastAsia="zh-CN"/>
        </w:rPr>
        <w:t>1</w:t>
      </w:r>
      <w:r>
        <w:rPr>
          <w:rFonts w:hint="eastAsia"/>
          <w:lang w:eastAsia="zh-CN"/>
        </w:rPr>
        <w:t>、</w:t>
      </w:r>
      <w:r>
        <w:t>现有工程污染物排放情况及达标分析</w:t>
      </w:r>
      <w:bookmarkEnd w:id="465"/>
    </w:p>
    <w:p>
      <w:pPr>
        <w:pStyle w:val="6"/>
        <w:bidi w:val="0"/>
        <w:rPr>
          <w:rFonts w:hint="default"/>
          <w:lang w:val="en-US" w:eastAsia="zh-CN"/>
        </w:rPr>
      </w:pPr>
      <w:r>
        <w:rPr>
          <w:rFonts w:hint="eastAsia"/>
          <w:lang w:val="en-US" w:eastAsia="zh-CN"/>
        </w:rPr>
        <w:t>2.11.1、废气</w:t>
      </w:r>
    </w:p>
    <w:p>
      <w:pPr>
        <w:bidi w:val="0"/>
        <w:rPr>
          <w:rFonts w:hint="default"/>
          <w:b/>
          <w:bCs/>
          <w:lang w:val="en-US" w:eastAsia="zh-CN"/>
        </w:rPr>
      </w:pPr>
      <w:r>
        <w:rPr>
          <w:rFonts w:hint="eastAsia"/>
          <w:b/>
          <w:bCs/>
          <w:lang w:val="en-US" w:eastAsia="zh-CN"/>
        </w:rPr>
        <w:t>1、</w:t>
      </w:r>
      <w:r>
        <w:rPr>
          <w:rFonts w:hint="default"/>
          <w:b/>
          <w:bCs/>
          <w:lang w:val="en-US" w:eastAsia="zh-CN"/>
        </w:rPr>
        <w:t>万吨清真肉品冷链物流配送市场服务体系建设项目</w:t>
      </w:r>
    </w:p>
    <w:p>
      <w:pPr>
        <w:rPr>
          <w:rFonts w:hint="eastAsia"/>
          <w:lang w:val="en-US" w:eastAsia="zh-CN"/>
        </w:rPr>
      </w:pPr>
      <w:r>
        <w:rPr>
          <w:rFonts w:hint="eastAsia"/>
          <w:lang w:val="en-US" w:eastAsia="zh-CN"/>
        </w:rPr>
        <w:t>该项目运行过程中无废气产生。</w:t>
      </w:r>
    </w:p>
    <w:p>
      <w:pPr>
        <w:bidi w:val="0"/>
        <w:rPr>
          <w:rFonts w:hint="default"/>
          <w:lang w:val="en-US" w:eastAsia="zh-CN"/>
        </w:rPr>
      </w:pPr>
      <w:r>
        <w:rPr>
          <w:rFonts w:hint="eastAsia"/>
          <w:b/>
          <w:bCs/>
          <w:lang w:val="en-US" w:eastAsia="zh-CN"/>
        </w:rPr>
        <w:t>2、“3万头/年肉牛精深加工生产项目”和“牛羊屠宰副产物综合利用项目”</w:t>
      </w:r>
    </w:p>
    <w:p>
      <w:pPr>
        <w:bidi w:val="0"/>
        <w:rPr>
          <w:rFonts w:hint="default"/>
          <w:lang w:val="en-US" w:eastAsia="zh-CN"/>
        </w:rPr>
      </w:pPr>
      <w:r>
        <w:rPr>
          <w:rFonts w:hint="eastAsia"/>
          <w:lang w:val="en-US" w:eastAsia="zh-CN"/>
        </w:rPr>
        <w:t>“3万头/年肉牛精深加工生产项目”与“牛羊屠宰副产物综合利用项目”全部位于厂区现有的综合生产车间内，两个车间共用1套排气系统，共用1套废气处理装置，产生废气污染物全部为硫化氢、氨和臭气浓度，其废气产排情况引用《</w:t>
      </w:r>
      <w:r>
        <w:rPr>
          <w:rFonts w:hint="default" w:ascii="Times New Roman" w:hAnsi="Times New Roman" w:eastAsia="宋体" w:cs="Times New Roman"/>
          <w:kern w:val="0"/>
          <w:sz w:val="24"/>
          <w:szCs w:val="24"/>
          <w:lang w:val="en-US" w:eastAsia="zh-CN"/>
        </w:rPr>
        <w:t>牛羊屠宰副产物综合利用项目</w:t>
      </w:r>
      <w:r>
        <w:rPr>
          <w:rFonts w:hint="eastAsia" w:eastAsia="宋体" w:cs="Times New Roman"/>
          <w:kern w:val="0"/>
          <w:sz w:val="24"/>
          <w:szCs w:val="24"/>
          <w:lang w:val="en-US" w:eastAsia="zh-CN"/>
        </w:rPr>
        <w:t>竣工环境环境保护验收报告</w:t>
      </w:r>
      <w:r>
        <w:rPr>
          <w:rFonts w:hint="eastAsia"/>
          <w:lang w:val="en-US" w:eastAsia="zh-CN"/>
        </w:rPr>
        <w:t>》（甘肃沁园环保科技有限公司，2022年1月）中的监测数据进行说明，具体的监测情况详见下表。</w:t>
      </w:r>
    </w:p>
    <w:p>
      <w:pPr>
        <w:keepNext w:val="0"/>
        <w:keepLines w:val="0"/>
        <w:suppressLineNumbers w:val="0"/>
        <w:spacing w:before="0" w:beforeAutospacing="0" w:after="0" w:afterAutospacing="0" w:line="360" w:lineRule="auto"/>
        <w:ind w:left="0" w:right="0"/>
        <w:rPr>
          <w:rFonts w:hint="default" w:ascii="Times New Roman" w:hAnsi="Times New Roman" w:cs="Times New Roman"/>
          <w:color w:val="auto"/>
          <w:sz w:val="24"/>
          <w:szCs w:val="24"/>
          <w:lang w:val="en-US" w:eastAsia="zh-CN"/>
        </w:rPr>
      </w:pPr>
      <w:r>
        <w:rPr>
          <w:rFonts w:hint="eastAsia" w:cs="Times New Roman"/>
          <w:b/>
          <w:bCs/>
          <w:color w:val="auto"/>
          <w:sz w:val="24"/>
          <w:szCs w:val="24"/>
          <w:lang w:val="en-US" w:eastAsia="zh-CN"/>
        </w:rPr>
        <w:t>（1）有组织废气</w:t>
      </w:r>
    </w:p>
    <w:p>
      <w:pPr>
        <w:keepNext w:val="0"/>
        <w:keepLines w:val="0"/>
        <w:suppressLineNumbers w:val="0"/>
        <w:spacing w:before="0" w:beforeAutospacing="0" w:after="0" w:afterAutospacing="0" w:line="360" w:lineRule="auto"/>
        <w:ind w:left="0" w:right="0"/>
        <w:rPr>
          <w:rFonts w:hint="eastAsia"/>
          <w:lang w:val="en-US" w:eastAsia="zh-CN"/>
        </w:rPr>
      </w:pPr>
      <w:r>
        <w:rPr>
          <w:rFonts w:hint="eastAsia"/>
          <w:lang w:val="en-US" w:eastAsia="zh-CN"/>
        </w:rPr>
        <w:t>有组织废气监测结果详见下表。</w:t>
      </w:r>
    </w:p>
    <w:p>
      <w:pPr>
        <w:pStyle w:val="38"/>
        <w:keepNext w:val="0"/>
        <w:keepLines w:val="0"/>
        <w:suppressLineNumbers w:val="0"/>
        <w:spacing w:before="0" w:beforeAutospacing="0" w:after="0" w:afterAutospacing="0" w:line="240" w:lineRule="auto"/>
        <w:ind w:left="0" w:right="0"/>
        <w:jc w:val="center"/>
        <w:rPr>
          <w:rFonts w:hint="eastAsia"/>
          <w:b/>
          <w:bCs/>
          <w:lang w:val="en-US" w:eastAsia="zh-CN"/>
        </w:rPr>
        <w:sectPr>
          <w:pgSz w:w="11906" w:h="16838"/>
          <w:pgMar w:top="1440" w:right="1080" w:bottom="1440" w:left="1080" w:header="964" w:footer="992" w:gutter="0"/>
          <w:pgBorders>
            <w:top w:val="none" w:sz="0" w:space="0"/>
            <w:left w:val="none" w:sz="0" w:space="0"/>
            <w:bottom w:val="none" w:sz="0" w:space="0"/>
            <w:right w:val="none" w:sz="0" w:space="0"/>
          </w:pgBorders>
          <w:cols w:space="425" w:num="1"/>
          <w:docGrid w:type="lines" w:linePitch="312" w:charSpace="0"/>
        </w:sectPr>
      </w:pPr>
    </w:p>
    <w:p>
      <w:pPr>
        <w:bidi w:val="0"/>
        <w:spacing w:line="240" w:lineRule="auto"/>
        <w:jc w:val="center"/>
        <w:rPr>
          <w:rFonts w:hint="default"/>
          <w:b/>
          <w:bCs/>
          <w:lang w:val="en-US" w:eastAsia="zh-CN"/>
        </w:rPr>
      </w:pPr>
      <w:r>
        <w:rPr>
          <w:rFonts w:hint="eastAsia"/>
          <w:b/>
          <w:bCs/>
          <w:lang w:val="en-US" w:eastAsia="zh-CN"/>
        </w:rPr>
        <w:t>表</w:t>
      </w:r>
      <w:r>
        <w:rPr>
          <w:rFonts w:hint="eastAsia" w:cs="Times New Roman"/>
          <w:b/>
          <w:bCs/>
          <w:lang w:val="en-US" w:eastAsia="zh-CN"/>
        </w:rPr>
        <w:t>2.8</w:t>
      </w:r>
      <w:r>
        <w:rPr>
          <w:rFonts w:hint="eastAsia"/>
          <w:b/>
          <w:bCs/>
          <w:lang w:val="en-US" w:eastAsia="zh-CN"/>
        </w:rPr>
        <w:t xml:space="preserve">    综合生产车间有组织废气监测  </w:t>
      </w:r>
      <w:r>
        <w:rPr>
          <w:rFonts w:hint="eastAsia" w:ascii="Times New Roman" w:hAnsi="Times New Roman" w:cs="Times New Roman"/>
          <w:b/>
          <w:bCs/>
          <w:color w:val="auto"/>
          <w:kern w:val="2"/>
          <w:lang w:val="en-US" w:eastAsia="zh-CN"/>
        </w:rPr>
        <w:t>单位mg/m</w:t>
      </w:r>
      <w:r>
        <w:rPr>
          <w:rFonts w:hint="eastAsia" w:ascii="Times New Roman" w:hAnsi="Times New Roman" w:cs="Times New Roman"/>
          <w:b/>
          <w:bCs/>
          <w:color w:val="auto"/>
          <w:kern w:val="2"/>
          <w:vertAlign w:val="superscript"/>
          <w:lang w:val="en-US" w:eastAsia="zh-CN"/>
        </w:rPr>
        <w:t>3</w:t>
      </w:r>
      <w:r>
        <w:rPr>
          <w:rFonts w:hint="eastAsia" w:cs="Times New Roman"/>
          <w:b/>
          <w:bCs/>
          <w:color w:val="auto"/>
          <w:kern w:val="2"/>
          <w:vertAlign w:val="baseline"/>
          <w:lang w:val="en-US" w:eastAsia="zh-CN"/>
        </w:rPr>
        <w:t>（臭气浓度除外）</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70"/>
        <w:gridCol w:w="2082"/>
        <w:gridCol w:w="2807"/>
        <w:gridCol w:w="2730"/>
        <w:gridCol w:w="2667"/>
        <w:gridCol w:w="1127"/>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1"/>
                <w:szCs w:val="21"/>
                <w:lang w:val="en-US" w:eastAsia="zh-CN"/>
              </w:rPr>
              <w:t>检测位置</w:t>
            </w:r>
          </w:p>
        </w:tc>
        <w:tc>
          <w:tcPr>
            <w:tcW w:w="1192" w:type="pct"/>
            <w:gridSpan w:val="2"/>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检测项目</w:t>
            </w:r>
          </w:p>
        </w:tc>
        <w:tc>
          <w:tcPr>
            <w:tcW w:w="275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采样检测日期：2021年12月24日</w:t>
            </w:r>
          </w:p>
        </w:tc>
        <w:tc>
          <w:tcPr>
            <w:tcW w:w="378"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标准</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限值</w:t>
            </w:r>
          </w:p>
        </w:tc>
        <w:tc>
          <w:tcPr>
            <w:tcW w:w="291"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192" w:type="pct"/>
            <w:gridSpan w:val="2"/>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第1次</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第2次</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第3次</w:t>
            </w:r>
          </w:p>
        </w:tc>
        <w:tc>
          <w:tcPr>
            <w:tcW w:w="378"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29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pacing w:val="11"/>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除臭装置</w:t>
            </w:r>
            <w:r>
              <w:rPr>
                <w:rFonts w:hint="default" w:ascii="Times New Roman" w:hAnsi="Times New Roman" w:eastAsia="宋体" w:cs="Times New Roman"/>
                <w:color w:val="auto"/>
                <w:sz w:val="21"/>
                <w:szCs w:val="21"/>
                <w:lang w:val="en-US" w:eastAsia="zh-CN"/>
              </w:rPr>
              <w:t>前管道</w:t>
            </w: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氨</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样品编号</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2021Q353002</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2021Q353003</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12.7</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13.3</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硫化氢</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样品编号</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2021Q353009</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2021Q353010</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2021Q353011</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2.36</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2.28</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2.32</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臭气浓度（无量纲）</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样品编号</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2021Q353015</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2021Q353016</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2021Q353017</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741</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741</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549</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p>
        </w:tc>
        <w:tc>
          <w:tcPr>
            <w:tcW w:w="1192"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标干排气量（m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/h）</w:t>
            </w:r>
          </w:p>
        </w:tc>
        <w:tc>
          <w:tcPr>
            <w:tcW w:w="275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2862</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eastAsia="宋体" w:cs="Times New Roman"/>
                <w:b w:val="0"/>
                <w:bCs w:val="0"/>
                <w:color w:val="auto"/>
                <w:sz w:val="21"/>
                <w:szCs w:val="21"/>
                <w:lang w:val="en-US" w:eastAsia="zh-CN"/>
              </w:rPr>
              <w:t>除臭装置</w:t>
            </w:r>
            <w:r>
              <w:rPr>
                <w:rFonts w:hint="default" w:ascii="Times New Roman" w:hAnsi="Times New Roman" w:eastAsia="宋体" w:cs="Times New Roman"/>
                <w:color w:val="auto"/>
                <w:sz w:val="21"/>
                <w:szCs w:val="21"/>
                <w:lang w:val="en-US" w:eastAsia="zh-CN"/>
              </w:rPr>
              <w:t>后排气筒</w:t>
            </w: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氨</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样品编号</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2021Q353005</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2021Q353006</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2021Q353007</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0.91</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1.06</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0.85</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排放速率（kg/h）</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5.3*10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6.1*10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4.9*10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≤4.9</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硫化氢</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样品编号</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2021Q353012</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2021Q353013</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2021Q353014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检测结果</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0.68</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0.64</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0.64</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排放速率（kg/h）</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3.9*10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3.7*10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3.7*10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≤0.33</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臭气浓度（无量纲）</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样品编号</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2021Q353018</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2021Q353019</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2021Q353020</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234</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234</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173</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≤2000</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p>
        </w:tc>
        <w:tc>
          <w:tcPr>
            <w:tcW w:w="1192"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标干排气量（m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/h）</w:t>
            </w:r>
          </w:p>
        </w:tc>
        <w:tc>
          <w:tcPr>
            <w:tcW w:w="275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580</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bCs/>
                <w:color w:val="auto"/>
                <w:sz w:val="21"/>
                <w:szCs w:val="21"/>
                <w:lang w:val="en-US" w:eastAsia="zh-CN"/>
              </w:rPr>
              <w:t>检测位置</w:t>
            </w:r>
          </w:p>
        </w:tc>
        <w:tc>
          <w:tcPr>
            <w:tcW w:w="1192" w:type="pct"/>
            <w:gridSpan w:val="2"/>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right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检测项目</w:t>
            </w:r>
          </w:p>
        </w:tc>
        <w:tc>
          <w:tcPr>
            <w:tcW w:w="275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采样检测日期：2021年12月25日</w:t>
            </w:r>
          </w:p>
        </w:tc>
        <w:tc>
          <w:tcPr>
            <w:tcW w:w="378"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标准</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限值</w:t>
            </w:r>
          </w:p>
        </w:tc>
        <w:tc>
          <w:tcPr>
            <w:tcW w:w="291"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1192" w:type="pct"/>
            <w:gridSpan w:val="2"/>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第1次</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第2次</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b/>
                <w:bCs/>
                <w:color w:val="auto"/>
                <w:sz w:val="21"/>
                <w:szCs w:val="21"/>
                <w:lang w:val="en-US" w:eastAsia="zh-CN"/>
              </w:rPr>
              <w:t>第3次</w:t>
            </w:r>
          </w:p>
        </w:tc>
        <w:tc>
          <w:tcPr>
            <w:tcW w:w="378"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rPr>
            </w:pPr>
          </w:p>
        </w:tc>
        <w:tc>
          <w:tcPr>
            <w:tcW w:w="29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pacing w:val="11"/>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原料清洗车间除臭装置前管道</w:t>
            </w:r>
          </w:p>
        </w:tc>
        <w:tc>
          <w:tcPr>
            <w:tcW w:w="493"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氨</w:t>
            </w: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样品编号</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2021Q353022</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2021Q353023</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2021Q353024</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493"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检测结果</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12.7</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13.3</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13.4</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493"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硫化氢</w:t>
            </w: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样品编号</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2021Q353029</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2021Q353030</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2021Q353031</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493"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检测结果</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2.38</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2.46</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2.40</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493"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臭气浓度（无量纲）</w:t>
            </w: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样品编号</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2021Q353035</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2021Q353036</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2021Q353037</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493"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检测结果</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549</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741</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549</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1192"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标干排气量（m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c>
          <w:tcPr>
            <w:tcW w:w="2755" w:type="pct"/>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2919</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原料清洗车间除臭装置后排气筒</w:t>
            </w:r>
          </w:p>
        </w:tc>
        <w:tc>
          <w:tcPr>
            <w:tcW w:w="493"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氨</w:t>
            </w: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样品编号</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2021Q353025</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2021Q353026</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2021Q353027</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493"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699"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检测结果</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1.05</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0.90</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0.85</w:t>
            </w:r>
          </w:p>
        </w:tc>
        <w:tc>
          <w:tcPr>
            <w:tcW w:w="37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c>
          <w:tcPr>
            <w:tcW w:w="291"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bidi="ar-SA"/>
              </w:rPr>
              <w:t>排放速率（kg/h）</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6.2*10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5.3*10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5.0*10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≤4.9</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硫化氢</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样品编号</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2021Q353032</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2021Q353033</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2021Q353034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0.66</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0.67</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0.66</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排放速率（kg/h）</w:t>
            </w:r>
          </w:p>
        </w:tc>
        <w:tc>
          <w:tcPr>
            <w:tcW w:w="94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3.9*10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916"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4.0*10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89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3.9*10</w:t>
            </w:r>
            <w:r>
              <w:rPr>
                <w:rFonts w:hint="default" w:ascii="Times New Roman" w:hAnsi="Times New Roman" w:eastAsia="宋体" w:cs="Times New Roman"/>
                <w:color w:val="auto"/>
                <w:spacing w:val="11"/>
                <w:kern w:val="0"/>
                <w:sz w:val="21"/>
                <w:szCs w:val="21"/>
                <w:vertAlign w:val="superscript"/>
                <w:lang w:val="en-US" w:eastAsia="zh-CN" w:bidi="ar-SA"/>
              </w:rPr>
              <w:t>-4</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 w:val="0"/>
                <w:bCs w:val="0"/>
                <w:color w:val="FF0000"/>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≤0.33</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restar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臭气浓度（无量纲）</w:t>
            </w: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样品编号</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2021Q353038</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2021Q353039</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2021Q353040</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auto"/>
                <w:sz w:val="21"/>
                <w:szCs w:val="21"/>
                <w:lang w:val="en-US" w:eastAsia="zh-CN"/>
              </w:rPr>
            </w:pPr>
          </w:p>
        </w:tc>
        <w:tc>
          <w:tcPr>
            <w:tcW w:w="493"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p>
        </w:tc>
        <w:tc>
          <w:tcPr>
            <w:tcW w:w="699"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检测结果</w:t>
            </w:r>
          </w:p>
        </w:tc>
        <w:tc>
          <w:tcPr>
            <w:tcW w:w="942"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173</w:t>
            </w:r>
          </w:p>
        </w:tc>
        <w:tc>
          <w:tcPr>
            <w:tcW w:w="916"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234</w:t>
            </w:r>
          </w:p>
        </w:tc>
        <w:tc>
          <w:tcPr>
            <w:tcW w:w="895"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131</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≤2000</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81" w:type="pct"/>
            <w:vMerge w:val="continue"/>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jc w:val="center"/>
              <w:textAlignment w:val="auto"/>
              <w:rPr>
                <w:rFonts w:hint="default" w:ascii="Times New Roman" w:hAnsi="Times New Roman" w:eastAsia="宋体" w:cs="Times New Roman"/>
                <w:color w:val="auto"/>
                <w:sz w:val="21"/>
                <w:szCs w:val="21"/>
                <w:lang w:eastAsia="zh-CN"/>
              </w:rPr>
            </w:pPr>
          </w:p>
        </w:tc>
        <w:tc>
          <w:tcPr>
            <w:tcW w:w="1192" w:type="pct"/>
            <w:gridSpan w:val="2"/>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标干排气量（m</w:t>
            </w:r>
            <w:r>
              <w:rPr>
                <w:rFonts w:hint="default" w:ascii="Times New Roman" w:hAnsi="Times New Roman" w:eastAsia="宋体" w:cs="Times New Roman"/>
                <w:color w:val="auto"/>
                <w:spacing w:val="11"/>
                <w:kern w:val="0"/>
                <w:sz w:val="21"/>
                <w:szCs w:val="21"/>
                <w:vertAlign w:val="superscript"/>
                <w:lang w:val="en-US" w:eastAsia="zh-CN" w:bidi="ar-SA"/>
              </w:rPr>
              <w:t>3</w:t>
            </w:r>
            <w:r>
              <w:rPr>
                <w:rFonts w:hint="default" w:ascii="Times New Roman" w:hAnsi="Times New Roman" w:eastAsia="宋体" w:cs="Times New Roman"/>
                <w:color w:val="auto"/>
                <w:spacing w:val="11"/>
                <w:kern w:val="0"/>
                <w:sz w:val="21"/>
                <w:szCs w:val="21"/>
                <w:vertAlign w:val="baseline"/>
                <w:lang w:val="en-US" w:eastAsia="zh-CN" w:bidi="ar-SA"/>
              </w:rPr>
              <w:t>/h）</w:t>
            </w:r>
          </w:p>
        </w:tc>
        <w:tc>
          <w:tcPr>
            <w:tcW w:w="2755" w:type="pct"/>
            <w:gridSpan w:val="3"/>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591</w:t>
            </w:r>
          </w:p>
        </w:tc>
        <w:tc>
          <w:tcPr>
            <w:tcW w:w="378"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c>
          <w:tcPr>
            <w:tcW w:w="291" w:type="pct"/>
            <w:tcBorders>
              <w:tl2br w:val="nil"/>
              <w:tr2bl w:val="nil"/>
            </w:tcBorders>
            <w:vAlign w:val="center"/>
          </w:tcPr>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bidi="ar-SA"/>
              </w:rPr>
              <w:t>-</w:t>
            </w:r>
          </w:p>
        </w:tc>
      </w:tr>
    </w:tbl>
    <w:p>
      <w:pPr>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有上表可知，本项目综合生产车间产生的硫化氢、氨、臭气浓度均能实现达标排放，无超标现象。</w:t>
      </w:r>
    </w:p>
    <w:p>
      <w:pPr>
        <w:keepNext w:val="0"/>
        <w:keepLines w:val="0"/>
        <w:suppressLineNumbers w:val="0"/>
        <w:bidi w:val="0"/>
        <w:spacing w:before="0" w:beforeAutospacing="0" w:after="0" w:afterAutospacing="0"/>
        <w:ind w:left="0" w:right="0"/>
        <w:rPr>
          <w:rFonts w:hint="default"/>
          <w:lang w:val="en-US" w:eastAsia="zh-CN"/>
        </w:rPr>
      </w:pPr>
      <w:r>
        <w:rPr>
          <w:rFonts w:hint="eastAsia"/>
          <w:b/>
          <w:bCs/>
          <w:lang w:eastAsia="zh-CN"/>
        </w:rPr>
        <w:t>（</w:t>
      </w:r>
      <w:r>
        <w:rPr>
          <w:rFonts w:hint="eastAsia"/>
          <w:b/>
          <w:bCs/>
          <w:lang w:val="en-US" w:eastAsia="zh-CN"/>
        </w:rPr>
        <w:t>2</w:t>
      </w:r>
      <w:r>
        <w:rPr>
          <w:rFonts w:hint="eastAsia"/>
          <w:b/>
          <w:bCs/>
          <w:lang w:eastAsia="zh-CN"/>
        </w:rPr>
        <w:t>）</w:t>
      </w:r>
      <w:r>
        <w:rPr>
          <w:rFonts w:hint="eastAsia"/>
          <w:b/>
          <w:bCs/>
          <w:lang w:val="en-US" w:eastAsia="zh-CN"/>
        </w:rPr>
        <w:t>无组织废气</w:t>
      </w:r>
    </w:p>
    <w:p>
      <w:pPr>
        <w:keepNext w:val="0"/>
        <w:keepLines w:val="0"/>
        <w:suppressLineNumbers w:val="0"/>
        <w:spacing w:before="0" w:beforeAutospacing="0" w:after="0" w:afterAutospacing="0" w:line="360" w:lineRule="auto"/>
        <w:ind w:left="0" w:right="0"/>
        <w:rPr>
          <w:rFonts w:hint="default"/>
          <w:lang w:eastAsia="zh-CN"/>
        </w:rPr>
      </w:pPr>
      <w:r>
        <w:rPr>
          <w:rFonts w:hint="eastAsia"/>
          <w:lang w:val="en-US" w:eastAsia="zh-CN"/>
        </w:rPr>
        <w:t>无组织</w:t>
      </w:r>
      <w:r>
        <w:rPr>
          <w:rFonts w:hint="default"/>
          <w:lang w:val="zh-CN" w:eastAsia="zh-CN"/>
        </w:rPr>
        <w:t>废气</w:t>
      </w:r>
      <w:r>
        <w:rPr>
          <w:rFonts w:hint="eastAsia"/>
          <w:lang w:eastAsia="zh-CN"/>
        </w:rPr>
        <w:t>监测</w:t>
      </w:r>
      <w:r>
        <w:rPr>
          <w:rFonts w:hint="default"/>
          <w:lang w:eastAsia="zh-CN"/>
        </w:rPr>
        <w:t>结果见下表</w:t>
      </w:r>
      <w:r>
        <w:rPr>
          <w:rFonts w:hint="eastAsia"/>
          <w:lang w:val="en-US" w:eastAsia="zh-CN"/>
        </w:rPr>
        <w:t>2.9</w:t>
      </w:r>
      <w:r>
        <w:rPr>
          <w:rFonts w:hint="default"/>
          <w:lang w:eastAsia="zh-CN"/>
        </w:rPr>
        <w:t>。</w:t>
      </w:r>
    </w:p>
    <w:p>
      <w:pPr>
        <w:bidi w:val="0"/>
        <w:spacing w:line="240" w:lineRule="auto"/>
        <w:jc w:val="center"/>
        <w:rPr>
          <w:rFonts w:hint="default"/>
          <w:b/>
          <w:bCs/>
          <w:lang w:val="en-US" w:eastAsia="zh-CN"/>
        </w:rPr>
      </w:pPr>
      <w:r>
        <w:rPr>
          <w:rFonts w:hint="default"/>
          <w:b/>
          <w:bCs/>
          <w:lang w:val="en-US" w:eastAsia="zh-CN"/>
        </w:rPr>
        <w:t>表</w:t>
      </w:r>
      <w:r>
        <w:rPr>
          <w:rFonts w:hint="eastAsia"/>
          <w:b/>
          <w:bCs/>
          <w:lang w:val="en-US" w:eastAsia="zh-CN"/>
        </w:rPr>
        <w:t>2.9</w:t>
      </w:r>
      <w:r>
        <w:rPr>
          <w:rFonts w:hint="default"/>
          <w:b/>
          <w:bCs/>
          <w:lang w:val="en-US" w:eastAsia="zh-CN"/>
        </w:rPr>
        <w:t xml:space="preserve">    无组织废气监测结果一览表</w:t>
      </w:r>
      <w:r>
        <w:rPr>
          <w:rFonts w:hint="eastAsia"/>
          <w:b/>
          <w:bCs/>
          <w:lang w:val="en-US" w:eastAsia="zh-CN"/>
        </w:rPr>
        <w:t xml:space="preserve">  单位mg/m</w:t>
      </w:r>
      <w:r>
        <w:rPr>
          <w:rFonts w:hint="eastAsia"/>
          <w:b/>
          <w:bCs/>
          <w:vertAlign w:val="superscript"/>
          <w:lang w:val="en-US" w:eastAsia="zh-CN"/>
        </w:rPr>
        <w:t>3</w:t>
      </w:r>
    </w:p>
    <w:tbl>
      <w:tblPr>
        <w:tblStyle w:val="3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1"/>
        <w:gridCol w:w="2227"/>
        <w:gridCol w:w="2838"/>
        <w:gridCol w:w="3088"/>
        <w:gridCol w:w="3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检测点位</w:t>
            </w:r>
          </w:p>
        </w:tc>
        <w:tc>
          <w:tcPr>
            <w:tcW w:w="74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检测时间</w:t>
            </w:r>
          </w:p>
        </w:tc>
        <w:tc>
          <w:tcPr>
            <w:tcW w:w="3165" w:type="pct"/>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采样检测日期：2021年12月24日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74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氨</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硫化氢</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臭气浓度（无量纲）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74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检测结果</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检测结果</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1#牛羊屠宰</w:t>
            </w:r>
            <w:r>
              <w:rPr>
                <w:rFonts w:hint="eastAsia" w:cs="Times New Roman"/>
                <w:i w:val="0"/>
                <w:iCs w:val="0"/>
                <w:color w:val="auto"/>
                <w:kern w:val="0"/>
                <w:sz w:val="21"/>
                <w:szCs w:val="21"/>
                <w:u w:val="none"/>
                <w:lang w:val="en-US" w:eastAsia="zh-CN" w:bidi="ar"/>
              </w:rPr>
              <w:t>副产物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加工车间上风向</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09:10-10:10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0.04</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0.006</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11:30-12:30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13:50-14:50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0.003</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16:10-17:10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eastAsia"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2#牛羊屠宰</w:t>
            </w:r>
            <w:r>
              <w:rPr>
                <w:rFonts w:hint="eastAsia" w:cs="Times New Roman"/>
                <w:i w:val="0"/>
                <w:iCs w:val="0"/>
                <w:color w:val="auto"/>
                <w:kern w:val="0"/>
                <w:sz w:val="21"/>
                <w:szCs w:val="21"/>
                <w:u w:val="none"/>
                <w:lang w:val="en-US" w:eastAsia="zh-CN" w:bidi="ar"/>
              </w:rPr>
              <w:t>副产物</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加工车间下风向</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09:10-10:10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0.28</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11:30-12:30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0.25</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0.010</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13:50-14:50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0.23</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0.007</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16:10-17:10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0.24</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牛羊屠宰</w:t>
            </w:r>
            <w:r>
              <w:rPr>
                <w:rFonts w:hint="eastAsia" w:cs="Times New Roman"/>
                <w:i w:val="0"/>
                <w:iCs w:val="0"/>
                <w:color w:val="auto"/>
                <w:kern w:val="0"/>
                <w:sz w:val="21"/>
                <w:szCs w:val="21"/>
                <w:u w:val="none"/>
                <w:lang w:val="en-US" w:eastAsia="zh-CN" w:bidi="ar"/>
              </w:rPr>
              <w:t>副产物</w:t>
            </w:r>
            <w:r>
              <w:rPr>
                <w:rFonts w:hint="default" w:ascii="Times New Roman" w:hAnsi="Times New Roman" w:eastAsia="宋体" w:cs="Times New Roman"/>
                <w:i w:val="0"/>
                <w:iCs w:val="0"/>
                <w:color w:val="auto"/>
                <w:kern w:val="0"/>
                <w:sz w:val="21"/>
                <w:szCs w:val="21"/>
                <w:u w:val="none"/>
                <w:lang w:val="en-US" w:eastAsia="zh-CN" w:bidi="ar"/>
              </w:rPr>
              <w:t>加工车间下风向3#</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09:10-10:10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0.50</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0.017</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11:30-12:30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13:50-14:50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0.47</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0.012</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16:10-17:10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0.43</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0.017</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牛羊屠宰</w:t>
            </w:r>
            <w:r>
              <w:rPr>
                <w:rFonts w:hint="eastAsia" w:cs="Times New Roman"/>
                <w:i w:val="0"/>
                <w:iCs w:val="0"/>
                <w:color w:val="auto"/>
                <w:kern w:val="0"/>
                <w:sz w:val="21"/>
                <w:szCs w:val="21"/>
                <w:u w:val="none"/>
                <w:lang w:val="en-US" w:eastAsia="zh-CN" w:bidi="ar"/>
              </w:rPr>
              <w:t>副产物</w:t>
            </w:r>
            <w:r>
              <w:rPr>
                <w:rFonts w:hint="default" w:ascii="Times New Roman" w:hAnsi="Times New Roman" w:eastAsia="宋体" w:cs="Times New Roman"/>
                <w:i w:val="0"/>
                <w:iCs w:val="0"/>
                <w:color w:val="auto"/>
                <w:kern w:val="0"/>
                <w:sz w:val="21"/>
                <w:szCs w:val="21"/>
                <w:u w:val="none"/>
                <w:lang w:val="en-US" w:eastAsia="zh-CN" w:bidi="ar"/>
              </w:rPr>
              <w:t>加工车间下风向4#</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09:10-10:10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0.34</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0.015</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11:30-12:30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0.31</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13:50-14:50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0.28</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0.010</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16:10-17:10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0.29</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0.012</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83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最大值</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0.50</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0.017</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83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83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评价</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检测点位</w:t>
            </w:r>
          </w:p>
        </w:tc>
        <w:tc>
          <w:tcPr>
            <w:tcW w:w="748"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检测时间</w:t>
            </w:r>
          </w:p>
        </w:tc>
        <w:tc>
          <w:tcPr>
            <w:tcW w:w="3165" w:type="pct"/>
            <w:gridSpan w:val="3"/>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采样检测日期：2021年12月25日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74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氨</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硫化氢</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臭气浓度（无量纲）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748"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检测结果</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检测结果</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b/>
                <w:bCs/>
                <w:i w:val="0"/>
                <w:iCs w:val="0"/>
                <w:color w:val="auto"/>
                <w:kern w:val="0"/>
                <w:sz w:val="21"/>
                <w:szCs w:val="21"/>
                <w:u w:val="none"/>
                <w:lang w:val="en-US" w:eastAsia="zh-CN" w:bidi="ar"/>
              </w:rPr>
            </w:pPr>
            <w:r>
              <w:rPr>
                <w:rFonts w:hint="default" w:ascii="Times New Roman" w:hAnsi="Times New Roman" w:eastAsia="宋体" w:cs="Times New Roman"/>
                <w:b/>
                <w:bCs/>
                <w:i w:val="0"/>
                <w:iCs w:val="0"/>
                <w:color w:val="auto"/>
                <w:kern w:val="0"/>
                <w:sz w:val="21"/>
                <w:szCs w:val="21"/>
                <w:u w:val="none"/>
                <w:lang w:val="en-US" w:eastAsia="zh-CN" w:bidi="ar"/>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牛羊屠宰</w:t>
            </w:r>
            <w:r>
              <w:rPr>
                <w:rFonts w:hint="eastAsia" w:cs="Times New Roman"/>
                <w:i w:val="0"/>
                <w:iCs w:val="0"/>
                <w:color w:val="auto"/>
                <w:kern w:val="0"/>
                <w:sz w:val="21"/>
                <w:szCs w:val="21"/>
                <w:u w:val="none"/>
                <w:lang w:val="en-US" w:eastAsia="zh-CN" w:bidi="ar"/>
              </w:rPr>
              <w:t>副产物</w:t>
            </w:r>
            <w:r>
              <w:rPr>
                <w:rFonts w:hint="default" w:ascii="Times New Roman" w:hAnsi="Times New Roman" w:eastAsia="宋体" w:cs="Times New Roman"/>
                <w:i w:val="0"/>
                <w:iCs w:val="0"/>
                <w:color w:val="auto"/>
                <w:kern w:val="0"/>
                <w:sz w:val="21"/>
                <w:szCs w:val="21"/>
                <w:u w:val="none"/>
                <w:lang w:val="en-US" w:eastAsia="zh-CN" w:bidi="ar"/>
              </w:rPr>
              <w:t>加工车间上风向1#</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09:40-10:40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0.006</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12:00-13:00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0.03</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14:20-15:20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0.02</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0.003</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16:40-17:40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0.005</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牛羊屠宰</w:t>
            </w:r>
            <w:r>
              <w:rPr>
                <w:rFonts w:hint="eastAsia" w:cs="Times New Roman"/>
                <w:i w:val="0"/>
                <w:iCs w:val="0"/>
                <w:color w:val="auto"/>
                <w:kern w:val="0"/>
                <w:sz w:val="21"/>
                <w:szCs w:val="21"/>
                <w:u w:val="none"/>
                <w:lang w:val="en-US" w:eastAsia="zh-CN" w:bidi="ar"/>
              </w:rPr>
              <w:t>副产物</w:t>
            </w:r>
            <w:r>
              <w:rPr>
                <w:rFonts w:hint="default" w:ascii="Times New Roman" w:hAnsi="Times New Roman" w:eastAsia="宋体" w:cs="Times New Roman"/>
                <w:i w:val="0"/>
                <w:iCs w:val="0"/>
                <w:color w:val="auto"/>
                <w:kern w:val="0"/>
                <w:sz w:val="21"/>
                <w:szCs w:val="21"/>
                <w:u w:val="none"/>
                <w:lang w:val="en-US" w:eastAsia="zh-CN" w:bidi="ar"/>
              </w:rPr>
              <w:t>加工车间下风向2#</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09:40-10:40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0.37</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0.013</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12:00-13:00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0.32</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0.009</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14:20-15:20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0.29</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0.008</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16:40-17:40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0.23</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0.012</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牛羊屠宰</w:t>
            </w:r>
            <w:r>
              <w:rPr>
                <w:rFonts w:hint="eastAsia" w:cs="Times New Roman"/>
                <w:i w:val="0"/>
                <w:iCs w:val="0"/>
                <w:color w:val="auto"/>
                <w:kern w:val="0"/>
                <w:sz w:val="21"/>
                <w:szCs w:val="21"/>
                <w:u w:val="none"/>
                <w:lang w:val="en-US" w:eastAsia="zh-CN" w:bidi="ar"/>
              </w:rPr>
              <w:t>副产物</w:t>
            </w:r>
            <w:r>
              <w:rPr>
                <w:rFonts w:hint="default" w:ascii="Times New Roman" w:hAnsi="Times New Roman" w:eastAsia="宋体" w:cs="Times New Roman"/>
                <w:i w:val="0"/>
                <w:iCs w:val="0"/>
                <w:color w:val="auto"/>
                <w:kern w:val="0"/>
                <w:sz w:val="21"/>
                <w:szCs w:val="21"/>
                <w:u w:val="none"/>
                <w:lang w:val="en-US" w:eastAsia="zh-CN" w:bidi="ar"/>
              </w:rPr>
              <w:t>加工车间下风向3#</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09:40-10:40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0.016</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12:00-13:00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0.46</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14:20-15:20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0.40</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16:40-17:40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0.40</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牛羊屠宰物加工车间下风向4#</w:t>
            </w: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09:40-10:40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0.38</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0.014</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12:00-13:00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0.36</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14:20-15:20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0.32</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0.008</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86" w:type="pct"/>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74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16:40-17:40</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0.27</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0.011</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83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最大值</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0.016</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83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标准</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≤0.06</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834" w:type="pct"/>
            <w:gridSpan w:val="2"/>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评价</w:t>
            </w:r>
          </w:p>
        </w:tc>
        <w:tc>
          <w:tcPr>
            <w:tcW w:w="954"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c>
          <w:tcPr>
            <w:tcW w:w="1038"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c>
          <w:tcPr>
            <w:tcW w:w="117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bl>
    <w:p>
      <w:pPr>
        <w:pStyle w:val="2"/>
        <w:keepNext w:val="0"/>
        <w:keepLines w:val="0"/>
        <w:suppressLineNumbers w:val="0"/>
        <w:spacing w:before="0" w:beforeAutospacing="0" w:after="0" w:afterAutospacing="0" w:line="360" w:lineRule="auto"/>
        <w:ind w:left="0" w:right="0" w:firstLine="480" w:firstLineChars="200"/>
        <w:rPr>
          <w:rFonts w:hint="eastAsia"/>
          <w:lang w:val="en-US" w:eastAsia="zh-CN"/>
        </w:rPr>
      </w:pPr>
      <w:r>
        <w:rPr>
          <w:rFonts w:hint="default" w:ascii="Times New Roman" w:hAnsi="Times New Roman" w:cs="Times New Roman"/>
          <w:kern w:val="2"/>
          <w:sz w:val="24"/>
          <w:szCs w:val="24"/>
          <w:lang w:val="en-US" w:eastAsia="zh-CN"/>
        </w:rPr>
        <w:t>由上表可知，本项目无组织废气</w:t>
      </w:r>
      <w:r>
        <w:rPr>
          <w:rFonts w:hint="eastAsia" w:ascii="Times New Roman" w:hAnsi="Times New Roman" w:cs="Times New Roman"/>
          <w:kern w:val="2"/>
          <w:sz w:val="24"/>
          <w:szCs w:val="24"/>
          <w:lang w:val="en-US" w:eastAsia="zh-CN"/>
        </w:rPr>
        <w:t>：氨</w:t>
      </w:r>
      <w:r>
        <w:rPr>
          <w:rFonts w:hint="default" w:ascii="Times New Roman" w:hAnsi="Times New Roman" w:cs="Times New Roman"/>
          <w:kern w:val="2"/>
          <w:sz w:val="24"/>
          <w:szCs w:val="24"/>
          <w:lang w:val="en-US" w:eastAsia="zh-CN"/>
        </w:rPr>
        <w:t>厂界最大浓度值为</w:t>
      </w:r>
      <w:r>
        <w:rPr>
          <w:rFonts w:hint="eastAsia" w:ascii="Times New Roman" w:hAnsi="Times New Roman" w:cs="Times New Roman"/>
          <w:kern w:val="0"/>
          <w:sz w:val="24"/>
          <w:szCs w:val="24"/>
          <w:lang w:val="en-US" w:eastAsia="zh-CN"/>
        </w:rPr>
        <w:t>0.50</w:t>
      </w:r>
      <w:r>
        <w:rPr>
          <w:rFonts w:hint="default" w:ascii="Times New Roman" w:hAnsi="Times New Roman" w:eastAsia="宋体" w:cs="Times New Roman"/>
          <w:kern w:val="0"/>
          <w:sz w:val="24"/>
          <w:szCs w:val="24"/>
        </w:rPr>
        <w:t>mg/m</w:t>
      </w:r>
      <w:r>
        <w:rPr>
          <w:rFonts w:hint="default" w:ascii="Times New Roman" w:hAnsi="Times New Roman" w:eastAsia="宋体" w:cs="Times New Roman"/>
          <w:kern w:val="0"/>
          <w:sz w:val="24"/>
          <w:szCs w:val="24"/>
          <w:vertAlign w:val="superscript"/>
        </w:rPr>
        <w:t>3</w:t>
      </w:r>
      <w:r>
        <w:rPr>
          <w:rFonts w:hint="default" w:ascii="Times New Roman" w:hAnsi="Times New Roman" w:cs="Times New Roman"/>
          <w:kern w:val="0"/>
          <w:sz w:val="24"/>
          <w:szCs w:val="24"/>
          <w:vertAlign w:val="baseline"/>
          <w:lang w:eastAsia="zh-CN"/>
        </w:rPr>
        <w:t>，</w:t>
      </w:r>
      <w:r>
        <w:rPr>
          <w:rFonts w:hint="eastAsia" w:ascii="Times New Roman" w:hAnsi="Times New Roman" w:cs="Times New Roman"/>
          <w:kern w:val="2"/>
          <w:sz w:val="24"/>
          <w:szCs w:val="24"/>
          <w:lang w:val="en-US" w:eastAsia="zh-CN"/>
        </w:rPr>
        <w:t>硫化氢</w:t>
      </w:r>
      <w:r>
        <w:rPr>
          <w:rFonts w:hint="default" w:ascii="Times New Roman" w:hAnsi="Times New Roman" w:cs="Times New Roman"/>
          <w:kern w:val="2"/>
          <w:sz w:val="24"/>
          <w:szCs w:val="24"/>
          <w:lang w:val="en-US" w:eastAsia="zh-CN"/>
        </w:rPr>
        <w:t>厂界最大浓度值为</w:t>
      </w:r>
      <w:r>
        <w:rPr>
          <w:rFonts w:hint="eastAsia" w:ascii="Times New Roman" w:hAnsi="Times New Roman" w:cs="Times New Roman"/>
          <w:kern w:val="2"/>
          <w:sz w:val="24"/>
          <w:szCs w:val="24"/>
          <w:lang w:val="en-US" w:eastAsia="zh-CN"/>
        </w:rPr>
        <w:t>0.017</w:t>
      </w:r>
      <w:r>
        <w:rPr>
          <w:rFonts w:hint="default" w:ascii="Times New Roman" w:hAnsi="Times New Roman" w:eastAsia="宋体" w:cs="Times New Roman"/>
          <w:kern w:val="0"/>
          <w:sz w:val="24"/>
          <w:szCs w:val="24"/>
        </w:rPr>
        <w:t>mg/m</w:t>
      </w:r>
      <w:r>
        <w:rPr>
          <w:rFonts w:hint="default" w:ascii="Times New Roman" w:hAnsi="Times New Roman" w:eastAsia="宋体" w:cs="Times New Roman"/>
          <w:kern w:val="0"/>
          <w:sz w:val="24"/>
          <w:szCs w:val="24"/>
          <w:vertAlign w:val="superscript"/>
        </w:rPr>
        <w:t>3</w:t>
      </w:r>
      <w:r>
        <w:rPr>
          <w:rFonts w:hint="eastAsia" w:ascii="Times New Roman" w:hAnsi="Times New Roman" w:cs="Times New Roman"/>
          <w:kern w:val="0"/>
          <w:sz w:val="24"/>
          <w:szCs w:val="24"/>
          <w:vertAlign w:val="baseline"/>
          <w:lang w:eastAsia="zh-CN"/>
        </w:rPr>
        <w:t>，</w:t>
      </w:r>
      <w:r>
        <w:rPr>
          <w:rFonts w:hint="eastAsia" w:ascii="Times New Roman" w:hAnsi="Times New Roman" w:cs="Times New Roman"/>
          <w:kern w:val="0"/>
          <w:sz w:val="24"/>
          <w:szCs w:val="24"/>
          <w:vertAlign w:val="baseline"/>
          <w:lang w:val="en-US" w:eastAsia="zh-CN"/>
        </w:rPr>
        <w:t>臭气浓度</w:t>
      </w:r>
      <w:r>
        <w:rPr>
          <w:rFonts w:hint="default" w:ascii="Times New Roman" w:hAnsi="Times New Roman" w:cs="Times New Roman"/>
          <w:kern w:val="2"/>
          <w:sz w:val="24"/>
          <w:szCs w:val="24"/>
          <w:lang w:val="en-US" w:eastAsia="zh-CN"/>
        </w:rPr>
        <w:t>厂界最大浓度值</w:t>
      </w:r>
      <w:r>
        <w:rPr>
          <w:rFonts w:hint="eastAsia" w:ascii="Times New Roman" w:hAnsi="Times New Roman" w:cs="Times New Roman"/>
          <w:kern w:val="2"/>
          <w:sz w:val="24"/>
          <w:szCs w:val="24"/>
          <w:lang w:val="en-US" w:eastAsia="zh-CN"/>
        </w:rPr>
        <w:t>小于10</w:t>
      </w:r>
      <w:r>
        <w:rPr>
          <w:rFonts w:hint="eastAsia" w:ascii="Times New Roman" w:hAnsi="Times New Roman" w:cs="Times New Roman"/>
          <w:kern w:val="0"/>
          <w:sz w:val="24"/>
          <w:szCs w:val="24"/>
          <w:vertAlign w:val="baseline"/>
          <w:lang w:eastAsia="zh-CN"/>
        </w:rPr>
        <w:t>。</w:t>
      </w:r>
      <w:r>
        <w:rPr>
          <w:rFonts w:hint="eastAsia" w:ascii="Times New Roman" w:hAnsi="Times New Roman" w:cs="Times New Roman"/>
          <w:kern w:val="0"/>
          <w:sz w:val="24"/>
          <w:szCs w:val="24"/>
          <w:vertAlign w:val="baseline"/>
          <w:lang w:val="en-US" w:eastAsia="zh-CN"/>
        </w:rPr>
        <w:t>无组织废气</w:t>
      </w:r>
      <w:r>
        <w:rPr>
          <w:rFonts w:hint="eastAsia" w:ascii="Times New Roman" w:hAnsi="Times New Roman" w:cs="Times New Roman"/>
          <w:kern w:val="2"/>
          <w:sz w:val="24"/>
          <w:szCs w:val="24"/>
          <w:lang w:val="en-US" w:eastAsia="zh-CN"/>
        </w:rPr>
        <w:t>氨、硫化氢、</w:t>
      </w:r>
      <w:r>
        <w:rPr>
          <w:rFonts w:hint="eastAsia" w:ascii="Times New Roman" w:hAnsi="Times New Roman" w:cs="Times New Roman"/>
          <w:kern w:val="0"/>
          <w:sz w:val="24"/>
          <w:szCs w:val="24"/>
          <w:vertAlign w:val="baseline"/>
          <w:lang w:val="en-US" w:eastAsia="zh-CN"/>
        </w:rPr>
        <w:t>臭气浓度能够满足《恶臭污染物排放标准》（GB14554-93）中</w:t>
      </w:r>
      <w:r>
        <w:rPr>
          <w:rFonts w:ascii="Times New Roman" w:hAnsi="Times New Roman" w:cs="Times New Roman"/>
          <w:bCs/>
          <w:kern w:val="2"/>
        </w:rPr>
        <w:t>恶臭污染物厂界标准值</w:t>
      </w:r>
      <w:r>
        <w:rPr>
          <w:rFonts w:hint="eastAsia" w:ascii="Times New Roman" w:hAnsi="Times New Roman" w:cs="Times New Roman"/>
          <w:bCs/>
          <w:kern w:val="2"/>
          <w:lang w:val="en-US" w:eastAsia="zh-CN"/>
        </w:rPr>
        <w:t>要求（氨</w:t>
      </w:r>
      <w:r>
        <w:rPr>
          <w:rFonts w:ascii="Times New Roman" w:hAnsi="Times New Roman" w:cs="Times New Roman"/>
          <w:bCs/>
          <w:kern w:val="2"/>
        </w:rPr>
        <w:t>厂界</w:t>
      </w:r>
      <w:r>
        <w:rPr>
          <w:rFonts w:hint="eastAsia" w:ascii="Times New Roman" w:hAnsi="Times New Roman" w:cs="Times New Roman"/>
          <w:bCs/>
          <w:kern w:val="2"/>
          <w:lang w:val="en-US" w:eastAsia="zh-CN"/>
        </w:rPr>
        <w:t>最大限值要求小于1.5</w:t>
      </w:r>
      <w:r>
        <w:rPr>
          <w:rFonts w:hint="default" w:ascii="Times New Roman" w:hAnsi="Times New Roman" w:eastAsia="宋体" w:cs="Times New Roman"/>
          <w:kern w:val="0"/>
          <w:sz w:val="24"/>
          <w:szCs w:val="24"/>
        </w:rPr>
        <w:t>mg/m</w:t>
      </w:r>
      <w:r>
        <w:rPr>
          <w:rFonts w:hint="default" w:ascii="Times New Roman" w:hAnsi="Times New Roman" w:eastAsia="宋体" w:cs="Times New Roman"/>
          <w:kern w:val="0"/>
          <w:sz w:val="24"/>
          <w:szCs w:val="24"/>
          <w:vertAlign w:val="superscript"/>
        </w:rPr>
        <w:t>3</w:t>
      </w:r>
      <w:r>
        <w:rPr>
          <w:rFonts w:hint="eastAsia" w:ascii="Times New Roman" w:hAnsi="Times New Roman" w:cs="Times New Roman"/>
          <w:kern w:val="0"/>
          <w:sz w:val="24"/>
          <w:szCs w:val="24"/>
          <w:vertAlign w:val="baseline"/>
          <w:lang w:eastAsia="zh-CN"/>
        </w:rPr>
        <w:t>，</w:t>
      </w:r>
      <w:r>
        <w:rPr>
          <w:rFonts w:hint="eastAsia" w:ascii="Times New Roman" w:hAnsi="Times New Roman" w:cs="Times New Roman"/>
          <w:bCs/>
          <w:kern w:val="2"/>
          <w:lang w:val="en-US" w:eastAsia="zh-CN"/>
        </w:rPr>
        <w:t>硫化氢</w:t>
      </w:r>
      <w:r>
        <w:rPr>
          <w:rFonts w:ascii="Times New Roman" w:hAnsi="Times New Roman" w:cs="Times New Roman"/>
          <w:bCs/>
          <w:kern w:val="2"/>
        </w:rPr>
        <w:t>厂界</w:t>
      </w:r>
      <w:r>
        <w:rPr>
          <w:rFonts w:hint="eastAsia" w:ascii="Times New Roman" w:hAnsi="Times New Roman" w:cs="Times New Roman"/>
          <w:bCs/>
          <w:kern w:val="2"/>
          <w:lang w:val="en-US" w:eastAsia="zh-CN"/>
        </w:rPr>
        <w:t>最大限值要求小于0.06</w:t>
      </w:r>
      <w:r>
        <w:rPr>
          <w:rFonts w:hint="default" w:ascii="Times New Roman" w:hAnsi="Times New Roman" w:eastAsia="宋体" w:cs="Times New Roman"/>
          <w:kern w:val="0"/>
          <w:sz w:val="24"/>
          <w:szCs w:val="24"/>
        </w:rPr>
        <w:t>mg/m</w:t>
      </w:r>
      <w:r>
        <w:rPr>
          <w:rFonts w:hint="default" w:ascii="Times New Roman" w:hAnsi="Times New Roman" w:eastAsia="宋体" w:cs="Times New Roman"/>
          <w:kern w:val="0"/>
          <w:sz w:val="24"/>
          <w:szCs w:val="24"/>
          <w:vertAlign w:val="superscript"/>
        </w:rPr>
        <w:t>3</w:t>
      </w:r>
      <w:r>
        <w:rPr>
          <w:rFonts w:hint="eastAsia" w:ascii="Times New Roman" w:hAnsi="Times New Roman" w:cs="Times New Roman"/>
          <w:kern w:val="0"/>
          <w:sz w:val="24"/>
          <w:szCs w:val="24"/>
          <w:vertAlign w:val="baseline"/>
          <w:lang w:eastAsia="zh-CN"/>
        </w:rPr>
        <w:t>，</w:t>
      </w:r>
      <w:r>
        <w:rPr>
          <w:rFonts w:hint="eastAsia" w:ascii="Times New Roman" w:hAnsi="Times New Roman" w:cs="Times New Roman"/>
          <w:bCs/>
          <w:kern w:val="2"/>
          <w:lang w:val="en-US" w:eastAsia="zh-CN"/>
        </w:rPr>
        <w:t>氨</w:t>
      </w:r>
      <w:r>
        <w:rPr>
          <w:rFonts w:ascii="Times New Roman" w:hAnsi="Times New Roman" w:cs="Times New Roman"/>
          <w:bCs/>
          <w:kern w:val="2"/>
        </w:rPr>
        <w:t>厂界</w:t>
      </w:r>
      <w:r>
        <w:rPr>
          <w:rFonts w:hint="eastAsia" w:ascii="Times New Roman" w:hAnsi="Times New Roman" w:cs="Times New Roman"/>
          <w:bCs/>
          <w:kern w:val="2"/>
          <w:lang w:val="en-US" w:eastAsia="zh-CN"/>
        </w:rPr>
        <w:t>最大限值要求小于20）</w:t>
      </w:r>
      <w:r>
        <w:rPr>
          <w:rFonts w:hint="eastAsia" w:cs="Times New Roman"/>
          <w:bCs/>
          <w:kern w:val="2"/>
          <w:lang w:val="en-US" w:eastAsia="zh-CN"/>
        </w:rPr>
        <w:t>，</w:t>
      </w:r>
      <w:r>
        <w:rPr>
          <w:rFonts w:hint="eastAsia" w:cs="Times New Roman"/>
          <w:b w:val="0"/>
          <w:bCs w:val="0"/>
          <w:color w:val="auto"/>
          <w:sz w:val="24"/>
          <w:szCs w:val="24"/>
          <w:lang w:val="en-US" w:eastAsia="zh-CN"/>
        </w:rPr>
        <w:t>所有废气均能实现达标排放。</w:t>
      </w:r>
    </w:p>
    <w:p>
      <w:pPr>
        <w:bidi w:val="0"/>
        <w:rPr>
          <w:rFonts w:hint="default"/>
          <w:b/>
          <w:bCs/>
          <w:lang w:val="en-US" w:eastAsia="zh-CN"/>
        </w:rPr>
      </w:pPr>
      <w:r>
        <w:rPr>
          <w:rFonts w:hint="eastAsia"/>
          <w:b/>
          <w:bCs/>
          <w:lang w:val="en-US" w:eastAsia="zh-CN"/>
        </w:rPr>
        <w:t>3、“5000头肉牛繁育基地基础设施建设项目”和“5000头肉牛繁育基地基础设施建设项目”以及污水处理站</w:t>
      </w:r>
    </w:p>
    <w:p>
      <w:pPr>
        <w:bidi w:val="0"/>
        <w:rPr>
          <w:rFonts w:hint="default"/>
          <w:lang w:val="en-US" w:eastAsia="zh-CN"/>
        </w:rPr>
      </w:pPr>
      <w:r>
        <w:rPr>
          <w:rFonts w:hint="eastAsia"/>
          <w:lang w:val="en-US" w:eastAsia="zh-CN"/>
        </w:rPr>
        <w:t>“节水型工农业复合循环体系改造升级项目”对“5000头肉牛繁育基地基础设施建设项目”中的养殖区、饲料生产线进行了升级改造，同时也对厂区污水处理站进行了改造，因此以上建设内容废气产排情况引用《节水型工农业复合循环体系改造升级项目竣工环境保护验收监测报告》（甘肃沁园环保科技有限公司，2022年1月）中的监测数据进行说明，具体的监测情况详见下表。</w:t>
      </w:r>
    </w:p>
    <w:p>
      <w:pPr>
        <w:bidi w:val="0"/>
        <w:rPr>
          <w:rFonts w:hint="default"/>
          <w:b/>
          <w:bCs/>
          <w:lang w:val="en-US" w:eastAsia="zh-CN"/>
        </w:rPr>
      </w:pPr>
      <w:r>
        <w:rPr>
          <w:rFonts w:hint="eastAsia"/>
          <w:b/>
          <w:bCs/>
          <w:lang w:val="en-US" w:eastAsia="zh-CN"/>
        </w:rPr>
        <w:t>（1）有组织废气</w:t>
      </w:r>
    </w:p>
    <w:p>
      <w:pPr>
        <w:bidi w:val="0"/>
        <w:rPr>
          <w:rFonts w:hint="default"/>
          <w:lang w:val="en-US" w:eastAsia="zh-CN"/>
        </w:rPr>
      </w:pPr>
      <w:r>
        <w:rPr>
          <w:rFonts w:hint="eastAsia"/>
          <w:lang w:val="en-US" w:eastAsia="zh-CN"/>
        </w:rPr>
        <w:t>本项目有组织废气监测结果如下表。</w:t>
      </w:r>
    </w:p>
    <w:p>
      <w:pPr>
        <w:bidi w:val="0"/>
        <w:spacing w:line="240" w:lineRule="auto"/>
        <w:jc w:val="center"/>
        <w:rPr>
          <w:rFonts w:hint="eastAsia"/>
          <w:b/>
          <w:bCs/>
          <w:lang w:val="en-US" w:eastAsia="zh-CN"/>
        </w:rPr>
      </w:pPr>
      <w:r>
        <w:rPr>
          <w:rFonts w:hint="eastAsia"/>
          <w:b/>
          <w:bCs/>
          <w:lang w:val="en-US" w:eastAsia="zh-CN"/>
        </w:rPr>
        <w:t>表2.10    有组织废气检测分析结果汇总表</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2659"/>
        <w:gridCol w:w="2589"/>
        <w:gridCol w:w="2008"/>
        <w:gridCol w:w="1970"/>
        <w:gridCol w:w="1755"/>
        <w:gridCol w:w="1890"/>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序号</w:t>
            </w:r>
          </w:p>
        </w:tc>
        <w:tc>
          <w:tcPr>
            <w:tcW w:w="1762" w:type="pct"/>
            <w:gridSpan w:val="2"/>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名称</w:t>
            </w:r>
          </w:p>
        </w:tc>
        <w:tc>
          <w:tcPr>
            <w:tcW w:w="674" w:type="pc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实际</w:t>
            </w:r>
            <w:r>
              <w:rPr>
                <w:rFonts w:hint="eastAsia" w:ascii="Times New Roman" w:hAnsi="Times New Roman" w:eastAsia="宋体" w:cs="Times New Roman"/>
                <w:b/>
                <w:bCs/>
                <w:sz w:val="21"/>
                <w:szCs w:val="21"/>
                <w:vertAlign w:val="baseline"/>
                <w:lang w:val="en-US" w:eastAsia="zh-CN"/>
              </w:rPr>
              <w:t>最大</w:t>
            </w:r>
            <w:r>
              <w:rPr>
                <w:rFonts w:hint="default" w:ascii="Times New Roman" w:hAnsi="Times New Roman" w:eastAsia="宋体" w:cs="Times New Roman"/>
                <w:b/>
                <w:bCs/>
                <w:sz w:val="21"/>
                <w:szCs w:val="21"/>
                <w:vertAlign w:val="baseline"/>
                <w:lang w:val="en-US" w:eastAsia="zh-CN"/>
              </w:rPr>
              <w:t>排放浓度（mg/m</w:t>
            </w:r>
            <w:r>
              <w:rPr>
                <w:rFonts w:hint="default" w:ascii="Times New Roman" w:hAnsi="Times New Roman" w:eastAsia="宋体" w:cs="Times New Roman"/>
                <w:b/>
                <w:bCs/>
                <w:sz w:val="21"/>
                <w:szCs w:val="21"/>
                <w:vertAlign w:val="superscript"/>
                <w:lang w:val="en-US" w:eastAsia="zh-CN"/>
              </w:rPr>
              <w:t>3</w:t>
            </w:r>
            <w:r>
              <w:rPr>
                <w:rFonts w:hint="default" w:ascii="Times New Roman" w:hAnsi="Times New Roman" w:eastAsia="宋体" w:cs="Times New Roman"/>
                <w:b/>
                <w:bCs/>
                <w:sz w:val="21"/>
                <w:szCs w:val="21"/>
                <w:vertAlign w:val="baseline"/>
                <w:lang w:val="en-US" w:eastAsia="zh-CN"/>
              </w:rPr>
              <w:t>）</w:t>
            </w:r>
          </w:p>
        </w:tc>
        <w:tc>
          <w:tcPr>
            <w:tcW w:w="661" w:type="pc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排放浓度限值要求（mg/m</w:t>
            </w:r>
            <w:r>
              <w:rPr>
                <w:rFonts w:hint="default" w:ascii="Times New Roman" w:hAnsi="Times New Roman" w:eastAsia="宋体" w:cs="Times New Roman"/>
                <w:b/>
                <w:bCs/>
                <w:sz w:val="21"/>
                <w:szCs w:val="21"/>
                <w:vertAlign w:val="superscript"/>
                <w:lang w:val="en-US" w:eastAsia="zh-CN"/>
              </w:rPr>
              <w:t>3</w:t>
            </w:r>
            <w:r>
              <w:rPr>
                <w:rFonts w:hint="default" w:ascii="Times New Roman" w:hAnsi="Times New Roman" w:eastAsia="宋体" w:cs="Times New Roman"/>
                <w:b/>
                <w:bCs/>
                <w:sz w:val="21"/>
                <w:szCs w:val="21"/>
                <w:vertAlign w:val="baseline"/>
                <w:lang w:val="en-US" w:eastAsia="zh-CN"/>
              </w:rPr>
              <w:t>）</w:t>
            </w:r>
          </w:p>
        </w:tc>
        <w:tc>
          <w:tcPr>
            <w:tcW w:w="589" w:type="pc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rPr>
            </w:pPr>
            <w:r>
              <w:rPr>
                <w:rFonts w:hint="default" w:ascii="Times New Roman" w:hAnsi="Times New Roman" w:eastAsia="宋体" w:cs="Times New Roman"/>
                <w:b/>
                <w:bCs/>
                <w:sz w:val="21"/>
                <w:szCs w:val="21"/>
                <w:vertAlign w:val="baseline"/>
                <w:lang w:val="en-US" w:eastAsia="zh-CN"/>
              </w:rPr>
              <w:t>实际</w:t>
            </w:r>
            <w:r>
              <w:rPr>
                <w:rFonts w:hint="eastAsia" w:ascii="Times New Roman" w:hAnsi="Times New Roman" w:eastAsia="宋体" w:cs="Times New Roman"/>
                <w:b/>
                <w:bCs/>
                <w:sz w:val="21"/>
                <w:szCs w:val="21"/>
                <w:vertAlign w:val="baseline"/>
                <w:lang w:val="en-US" w:eastAsia="zh-CN"/>
              </w:rPr>
              <w:t>最大</w:t>
            </w:r>
            <w:r>
              <w:rPr>
                <w:rFonts w:hint="default" w:ascii="Times New Roman" w:hAnsi="Times New Roman" w:eastAsia="宋体" w:cs="Times New Roman"/>
                <w:b/>
                <w:bCs/>
                <w:sz w:val="21"/>
                <w:szCs w:val="21"/>
                <w:vertAlign w:val="baseline"/>
                <w:lang w:val="en-US" w:eastAsia="zh-CN"/>
              </w:rPr>
              <w:t>排放速率（kg/h）</w:t>
            </w:r>
          </w:p>
        </w:tc>
        <w:tc>
          <w:tcPr>
            <w:tcW w:w="634" w:type="pc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排放速率限值要求（kg/h）</w:t>
            </w:r>
          </w:p>
        </w:tc>
        <w:tc>
          <w:tcPr>
            <w:tcW w:w="428" w:type="pct"/>
            <w:tcBorders>
              <w:tl2br w:val="nil"/>
              <w:tr2bl w:val="nil"/>
            </w:tcBorders>
            <w:noWrap w:val="0"/>
            <w:vAlign w:val="center"/>
          </w:tcPr>
          <w:p>
            <w:pPr>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w:t>
            </w:r>
          </w:p>
        </w:tc>
        <w:tc>
          <w:tcPr>
            <w:tcW w:w="89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有机肥加工车间发酵工段废气处理设施后排气筒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43</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0.605</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≤3.5</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氨</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0.90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0.013</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≤4.9</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硫化氢</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0.671</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0.009</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≤0.33</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臭气浓度（无量纲）</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309</w:t>
            </w:r>
            <w:r>
              <w:rPr>
                <w:rFonts w:hint="eastAsia" w:ascii="Times New Roman" w:hAnsi="Times New Roman" w:eastAsia="宋体" w:cs="Times New Roman"/>
                <w:color w:val="auto"/>
                <w:spacing w:val="11"/>
                <w:kern w:val="0"/>
                <w:sz w:val="21"/>
                <w:szCs w:val="21"/>
                <w:vertAlign w:val="baseline"/>
                <w:lang w:val="en-US" w:eastAsia="zh-CN"/>
              </w:rPr>
              <w:t>.0</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≤2000</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颗粒物</w:t>
            </w:r>
            <w:r>
              <w:rPr>
                <w:rFonts w:hint="default" w:ascii="Times New Roman" w:hAnsi="Times New Roman" w:eastAsia="宋体" w:cs="Times New Roman"/>
                <w:color w:val="auto"/>
                <w:spacing w:val="11"/>
                <w:kern w:val="0"/>
                <w:sz w:val="21"/>
                <w:szCs w:val="21"/>
                <w:vertAlign w:val="baseline"/>
                <w:lang w:val="en-US" w:eastAsia="zh-CN"/>
              </w:rPr>
              <w:t>执行《大气污染物综合排放标准》（GB16297-1996）表2中的二级标准限值浓度（颗粒物：最高允许排放浓度120mg/m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，最高允许排放速率3.5kg/h）</w:t>
            </w:r>
            <w:r>
              <w:rPr>
                <w:rFonts w:hint="eastAsia" w:ascii="Times New Roman" w:hAnsi="Times New Roman" w:eastAsia="宋体" w:cs="Times New Roman"/>
                <w:color w:val="auto"/>
                <w:spacing w:val="11"/>
                <w:kern w:val="0"/>
                <w:sz w:val="21"/>
                <w:szCs w:val="21"/>
                <w:vertAlign w:val="baseline"/>
                <w:lang w:val="en-US" w:eastAsia="zh-CN"/>
              </w:rPr>
              <w:t>；氨、硫化氢、臭气浓度执行《恶臭污染物排放标准》（GB14554-93）表2中的二级标准（氨最大允许排放速率4.9kg/h，硫化氢最大允许排放速率0.33kg/h，臭气浓度2000（无量纲））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w:t>
            </w:r>
          </w:p>
        </w:tc>
        <w:tc>
          <w:tcPr>
            <w:tcW w:w="89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饲料加工车间排气筒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58</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0.60</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≤3.5</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执行《大气污染物综合排放标准》（GB16297-1996）表2中的二级标准限值浓度（颗粒物：最高允许排放浓度120mg/m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，最高允许排放速率3.5kg/h）</w:t>
            </w:r>
            <w:r>
              <w:rPr>
                <w:rFonts w:hint="eastAsia"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w:t>
            </w:r>
          </w:p>
        </w:tc>
        <w:tc>
          <w:tcPr>
            <w:tcW w:w="89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有机肥加工车间原料粉碎</w:t>
            </w:r>
            <w:r>
              <w:rPr>
                <w:rFonts w:hint="eastAsia" w:ascii="Times New Roman" w:hAnsi="Times New Roman" w:eastAsia="宋体" w:cs="Times New Roman"/>
                <w:color w:val="auto"/>
                <w:spacing w:val="11"/>
                <w:kern w:val="0"/>
                <w:sz w:val="21"/>
                <w:szCs w:val="21"/>
                <w:vertAlign w:val="baseline"/>
                <w:lang w:val="en-US" w:eastAsia="zh-CN"/>
              </w:rPr>
              <w:t>。筛分</w:t>
            </w:r>
            <w:r>
              <w:rPr>
                <w:rFonts w:hint="default" w:ascii="Times New Roman" w:hAnsi="Times New Roman" w:eastAsia="宋体" w:cs="Times New Roman"/>
                <w:color w:val="auto"/>
                <w:spacing w:val="11"/>
                <w:kern w:val="0"/>
                <w:sz w:val="21"/>
                <w:szCs w:val="21"/>
                <w:vertAlign w:val="baseline"/>
                <w:lang w:val="en-US" w:eastAsia="zh-CN"/>
              </w:rPr>
              <w:t>工段排气筒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58</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0.819</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≤3.5</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执行《大气污染物综合排放标准》（GB16297-1996）表2中的二级标准限值浓度（颗粒物：最高允许排放浓度120mg/m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，最高允许排放速率3.5kg/h）</w:t>
            </w:r>
            <w:r>
              <w:rPr>
                <w:rFonts w:hint="eastAsia"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4</w:t>
            </w:r>
          </w:p>
        </w:tc>
        <w:tc>
          <w:tcPr>
            <w:tcW w:w="89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有机肥加工车间半成品筛选</w:t>
            </w:r>
            <w:r>
              <w:rPr>
                <w:rFonts w:hint="eastAsia" w:ascii="Times New Roman" w:hAnsi="Times New Roman" w:eastAsia="宋体" w:cs="Times New Roman"/>
                <w:color w:val="auto"/>
                <w:spacing w:val="11"/>
                <w:kern w:val="0"/>
                <w:sz w:val="21"/>
                <w:szCs w:val="21"/>
                <w:vertAlign w:val="baseline"/>
                <w:lang w:val="en-US" w:eastAsia="zh-CN"/>
              </w:rPr>
              <w:t>、粉碎</w:t>
            </w:r>
            <w:r>
              <w:rPr>
                <w:rFonts w:hint="default" w:ascii="Times New Roman" w:hAnsi="Times New Roman" w:eastAsia="宋体" w:cs="Times New Roman"/>
                <w:color w:val="auto"/>
                <w:spacing w:val="11"/>
                <w:kern w:val="0"/>
                <w:sz w:val="21"/>
                <w:szCs w:val="21"/>
                <w:vertAlign w:val="baseline"/>
                <w:lang w:val="en-US" w:eastAsia="zh-CN"/>
              </w:rPr>
              <w:t>废气处理设施后排气筒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56</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0.328</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≤3.5</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执行《大气污染物综合排放标准》（GB16297-1996）表2中的二级标准限值浓度（颗粒物：最高允许排放浓度120mg/m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，最高允许排放速率3.5kg/h）</w:t>
            </w:r>
            <w:r>
              <w:rPr>
                <w:rFonts w:hint="eastAsia"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w:t>
            </w:r>
          </w:p>
        </w:tc>
        <w:tc>
          <w:tcPr>
            <w:tcW w:w="89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有机肥加工车间制粒工段废气处理设施后排气筒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46</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0.137</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≤3.5</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执行《大气污染物综合排放标准》（GB16297-1996）表2中的二级标准限值浓度（颗粒物：最高允许排放浓度120mg/m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，最高允许排放速率3.5kg/h）</w:t>
            </w:r>
            <w:r>
              <w:rPr>
                <w:rFonts w:hint="eastAsia"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6</w:t>
            </w:r>
          </w:p>
        </w:tc>
        <w:tc>
          <w:tcPr>
            <w:tcW w:w="89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有机肥加工车间烘干工段废气处理设施后排气筒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lang w:val="en-US" w:eastAsia="zh-CN"/>
              </w:rPr>
              <w:t>33.0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二氧化硫</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cs="Times New Roman"/>
                <w:color w:val="auto"/>
                <w:spacing w:val="11"/>
                <w:kern w:val="0"/>
                <w:sz w:val="21"/>
                <w:szCs w:val="21"/>
                <w:vertAlign w:val="baseline"/>
                <w:lang w:val="en-US" w:eastAsia="zh-CN"/>
              </w:rPr>
              <w:t>17.0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≤850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氮氧化物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cs="Times New Roman"/>
                <w:color w:val="auto"/>
                <w:spacing w:val="11"/>
                <w:kern w:val="0"/>
                <w:sz w:val="21"/>
                <w:szCs w:val="21"/>
                <w:vertAlign w:val="baseline"/>
                <w:lang w:val="en-US" w:eastAsia="zh-CN"/>
              </w:rPr>
              <w:t>81.0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有机肥烘干采用燃油热风炉，其产生的废气中烟尘执行《工业炉窑大气污染物排放标准》（GB9078-1996）表2的二级标准限值浓度（烟（粉）尘浓度小于200</w:t>
            </w:r>
            <w:r>
              <w:rPr>
                <w:rFonts w:hint="default" w:ascii="Times New Roman" w:hAnsi="Times New Roman" w:eastAsia="宋体" w:cs="Times New Roman"/>
                <w:color w:val="auto"/>
                <w:spacing w:val="11"/>
                <w:kern w:val="0"/>
                <w:sz w:val="21"/>
                <w:szCs w:val="21"/>
                <w:vertAlign w:val="baseline"/>
                <w:lang w:val="en-US" w:eastAsia="zh-CN"/>
              </w:rPr>
              <w:t>mg/m</w:t>
            </w:r>
            <w:r>
              <w:rPr>
                <w:rFonts w:hint="default" w:ascii="Times New Roman" w:hAnsi="Times New Roman" w:eastAsia="宋体" w:cs="Times New Roman"/>
                <w:color w:val="auto"/>
                <w:spacing w:val="11"/>
                <w:kern w:val="0"/>
                <w:sz w:val="21"/>
                <w:szCs w:val="21"/>
                <w:vertAlign w:val="superscript"/>
                <w:lang w:val="en-US" w:eastAsia="zh-CN"/>
              </w:rPr>
              <w:t>3</w:t>
            </w:r>
            <w:r>
              <w:rPr>
                <w:rFonts w:hint="eastAsia" w:ascii="Times New Roman" w:hAnsi="Times New Roman" w:eastAsia="宋体" w:cs="Times New Roman"/>
                <w:color w:val="auto"/>
                <w:spacing w:val="11"/>
                <w:kern w:val="0"/>
                <w:sz w:val="21"/>
                <w:szCs w:val="21"/>
                <w:vertAlign w:val="baseline"/>
                <w:lang w:val="en-US" w:eastAsia="zh-CN"/>
              </w:rPr>
              <w:t>），SO</w:t>
            </w:r>
            <w:r>
              <w:rPr>
                <w:rFonts w:hint="eastAsia" w:ascii="Times New Roman" w:hAnsi="Times New Roman" w:eastAsia="宋体" w:cs="Times New Roman"/>
                <w:color w:val="auto"/>
                <w:spacing w:val="11"/>
                <w:kern w:val="0"/>
                <w:sz w:val="21"/>
                <w:szCs w:val="21"/>
                <w:vertAlign w:val="subscript"/>
                <w:lang w:val="en-US" w:eastAsia="zh-CN"/>
              </w:rPr>
              <w:t>2</w:t>
            </w:r>
            <w:r>
              <w:rPr>
                <w:rFonts w:hint="eastAsia" w:ascii="Times New Roman" w:hAnsi="Times New Roman" w:eastAsia="宋体" w:cs="Times New Roman"/>
                <w:color w:val="auto"/>
                <w:spacing w:val="11"/>
                <w:kern w:val="0"/>
                <w:sz w:val="21"/>
                <w:szCs w:val="21"/>
                <w:vertAlign w:val="baseline"/>
                <w:lang w:val="en-US" w:eastAsia="zh-CN"/>
              </w:rPr>
              <w:t>参照执行表4燃煤（油）炉窑二级标准限值浓度（SO</w:t>
            </w:r>
            <w:r>
              <w:rPr>
                <w:rFonts w:hint="eastAsia" w:ascii="Times New Roman" w:hAnsi="Times New Roman" w:eastAsia="宋体" w:cs="Times New Roman"/>
                <w:color w:val="auto"/>
                <w:spacing w:val="11"/>
                <w:kern w:val="0"/>
                <w:sz w:val="21"/>
                <w:szCs w:val="21"/>
                <w:vertAlign w:val="subscript"/>
                <w:lang w:val="en-US" w:eastAsia="zh-CN"/>
              </w:rPr>
              <w:t>2</w:t>
            </w:r>
            <w:r>
              <w:rPr>
                <w:rFonts w:hint="eastAsia" w:ascii="Times New Roman" w:hAnsi="Times New Roman" w:eastAsia="宋体" w:cs="Times New Roman"/>
                <w:color w:val="auto"/>
                <w:spacing w:val="11"/>
                <w:kern w:val="0"/>
                <w:sz w:val="21"/>
                <w:szCs w:val="21"/>
                <w:vertAlign w:val="baseline"/>
                <w:lang w:val="en-US" w:eastAsia="zh-CN"/>
              </w:rPr>
              <w:t>浓度小于850</w:t>
            </w:r>
            <w:r>
              <w:rPr>
                <w:rFonts w:hint="default" w:ascii="Times New Roman" w:hAnsi="Times New Roman" w:eastAsia="宋体" w:cs="Times New Roman"/>
                <w:color w:val="auto"/>
                <w:spacing w:val="11"/>
                <w:kern w:val="0"/>
                <w:sz w:val="21"/>
                <w:szCs w:val="21"/>
                <w:vertAlign w:val="baseline"/>
                <w:lang w:val="en-US" w:eastAsia="zh-CN"/>
              </w:rPr>
              <w:t>mg/m</w:t>
            </w:r>
            <w:r>
              <w:rPr>
                <w:rFonts w:hint="default" w:ascii="Times New Roman" w:hAnsi="Times New Roman" w:eastAsia="宋体" w:cs="Times New Roman"/>
                <w:color w:val="auto"/>
                <w:spacing w:val="11"/>
                <w:kern w:val="0"/>
                <w:sz w:val="21"/>
                <w:szCs w:val="21"/>
                <w:vertAlign w:val="superscript"/>
                <w:lang w:val="en-US" w:eastAsia="zh-CN"/>
              </w:rPr>
              <w:t>3</w:t>
            </w:r>
            <w:r>
              <w:rPr>
                <w:rFonts w:hint="eastAsia" w:ascii="Times New Roman" w:hAnsi="Times New Roman" w:eastAsia="宋体" w:cs="Times New Roman"/>
                <w:color w:val="auto"/>
                <w:spacing w:val="11"/>
                <w:kern w:val="0"/>
                <w:sz w:val="21"/>
                <w:szCs w:val="21"/>
                <w:vertAlign w:val="baseline"/>
                <w:lang w:val="en-US" w:eastAsia="zh-CN"/>
              </w:rPr>
              <w:t>，氮氧化物不做要求。）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7</w:t>
            </w:r>
          </w:p>
        </w:tc>
        <w:tc>
          <w:tcPr>
            <w:tcW w:w="89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有机肥加工车间冷却工段废气处理设施后排气筒</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颗粒物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27</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≤120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0.286</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≤3.5</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二氧化硫</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≤550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0.032</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≤2.6</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氮氧化物</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3</w:t>
            </w:r>
            <w:r>
              <w:rPr>
                <w:rFonts w:hint="eastAsia" w:ascii="Times New Roman" w:hAnsi="Times New Roman" w:eastAsia="宋体" w:cs="Times New Roman"/>
                <w:color w:val="auto"/>
                <w:spacing w:val="11"/>
                <w:kern w:val="0"/>
                <w:sz w:val="21"/>
                <w:szCs w:val="21"/>
                <w:vertAlign w:val="baseline"/>
                <w:lang w:val="en-US" w:eastAsia="zh-CN"/>
              </w:rPr>
              <w:t>.0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≤240</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0.032</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≤0.77</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执行《大气污染物综合排放标准》（GB16297-1996）表2中的二级标准限值浓度（颗粒物最高允许排放浓度120mg/m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，最高允许排放速率3.5kg/h</w:t>
            </w:r>
            <w:r>
              <w:rPr>
                <w:rFonts w:hint="eastAsia" w:ascii="Times New Roman" w:hAnsi="Times New Roman" w:eastAsia="宋体" w:cs="Times New Roman"/>
                <w:color w:val="auto"/>
                <w:spacing w:val="11"/>
                <w:kern w:val="0"/>
                <w:sz w:val="21"/>
                <w:szCs w:val="21"/>
                <w:vertAlign w:val="baseline"/>
                <w:lang w:val="en-US" w:eastAsia="zh-CN"/>
              </w:rPr>
              <w:t>；二氧化硫</w:t>
            </w:r>
            <w:r>
              <w:rPr>
                <w:rFonts w:hint="default" w:ascii="Times New Roman" w:hAnsi="Times New Roman" w:eastAsia="宋体" w:cs="Times New Roman"/>
                <w:color w:val="auto"/>
                <w:spacing w:val="11"/>
                <w:kern w:val="0"/>
                <w:sz w:val="21"/>
                <w:szCs w:val="21"/>
                <w:vertAlign w:val="baseline"/>
                <w:lang w:val="en-US" w:eastAsia="zh-CN"/>
              </w:rPr>
              <w:t>最高允许排放浓度</w:t>
            </w:r>
            <w:r>
              <w:rPr>
                <w:rFonts w:hint="eastAsia" w:ascii="Times New Roman" w:hAnsi="Times New Roman" w:eastAsia="宋体" w:cs="Times New Roman"/>
                <w:color w:val="auto"/>
                <w:spacing w:val="11"/>
                <w:kern w:val="0"/>
                <w:sz w:val="21"/>
                <w:szCs w:val="21"/>
                <w:vertAlign w:val="baseline"/>
                <w:lang w:val="en-US" w:eastAsia="zh-CN"/>
              </w:rPr>
              <w:t>550</w:t>
            </w:r>
            <w:r>
              <w:rPr>
                <w:rFonts w:hint="default" w:ascii="Times New Roman" w:hAnsi="Times New Roman" w:eastAsia="宋体" w:cs="Times New Roman"/>
                <w:color w:val="auto"/>
                <w:spacing w:val="11"/>
                <w:kern w:val="0"/>
                <w:sz w:val="21"/>
                <w:szCs w:val="21"/>
                <w:vertAlign w:val="baseline"/>
                <w:lang w:val="en-US" w:eastAsia="zh-CN"/>
              </w:rPr>
              <w:t>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w:t>
            </w:r>
            <w:r>
              <w:rPr>
                <w:rFonts w:hint="eastAsia" w:ascii="Times New Roman" w:hAnsi="Times New Roman" w:eastAsia="宋体" w:cs="Times New Roman"/>
                <w:color w:val="auto"/>
                <w:spacing w:val="11"/>
                <w:kern w:val="0"/>
                <w:sz w:val="21"/>
                <w:szCs w:val="21"/>
                <w:vertAlign w:val="baseline"/>
                <w:lang w:val="en-US" w:eastAsia="zh-CN"/>
              </w:rPr>
              <w:t>2.6</w:t>
            </w:r>
            <w:r>
              <w:rPr>
                <w:rFonts w:hint="default" w:ascii="Times New Roman" w:hAnsi="Times New Roman" w:eastAsia="宋体" w:cs="Times New Roman"/>
                <w:color w:val="auto"/>
                <w:spacing w:val="11"/>
                <w:kern w:val="0"/>
                <w:sz w:val="21"/>
                <w:szCs w:val="21"/>
                <w:vertAlign w:val="baseline"/>
                <w:lang w:val="en-US" w:eastAsia="zh-CN"/>
              </w:rPr>
              <w:t>kg/h</w:t>
            </w:r>
            <w:r>
              <w:rPr>
                <w:rFonts w:hint="eastAsia" w:ascii="Times New Roman" w:hAnsi="Times New Roman" w:eastAsia="宋体" w:cs="Times New Roman"/>
                <w:color w:val="auto"/>
                <w:spacing w:val="11"/>
                <w:kern w:val="0"/>
                <w:sz w:val="21"/>
                <w:szCs w:val="21"/>
                <w:vertAlign w:val="baseline"/>
                <w:lang w:val="en-US" w:eastAsia="zh-CN"/>
              </w:rPr>
              <w:t>；氮氧化物</w:t>
            </w:r>
            <w:r>
              <w:rPr>
                <w:rFonts w:hint="default" w:ascii="Times New Roman" w:hAnsi="Times New Roman" w:eastAsia="宋体" w:cs="Times New Roman"/>
                <w:color w:val="auto"/>
                <w:spacing w:val="11"/>
                <w:kern w:val="0"/>
                <w:sz w:val="21"/>
                <w:szCs w:val="21"/>
                <w:vertAlign w:val="baseline"/>
                <w:lang w:val="en-US" w:eastAsia="zh-CN"/>
              </w:rPr>
              <w:t>最高允许排放浓度</w:t>
            </w:r>
            <w:r>
              <w:rPr>
                <w:rFonts w:hint="eastAsia" w:ascii="Times New Roman" w:hAnsi="Times New Roman" w:eastAsia="宋体" w:cs="Times New Roman"/>
                <w:color w:val="auto"/>
                <w:spacing w:val="11"/>
                <w:kern w:val="0"/>
                <w:sz w:val="21"/>
                <w:szCs w:val="21"/>
                <w:vertAlign w:val="baseline"/>
                <w:lang w:val="en-US" w:eastAsia="zh-CN"/>
              </w:rPr>
              <w:t>240</w:t>
            </w:r>
            <w:r>
              <w:rPr>
                <w:rFonts w:hint="default" w:ascii="Times New Roman" w:hAnsi="Times New Roman" w:eastAsia="宋体" w:cs="Times New Roman"/>
                <w:color w:val="auto"/>
                <w:spacing w:val="11"/>
                <w:kern w:val="0"/>
                <w:sz w:val="21"/>
                <w:szCs w:val="21"/>
                <w:vertAlign w:val="baseline"/>
                <w:lang w:val="en-US" w:eastAsia="zh-CN"/>
              </w:rPr>
              <w:t>mg/m</w:t>
            </w:r>
            <w:r>
              <w:rPr>
                <w:rFonts w:hint="default" w:ascii="Times New Roman" w:hAnsi="Times New Roman" w:eastAsia="宋体" w:cs="Times New Roman"/>
                <w:color w:val="auto"/>
                <w:spacing w:val="11"/>
                <w:kern w:val="0"/>
                <w:sz w:val="21"/>
                <w:szCs w:val="21"/>
                <w:vertAlign w:val="superscript"/>
                <w:lang w:val="en-US" w:eastAsia="zh-CN"/>
              </w:rPr>
              <w:t>3</w:t>
            </w:r>
            <w:r>
              <w:rPr>
                <w:rFonts w:hint="default" w:ascii="Times New Roman" w:hAnsi="Times New Roman" w:eastAsia="宋体" w:cs="Times New Roman"/>
                <w:color w:val="auto"/>
                <w:spacing w:val="11"/>
                <w:kern w:val="0"/>
                <w:sz w:val="21"/>
                <w:szCs w:val="21"/>
                <w:vertAlign w:val="baseline"/>
                <w:lang w:val="en-US" w:eastAsia="zh-CN"/>
              </w:rPr>
              <w:t>，最高允许排放速率</w:t>
            </w:r>
            <w:r>
              <w:rPr>
                <w:rFonts w:hint="eastAsia" w:ascii="Times New Roman" w:hAnsi="Times New Roman" w:eastAsia="宋体" w:cs="Times New Roman"/>
                <w:color w:val="auto"/>
                <w:spacing w:val="11"/>
                <w:kern w:val="0"/>
                <w:sz w:val="21"/>
                <w:szCs w:val="21"/>
                <w:vertAlign w:val="baseline"/>
                <w:lang w:val="en-US" w:eastAsia="zh-CN"/>
              </w:rPr>
              <w:t>0.77</w:t>
            </w:r>
            <w:r>
              <w:rPr>
                <w:rFonts w:hint="default" w:ascii="Times New Roman" w:hAnsi="Times New Roman" w:eastAsia="宋体" w:cs="Times New Roman"/>
                <w:color w:val="auto"/>
                <w:spacing w:val="11"/>
                <w:kern w:val="0"/>
                <w:sz w:val="21"/>
                <w:szCs w:val="21"/>
                <w:vertAlign w:val="baseline"/>
                <w:lang w:val="en-US" w:eastAsia="zh-CN"/>
              </w:rPr>
              <w:t>kg/h</w:t>
            </w:r>
            <w:r>
              <w:rPr>
                <w:rFonts w:hint="eastAsia" w:ascii="Times New Roman" w:hAnsi="Times New Roman" w:eastAsia="宋体" w:cs="Times New Roman"/>
                <w:color w:val="auto"/>
                <w:spacing w:val="11"/>
                <w:kern w:val="0"/>
                <w:sz w:val="21"/>
                <w:szCs w:val="21"/>
                <w:vertAlign w:val="baseline"/>
                <w:lang w:val="en-US" w:eastAsia="zh-CN"/>
              </w:rPr>
              <w:t>；</w:t>
            </w:r>
            <w:r>
              <w:rPr>
                <w:rFonts w:hint="default" w:ascii="Times New Roman" w:hAnsi="Times New Roman" w:eastAsia="宋体" w:cs="Times New Roman"/>
                <w:color w:val="auto"/>
                <w:spacing w:val="11"/>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8</w:t>
            </w:r>
          </w:p>
        </w:tc>
        <w:tc>
          <w:tcPr>
            <w:tcW w:w="89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污水处理站除臭装置后排放口</w:t>
            </w: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氨</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1.02</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0.003</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≤4.9</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硫化氢</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0.620</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0.002</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≤0.33</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9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86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臭气浓度（无量纲）</w:t>
            </w:r>
          </w:p>
        </w:tc>
        <w:tc>
          <w:tcPr>
            <w:tcW w:w="67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w:t>
            </w:r>
          </w:p>
        </w:tc>
        <w:tc>
          <w:tcPr>
            <w:tcW w:w="66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w:t>
            </w:r>
          </w:p>
        </w:tc>
        <w:tc>
          <w:tcPr>
            <w:tcW w:w="58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173</w:t>
            </w:r>
            <w:r>
              <w:rPr>
                <w:rFonts w:hint="eastAsia" w:ascii="Times New Roman" w:hAnsi="Times New Roman" w:eastAsia="宋体" w:cs="Times New Roman"/>
                <w:color w:val="auto"/>
                <w:spacing w:val="11"/>
                <w:kern w:val="0"/>
                <w:sz w:val="21"/>
                <w:szCs w:val="21"/>
                <w:vertAlign w:val="baseline"/>
                <w:lang w:val="en-US" w:eastAsia="zh-CN"/>
              </w:rPr>
              <w:t>.0</w:t>
            </w:r>
          </w:p>
        </w:tc>
        <w:tc>
          <w:tcPr>
            <w:tcW w:w="6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≤2000</w:t>
            </w:r>
          </w:p>
        </w:tc>
        <w:tc>
          <w:tcPr>
            <w:tcW w:w="42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pacing w:val="11"/>
                <w:kern w:val="0"/>
                <w:sz w:val="21"/>
                <w:szCs w:val="21"/>
                <w:vertAlign w:val="baseline"/>
                <w:lang w:val="en-US" w:eastAsia="zh-CN"/>
              </w:rPr>
            </w:pPr>
          </w:p>
        </w:tc>
        <w:tc>
          <w:tcPr>
            <w:tcW w:w="4750" w:type="pct"/>
            <w:gridSpan w:val="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氨、硫化氢、臭气浓度执行《恶臭污染物排放标准》（GB14554-93）表2中的二级标准（氨最大允许排放速率4.9kg/h，硫化氢最大允许排放速率0.33kg/h，臭气浓度2000（无量纲））</w:t>
            </w:r>
          </w:p>
        </w:tc>
      </w:tr>
    </w:tbl>
    <w:p>
      <w:pPr>
        <w:bidi w:val="0"/>
        <w:rPr>
          <w:rFonts w:hint="default"/>
          <w:lang w:val="en-US" w:eastAsia="zh-CN"/>
        </w:rPr>
      </w:pPr>
      <w:r>
        <w:rPr>
          <w:rFonts w:hint="eastAsia"/>
          <w:lang w:val="en-US" w:eastAsia="zh-CN"/>
        </w:rPr>
        <w:t>有上表可知，本项目运营期有机肥生产车间及饲料生产车间产生的废气经废气处理装置处理后排放浓度（速率）能够满足相关排放标准要求，能够实现达标排放。</w:t>
      </w:r>
    </w:p>
    <w:p>
      <w:pPr>
        <w:numPr>
          <w:ilvl w:val="0"/>
          <w:numId w:val="0"/>
        </w:numPr>
        <w:bidi w:val="0"/>
        <w:ind w:firstLine="482" w:firstLineChars="200"/>
        <w:rPr>
          <w:rFonts w:hint="eastAsia" w:ascii="Calibri" w:hAnsi="Calibri" w:cs="Calibri"/>
          <w:b/>
          <w:bCs/>
          <w:lang w:val="en-US" w:eastAsia="zh-CN"/>
        </w:rPr>
      </w:pPr>
      <w:r>
        <w:rPr>
          <w:rFonts w:hint="eastAsia" w:ascii="Calibri" w:hAnsi="Calibri" w:cs="Calibri"/>
          <w:b/>
          <w:bCs/>
          <w:lang w:val="en-US" w:eastAsia="zh-CN"/>
        </w:rPr>
        <w:t>（2）无组织排放</w:t>
      </w:r>
    </w:p>
    <w:p>
      <w:pPr>
        <w:pStyle w:val="38"/>
        <w:numPr>
          <w:ilvl w:val="0"/>
          <w:numId w:val="0"/>
        </w:numPr>
        <w:ind w:firstLine="480" w:firstLineChars="200"/>
        <w:rPr>
          <w:rFonts w:hint="eastAsia"/>
          <w:lang w:val="en-US" w:eastAsia="zh-CN"/>
        </w:rPr>
      </w:pPr>
      <w:r>
        <w:rPr>
          <w:rFonts w:hint="eastAsia"/>
          <w:lang w:val="en-US" w:eastAsia="zh-CN"/>
        </w:rPr>
        <w:t>无组织监测结果详见下表。</w:t>
      </w:r>
    </w:p>
    <w:p>
      <w:pPr>
        <w:pStyle w:val="38"/>
        <w:numPr>
          <w:ilvl w:val="0"/>
          <w:numId w:val="0"/>
        </w:numPr>
        <w:spacing w:line="240" w:lineRule="auto"/>
        <w:jc w:val="center"/>
        <w:rPr>
          <w:rFonts w:hint="default"/>
          <w:b/>
          <w:bCs/>
          <w:lang w:val="en-US" w:eastAsia="zh-CN"/>
        </w:rPr>
      </w:pPr>
      <w:r>
        <w:rPr>
          <w:rFonts w:hint="eastAsia"/>
          <w:b/>
          <w:bCs/>
          <w:lang w:val="en-US" w:eastAsia="zh-CN"/>
        </w:rPr>
        <w:t>表2.11    本项目无组织废气监测结果一览表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0"/>
        <w:gridCol w:w="1466"/>
        <w:gridCol w:w="2339"/>
        <w:gridCol w:w="1546"/>
        <w:gridCol w:w="1966"/>
        <w:gridCol w:w="1293"/>
        <w:gridCol w:w="1642"/>
        <w:gridCol w:w="20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序号</w:t>
            </w:r>
          </w:p>
        </w:tc>
        <w:tc>
          <w:tcPr>
            <w:tcW w:w="492"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名称</w:t>
            </w:r>
          </w:p>
        </w:tc>
        <w:tc>
          <w:tcPr>
            <w:tcW w:w="1964"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下风向最大浓度</w:t>
            </w:r>
            <w:r>
              <w:rPr>
                <w:rFonts w:hint="eastAsia" w:cs="Times New Roman"/>
                <w:b/>
                <w:bCs/>
                <w:sz w:val="21"/>
                <w:szCs w:val="21"/>
                <w:vertAlign w:val="baseline"/>
                <w:lang w:val="en-US" w:eastAsia="zh-CN"/>
              </w:rPr>
              <w:t>（mg/m</w:t>
            </w:r>
            <w:r>
              <w:rPr>
                <w:rFonts w:hint="eastAsia" w:cs="Times New Roman"/>
                <w:b/>
                <w:bCs/>
                <w:sz w:val="21"/>
                <w:szCs w:val="21"/>
                <w:vertAlign w:val="superscript"/>
                <w:lang w:val="en-US" w:eastAsia="zh-CN"/>
              </w:rPr>
              <w:t>3</w:t>
            </w:r>
            <w:r>
              <w:rPr>
                <w:rFonts w:hint="eastAsia" w:cs="Times New Roman"/>
                <w:b/>
                <w:bCs/>
                <w:sz w:val="21"/>
                <w:szCs w:val="21"/>
                <w:vertAlign w:val="baseline"/>
                <w:lang w:val="en-US" w:eastAsia="zh-CN"/>
              </w:rPr>
              <w:t>）</w:t>
            </w:r>
          </w:p>
        </w:tc>
        <w:tc>
          <w:tcPr>
            <w:tcW w:w="1660"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标准限值</w:t>
            </w:r>
            <w:r>
              <w:rPr>
                <w:rFonts w:hint="eastAsia" w:cs="Times New Roman"/>
                <w:b/>
                <w:bCs/>
                <w:sz w:val="21"/>
                <w:szCs w:val="21"/>
                <w:vertAlign w:val="baseline"/>
                <w:lang w:val="en-US" w:eastAsia="zh-CN"/>
              </w:rPr>
              <w:t>（mg/m</w:t>
            </w:r>
            <w:r>
              <w:rPr>
                <w:rFonts w:hint="eastAsia" w:cs="Times New Roman"/>
                <w:b/>
                <w:bCs/>
                <w:sz w:val="21"/>
                <w:szCs w:val="21"/>
                <w:vertAlign w:val="superscript"/>
                <w:lang w:val="en-US" w:eastAsia="zh-CN"/>
              </w:rPr>
              <w:t>3</w:t>
            </w:r>
            <w:r>
              <w:rPr>
                <w:rFonts w:hint="eastAsia" w:cs="Times New Roman"/>
                <w:b/>
                <w:bCs/>
                <w:sz w:val="21"/>
                <w:szCs w:val="21"/>
                <w:vertAlign w:val="baseline"/>
                <w:lang w:val="en-US" w:eastAsia="zh-CN"/>
              </w:rPr>
              <w:t>）</w:t>
            </w:r>
          </w:p>
        </w:tc>
        <w:tc>
          <w:tcPr>
            <w:tcW w:w="47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6"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78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sz w:val="21"/>
                <w:szCs w:val="21"/>
                <w:vertAlign w:val="baseline"/>
                <w:lang w:val="en-US" w:eastAsia="zh-CN"/>
              </w:rPr>
              <w:t>氨</w:t>
            </w:r>
          </w:p>
        </w:tc>
        <w:tc>
          <w:tcPr>
            <w:tcW w:w="51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sz w:val="21"/>
                <w:szCs w:val="21"/>
                <w:vertAlign w:val="baseline"/>
                <w:lang w:val="en-US" w:eastAsia="zh-CN"/>
              </w:rPr>
              <w:t>硫化氢</w:t>
            </w:r>
          </w:p>
        </w:tc>
        <w:tc>
          <w:tcPr>
            <w:tcW w:w="65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sz w:val="21"/>
                <w:szCs w:val="21"/>
                <w:vertAlign w:val="baseline"/>
                <w:lang w:val="en-US" w:eastAsia="zh-CN"/>
              </w:rPr>
              <w:t>臭气浓度</w:t>
            </w:r>
          </w:p>
        </w:tc>
        <w:tc>
          <w:tcPr>
            <w:tcW w:w="434"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sz w:val="21"/>
                <w:szCs w:val="21"/>
                <w:vertAlign w:val="baseline"/>
                <w:lang w:val="en-US" w:eastAsia="zh-CN"/>
              </w:rPr>
              <w:t>氨</w:t>
            </w:r>
          </w:p>
        </w:tc>
        <w:tc>
          <w:tcPr>
            <w:tcW w:w="551"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sz w:val="21"/>
                <w:szCs w:val="21"/>
                <w:vertAlign w:val="baseline"/>
                <w:lang w:val="en-US" w:eastAsia="zh-CN"/>
              </w:rPr>
              <w:t>硫化氢</w:t>
            </w:r>
          </w:p>
        </w:tc>
        <w:tc>
          <w:tcPr>
            <w:tcW w:w="6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kern w:val="2"/>
                <w:sz w:val="21"/>
                <w:szCs w:val="21"/>
                <w:vertAlign w:val="baseline"/>
                <w:lang w:val="en-US" w:eastAsia="zh-CN" w:bidi="ar-SA"/>
              </w:rPr>
            </w:pPr>
            <w:r>
              <w:rPr>
                <w:rFonts w:hint="default" w:ascii="Times New Roman" w:hAnsi="Times New Roman" w:eastAsia="宋体" w:cs="Times New Roman"/>
                <w:b/>
                <w:bCs/>
                <w:sz w:val="21"/>
                <w:szCs w:val="21"/>
                <w:vertAlign w:val="baseline"/>
                <w:lang w:val="en-US" w:eastAsia="zh-CN"/>
              </w:rPr>
              <w:t>臭气浓度</w:t>
            </w:r>
          </w:p>
        </w:tc>
        <w:tc>
          <w:tcPr>
            <w:tcW w:w="476"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p>
        </w:tc>
        <w:tc>
          <w:tcPr>
            <w:tcW w:w="492"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污水处理站</w:t>
            </w:r>
          </w:p>
        </w:tc>
        <w:tc>
          <w:tcPr>
            <w:tcW w:w="78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0.59</w:t>
            </w:r>
          </w:p>
        </w:tc>
        <w:tc>
          <w:tcPr>
            <w:tcW w:w="51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0.017</w:t>
            </w:r>
          </w:p>
        </w:tc>
        <w:tc>
          <w:tcPr>
            <w:tcW w:w="65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＜10</w:t>
            </w:r>
          </w:p>
        </w:tc>
        <w:tc>
          <w:tcPr>
            <w:tcW w:w="434"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≤1.5</w:t>
            </w:r>
          </w:p>
        </w:tc>
        <w:tc>
          <w:tcPr>
            <w:tcW w:w="551"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≤0.06</w:t>
            </w:r>
          </w:p>
        </w:tc>
        <w:tc>
          <w:tcPr>
            <w:tcW w:w="6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≤20</w:t>
            </w:r>
          </w:p>
        </w:tc>
        <w:tc>
          <w:tcPr>
            <w:tcW w:w="476"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4101" w:type="pct"/>
            <w:gridSpan w:val="7"/>
            <w:tcBorders>
              <w:tl2br w:val="nil"/>
              <w:tr2bl w:val="nil"/>
            </w:tcBorders>
            <w:noWrap w:val="0"/>
            <w:vAlign w:val="center"/>
          </w:tcPr>
          <w:p>
            <w:pPr>
              <w:bidi w:val="0"/>
              <w:spacing w:line="240" w:lineRule="auto"/>
              <w:ind w:left="0" w:leftChars="0" w:firstLine="0" w:firstLineChars="0"/>
              <w:jc w:val="both"/>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氨、硫化氢、臭气浓度执行《恶臭污染物排放标准》（GB14554-93）表1中的</w:t>
            </w:r>
            <w:r>
              <w:rPr>
                <w:rFonts w:hint="eastAsia" w:ascii="Times New Roman" w:hAnsi="Times New Roman" w:eastAsia="宋体" w:cs="Times New Roman"/>
                <w:color w:val="auto"/>
                <w:spacing w:val="11"/>
                <w:kern w:val="0"/>
                <w:sz w:val="21"/>
                <w:szCs w:val="21"/>
                <w:vertAlign w:val="baseline"/>
                <w:lang w:val="en-US" w:eastAsia="zh-CN"/>
              </w:rPr>
              <w:t>限值</w:t>
            </w:r>
            <w:r>
              <w:rPr>
                <w:rFonts w:hint="default" w:ascii="Times New Roman" w:hAnsi="Times New Roman" w:eastAsia="宋体" w:cs="Times New Roman"/>
                <w:color w:val="auto"/>
                <w:spacing w:val="11"/>
                <w:kern w:val="0"/>
                <w:sz w:val="21"/>
                <w:szCs w:val="21"/>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2</w:t>
            </w:r>
          </w:p>
        </w:tc>
        <w:tc>
          <w:tcPr>
            <w:tcW w:w="492"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节水型万头智慧牧场</w:t>
            </w:r>
          </w:p>
        </w:tc>
        <w:tc>
          <w:tcPr>
            <w:tcW w:w="78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0.51</w:t>
            </w:r>
          </w:p>
        </w:tc>
        <w:tc>
          <w:tcPr>
            <w:tcW w:w="51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0.017</w:t>
            </w:r>
          </w:p>
        </w:tc>
        <w:tc>
          <w:tcPr>
            <w:tcW w:w="65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＜10</w:t>
            </w:r>
          </w:p>
        </w:tc>
        <w:tc>
          <w:tcPr>
            <w:tcW w:w="434"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≤1.5</w:t>
            </w:r>
          </w:p>
        </w:tc>
        <w:tc>
          <w:tcPr>
            <w:tcW w:w="551"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≤0.06</w:t>
            </w:r>
          </w:p>
        </w:tc>
        <w:tc>
          <w:tcPr>
            <w:tcW w:w="6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≤70</w:t>
            </w:r>
          </w:p>
        </w:tc>
        <w:tc>
          <w:tcPr>
            <w:tcW w:w="476"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p>
        </w:tc>
        <w:tc>
          <w:tcPr>
            <w:tcW w:w="4101" w:type="pct"/>
            <w:gridSpan w:val="7"/>
            <w:tcBorders>
              <w:tl2br w:val="nil"/>
              <w:tr2bl w:val="nil"/>
            </w:tcBorders>
            <w:noWrap w:val="0"/>
            <w:vAlign w:val="center"/>
          </w:tcPr>
          <w:p>
            <w:pPr>
              <w:bidi w:val="0"/>
              <w:spacing w:line="240" w:lineRule="auto"/>
              <w:ind w:left="0" w:leftChars="0" w:firstLine="0" w:firstLineChars="0"/>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臭气浓度执行《畜禽养殖业污染物排放标准》（GB18596-2001），氨、硫化氢执行</w:t>
            </w:r>
            <w:r>
              <w:rPr>
                <w:rFonts w:hint="default" w:ascii="Times New Roman" w:hAnsi="Times New Roman" w:eastAsia="宋体" w:cs="Times New Roman"/>
                <w:color w:val="auto"/>
                <w:spacing w:val="11"/>
                <w:kern w:val="0"/>
                <w:sz w:val="21"/>
                <w:szCs w:val="21"/>
                <w:vertAlign w:val="baseline"/>
                <w:lang w:val="en-US" w:eastAsia="zh-CN"/>
              </w:rPr>
              <w:t>《恶臭污染物排放标准》（GB14554-93）表1中的限值要求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3</w:t>
            </w:r>
          </w:p>
        </w:tc>
        <w:tc>
          <w:tcPr>
            <w:tcW w:w="492"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有机肥生产加工区</w:t>
            </w:r>
          </w:p>
        </w:tc>
        <w:tc>
          <w:tcPr>
            <w:tcW w:w="78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0.49</w:t>
            </w:r>
          </w:p>
        </w:tc>
        <w:tc>
          <w:tcPr>
            <w:tcW w:w="51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0.017</w:t>
            </w:r>
          </w:p>
        </w:tc>
        <w:tc>
          <w:tcPr>
            <w:tcW w:w="65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＜10</w:t>
            </w:r>
          </w:p>
        </w:tc>
        <w:tc>
          <w:tcPr>
            <w:tcW w:w="434"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kern w:val="2"/>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≤1.5</w:t>
            </w:r>
          </w:p>
        </w:tc>
        <w:tc>
          <w:tcPr>
            <w:tcW w:w="551"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≤0.06</w:t>
            </w:r>
          </w:p>
        </w:tc>
        <w:tc>
          <w:tcPr>
            <w:tcW w:w="675"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bidi="ar-SA"/>
              </w:rPr>
            </w:pPr>
            <w:r>
              <w:rPr>
                <w:rFonts w:hint="default" w:ascii="Times New Roman" w:hAnsi="Times New Roman" w:eastAsia="宋体" w:cs="Times New Roman"/>
                <w:color w:val="auto"/>
                <w:spacing w:val="11"/>
                <w:kern w:val="0"/>
                <w:sz w:val="21"/>
                <w:szCs w:val="21"/>
                <w:vertAlign w:val="baseline"/>
                <w:lang w:val="en-US" w:eastAsia="zh-CN"/>
              </w:rPr>
              <w:t>≤20</w:t>
            </w:r>
          </w:p>
        </w:tc>
        <w:tc>
          <w:tcPr>
            <w:tcW w:w="476"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p>
        </w:tc>
        <w:tc>
          <w:tcPr>
            <w:tcW w:w="4101" w:type="pct"/>
            <w:gridSpan w:val="7"/>
            <w:tcBorders>
              <w:tl2br w:val="nil"/>
              <w:tr2bl w:val="nil"/>
            </w:tcBorders>
            <w:noWrap w:val="0"/>
            <w:vAlign w:val="center"/>
          </w:tcPr>
          <w:p>
            <w:pPr>
              <w:bidi w:val="0"/>
              <w:spacing w:line="240" w:lineRule="auto"/>
              <w:ind w:left="0" w:leftChars="0" w:firstLine="0" w:firstLineChars="0"/>
              <w:jc w:val="both"/>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氨、硫化氢、臭气浓度执行《恶臭污染物排放标准》（GB14554-93）表1中的限值要求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40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w:t>
            </w:r>
          </w:p>
        </w:tc>
        <w:tc>
          <w:tcPr>
            <w:tcW w:w="492" w:type="pct"/>
            <w:vMerge w:val="restart"/>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饲料加工区</w:t>
            </w:r>
          </w:p>
        </w:tc>
        <w:tc>
          <w:tcPr>
            <w:tcW w:w="1964"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val="0"/>
                <w:bCs w:val="0"/>
                <w:color w:val="auto"/>
                <w:spacing w:val="11"/>
                <w:kern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下风向最大浓度</w:t>
            </w:r>
            <w:r>
              <w:rPr>
                <w:rFonts w:hint="eastAsia" w:cs="Times New Roman"/>
                <w:b w:val="0"/>
                <w:bCs w:val="0"/>
                <w:sz w:val="21"/>
                <w:szCs w:val="21"/>
                <w:vertAlign w:val="baseline"/>
                <w:lang w:val="en-US" w:eastAsia="zh-CN"/>
              </w:rPr>
              <w:t>（mg/m</w:t>
            </w:r>
            <w:r>
              <w:rPr>
                <w:rFonts w:hint="eastAsia" w:cs="Times New Roman"/>
                <w:b w:val="0"/>
                <w:bCs w:val="0"/>
                <w:sz w:val="21"/>
                <w:szCs w:val="21"/>
                <w:vertAlign w:val="superscript"/>
                <w:lang w:val="en-US" w:eastAsia="zh-CN"/>
              </w:rPr>
              <w:t>3</w:t>
            </w:r>
            <w:r>
              <w:rPr>
                <w:rFonts w:hint="eastAsia" w:cs="Times New Roman"/>
                <w:b w:val="0"/>
                <w:bCs w:val="0"/>
                <w:sz w:val="21"/>
                <w:szCs w:val="21"/>
                <w:vertAlign w:val="baseline"/>
                <w:lang w:val="en-US" w:eastAsia="zh-CN"/>
              </w:rPr>
              <w:t>）</w:t>
            </w:r>
          </w:p>
        </w:tc>
        <w:tc>
          <w:tcPr>
            <w:tcW w:w="1660"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val="0"/>
                <w:bCs w:val="0"/>
                <w:color w:val="auto"/>
                <w:spacing w:val="11"/>
                <w:kern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标准限值</w:t>
            </w:r>
            <w:r>
              <w:rPr>
                <w:rFonts w:hint="eastAsia" w:cs="Times New Roman"/>
                <w:b w:val="0"/>
                <w:bCs w:val="0"/>
                <w:sz w:val="21"/>
                <w:szCs w:val="21"/>
                <w:vertAlign w:val="baseline"/>
                <w:lang w:val="en-US" w:eastAsia="zh-CN"/>
              </w:rPr>
              <w:t>（mg/m</w:t>
            </w:r>
            <w:r>
              <w:rPr>
                <w:rFonts w:hint="eastAsia" w:cs="Times New Roman"/>
                <w:b w:val="0"/>
                <w:bCs w:val="0"/>
                <w:sz w:val="21"/>
                <w:szCs w:val="21"/>
                <w:vertAlign w:val="superscript"/>
                <w:lang w:val="en-US" w:eastAsia="zh-CN"/>
              </w:rPr>
              <w:t>3</w:t>
            </w:r>
            <w:r>
              <w:rPr>
                <w:rFonts w:hint="eastAsia" w:cs="Times New Roman"/>
                <w:b w:val="0"/>
                <w:bCs w:val="0"/>
                <w:sz w:val="21"/>
                <w:szCs w:val="21"/>
                <w:vertAlign w:val="baseline"/>
                <w:lang w:val="en-US" w:eastAsia="zh-CN"/>
              </w:rPr>
              <w:t>）</w:t>
            </w:r>
          </w:p>
        </w:tc>
        <w:tc>
          <w:tcPr>
            <w:tcW w:w="476"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jc w:val="center"/>
        </w:trPr>
        <w:tc>
          <w:tcPr>
            <w:tcW w:w="406" w:type="pct"/>
            <w:vMerge w:val="continue"/>
            <w:tcBorders>
              <w:tl2br w:val="nil"/>
              <w:tr2bl w:val="nil"/>
            </w:tcBorders>
            <w:noWrap w:val="0"/>
            <w:vAlign w:val="center"/>
          </w:tcPr>
          <w:p>
            <w:pPr>
              <w:bidi w:val="0"/>
              <w:spacing w:line="240" w:lineRule="auto"/>
              <w:ind w:left="0" w:leftChars="0" w:firstLine="0" w:firstLineChars="0"/>
              <w:jc w:val="center"/>
              <w:rPr>
                <w:rFonts w:hint="eastAsia"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p>
        </w:tc>
        <w:tc>
          <w:tcPr>
            <w:tcW w:w="1964"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eastAsia="宋体" w:cs="Times New Roman"/>
                <w:b w:val="0"/>
                <w:bCs w:val="0"/>
                <w:sz w:val="21"/>
                <w:szCs w:val="21"/>
                <w:vertAlign w:val="baseline"/>
                <w:lang w:val="en-US" w:eastAsia="zh-CN"/>
              </w:rPr>
              <w:t>颗粒物</w:t>
            </w:r>
          </w:p>
        </w:tc>
        <w:tc>
          <w:tcPr>
            <w:tcW w:w="1660"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val="0"/>
                <w:bCs w:val="0"/>
                <w:color w:val="auto"/>
                <w:spacing w:val="11"/>
                <w:kern w:val="0"/>
                <w:sz w:val="21"/>
                <w:szCs w:val="21"/>
                <w:vertAlign w:val="baseline"/>
                <w:lang w:val="en-US" w:eastAsia="zh-CN"/>
              </w:rPr>
            </w:pPr>
            <w:r>
              <w:rPr>
                <w:rFonts w:hint="eastAsia" w:cs="Times New Roman"/>
                <w:b w:val="0"/>
                <w:bCs w:val="0"/>
                <w:color w:val="auto"/>
                <w:spacing w:val="11"/>
                <w:kern w:val="0"/>
                <w:sz w:val="21"/>
                <w:szCs w:val="21"/>
                <w:vertAlign w:val="baseline"/>
                <w:lang w:val="en-US" w:eastAsia="zh-CN"/>
              </w:rPr>
              <w:t>颗粒物</w:t>
            </w:r>
          </w:p>
        </w:tc>
        <w:tc>
          <w:tcPr>
            <w:tcW w:w="476" w:type="pct"/>
            <w:vMerge w:val="continue"/>
            <w:tcBorders>
              <w:tl2br w:val="nil"/>
              <w:tr2bl w:val="nil"/>
            </w:tcBorders>
            <w:noWrap w:val="0"/>
            <w:vAlign w:val="center"/>
          </w:tcPr>
          <w:p>
            <w:pPr>
              <w:bidi w:val="0"/>
              <w:spacing w:line="240" w:lineRule="auto"/>
              <w:ind w:left="0" w:leftChars="0" w:firstLine="0" w:firstLineChars="0"/>
              <w:jc w:val="center"/>
              <w:rPr>
                <w:rFonts w:hint="eastAsia" w:cs="Times New Roman"/>
                <w:b w:val="0"/>
                <w:bCs w:val="0"/>
                <w:color w:val="auto"/>
                <w:spacing w:val="11"/>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continue"/>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p>
        </w:tc>
        <w:tc>
          <w:tcPr>
            <w:tcW w:w="1964"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default" w:ascii="Times New Roman" w:hAnsi="Times New Roman" w:eastAsia="宋体" w:cs="Times New Roman"/>
                <w:color w:val="auto"/>
                <w:spacing w:val="11"/>
                <w:kern w:val="0"/>
                <w:sz w:val="21"/>
                <w:szCs w:val="21"/>
                <w:vertAlign w:val="baseline"/>
                <w:lang w:val="en-US" w:eastAsia="zh-CN"/>
              </w:rPr>
              <w:t>0.504</w:t>
            </w:r>
          </w:p>
        </w:tc>
        <w:tc>
          <w:tcPr>
            <w:tcW w:w="1660"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1.0</w:t>
            </w:r>
          </w:p>
        </w:tc>
        <w:tc>
          <w:tcPr>
            <w:tcW w:w="476" w:type="pct"/>
            <w:vMerge w:val="continue"/>
            <w:tcBorders>
              <w:tl2br w:val="nil"/>
              <w:tr2bl w:val="nil"/>
            </w:tcBorders>
            <w:noWrap w:val="0"/>
            <w:vAlign w:val="center"/>
          </w:tcPr>
          <w:p>
            <w:pPr>
              <w:bidi w:val="0"/>
              <w:spacing w:line="240" w:lineRule="auto"/>
              <w:ind w:left="0" w:leftChars="0" w:firstLine="0" w:firstLineChars="0"/>
              <w:jc w:val="center"/>
              <w:rPr>
                <w:rFonts w:hint="eastAsia" w:ascii="Times New Roman" w:hAnsi="Times New Roman" w:eastAsia="宋体" w:cs="Times New Roman"/>
                <w:color w:val="auto"/>
                <w:spacing w:val="11"/>
                <w:ker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Merge w:val="continue"/>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sz w:val="21"/>
                <w:szCs w:val="21"/>
                <w:vertAlign w:val="baseline"/>
                <w:lang w:val="en-US" w:eastAsia="zh-CN"/>
              </w:rPr>
            </w:pPr>
          </w:p>
        </w:tc>
        <w:tc>
          <w:tcPr>
            <w:tcW w:w="492" w:type="pct"/>
            <w:vMerge w:val="continue"/>
            <w:tcBorders>
              <w:tl2br w:val="nil"/>
              <w:tr2bl w:val="nil"/>
            </w:tcBorders>
            <w:noWrap w:val="0"/>
            <w:vAlign w:val="center"/>
          </w:tcPr>
          <w:p>
            <w:pPr>
              <w:bidi w:val="0"/>
              <w:spacing w:line="240" w:lineRule="auto"/>
              <w:ind w:left="0" w:leftChars="0"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p>
        </w:tc>
        <w:tc>
          <w:tcPr>
            <w:tcW w:w="4101" w:type="pct"/>
            <w:gridSpan w:val="7"/>
            <w:tcBorders>
              <w:tl2br w:val="nil"/>
              <w:tr2bl w:val="nil"/>
            </w:tcBorders>
            <w:noWrap w:val="0"/>
            <w:vAlign w:val="center"/>
          </w:tcPr>
          <w:p>
            <w:pPr>
              <w:bidi w:val="0"/>
              <w:spacing w:line="240" w:lineRule="auto"/>
              <w:ind w:left="0" w:leftChars="0" w:firstLine="0" w:firstLineChars="0"/>
              <w:jc w:val="both"/>
              <w:rPr>
                <w:rFonts w:hint="default" w:ascii="Times New Roman" w:hAnsi="Times New Roman" w:eastAsia="宋体" w:cs="Times New Roman"/>
                <w:color w:val="auto"/>
                <w:spacing w:val="11"/>
                <w:kern w:val="0"/>
                <w:sz w:val="21"/>
                <w:szCs w:val="21"/>
                <w:vertAlign w:val="baseline"/>
                <w:lang w:val="en-US" w:eastAsia="zh-CN"/>
              </w:rPr>
            </w:pPr>
            <w:r>
              <w:rPr>
                <w:rFonts w:hint="eastAsia" w:ascii="Times New Roman" w:hAnsi="Times New Roman" w:eastAsia="宋体" w:cs="Times New Roman"/>
                <w:color w:val="auto"/>
                <w:spacing w:val="11"/>
                <w:kern w:val="0"/>
                <w:sz w:val="21"/>
                <w:szCs w:val="21"/>
                <w:vertAlign w:val="baseline"/>
                <w:lang w:val="en-US" w:eastAsia="zh-CN"/>
              </w:rPr>
              <w:t>颗粒物执行</w:t>
            </w:r>
            <w:r>
              <w:rPr>
                <w:rFonts w:hint="default" w:ascii="Times New Roman" w:hAnsi="Times New Roman" w:eastAsia="宋体" w:cs="Times New Roman"/>
                <w:color w:val="auto"/>
                <w:spacing w:val="11"/>
                <w:kern w:val="0"/>
                <w:sz w:val="21"/>
                <w:szCs w:val="21"/>
                <w:vertAlign w:val="baseline"/>
                <w:lang w:val="en-US" w:eastAsia="zh-CN"/>
              </w:rPr>
              <w:t>《大气污染物综合排放标准》（GB16297-1996）</w:t>
            </w:r>
            <w:r>
              <w:rPr>
                <w:rFonts w:hint="eastAsia" w:ascii="Times New Roman" w:hAnsi="Times New Roman" w:eastAsia="宋体" w:cs="Times New Roman"/>
                <w:color w:val="auto"/>
                <w:spacing w:val="11"/>
                <w:kern w:val="0"/>
                <w:sz w:val="21"/>
                <w:szCs w:val="21"/>
                <w:vertAlign w:val="baseline"/>
                <w:lang w:val="en-US" w:eastAsia="zh-CN"/>
              </w:rPr>
              <w:t>表2中无组织排放监控浓度限值要求</w:t>
            </w:r>
          </w:p>
        </w:tc>
      </w:tr>
    </w:tbl>
    <w:p>
      <w:pPr>
        <w:bidi w:val="0"/>
        <w:rPr>
          <w:rFonts w:hint="default" w:ascii="Calibri" w:hAnsi="Calibri" w:eastAsia="宋体" w:cs="Calibri"/>
          <w:lang w:val="en-US" w:eastAsia="zh-CN"/>
        </w:rPr>
      </w:pPr>
      <w:r>
        <w:rPr>
          <w:rFonts w:hint="eastAsia" w:ascii="Calibri" w:hAnsi="Calibri" w:cs="Calibri"/>
          <w:lang w:val="en-US" w:eastAsia="zh-CN"/>
        </w:rPr>
        <w:t>有上表可知，本项目运营期无组织排放能够满足相关的排放标准限值要求。</w:t>
      </w:r>
    </w:p>
    <w:p>
      <w:pPr>
        <w:bidi w:val="0"/>
        <w:rPr>
          <w:rFonts w:hint="default"/>
          <w:b/>
          <w:bCs/>
          <w:lang w:val="en-US" w:eastAsia="zh-CN"/>
        </w:rPr>
      </w:pPr>
      <w:r>
        <w:rPr>
          <w:rFonts w:hint="eastAsia"/>
          <w:b/>
          <w:bCs/>
          <w:lang w:val="en-US" w:eastAsia="zh-CN"/>
        </w:rPr>
        <w:t>4、食堂油烟</w:t>
      </w:r>
    </w:p>
    <w:p>
      <w:pPr>
        <w:bidi w:val="0"/>
        <w:rPr>
          <w:rFonts w:hint="eastAsia"/>
          <w:lang w:val="en-US" w:eastAsia="zh-CN"/>
        </w:rPr>
      </w:pPr>
      <w:r>
        <w:rPr>
          <w:rFonts w:hint="eastAsia"/>
          <w:lang w:val="en-US" w:eastAsia="zh-CN"/>
        </w:rPr>
        <w:t>食堂油烟产排情况引用《节水型工农业复合循环体系改造升级项目竣工环境保护验收监测报告》（甘肃沁园环保科技有限公司，2022年1月）中的监测数据进行说明，具体的监测情况详见下表。</w:t>
      </w:r>
    </w:p>
    <w:p>
      <w:pPr>
        <w:bidi w:val="0"/>
        <w:spacing w:line="240" w:lineRule="auto"/>
        <w:jc w:val="center"/>
        <w:rPr>
          <w:rFonts w:hint="eastAsia"/>
          <w:b/>
          <w:bCs/>
          <w:lang w:val="en-US" w:eastAsia="zh-CN"/>
        </w:rPr>
      </w:pPr>
      <w:r>
        <w:rPr>
          <w:rFonts w:hint="eastAsia"/>
          <w:b/>
          <w:bCs/>
          <w:lang w:val="en-US" w:eastAsia="zh-CN"/>
        </w:rPr>
        <w:t>表2.12    油烟检测分析结果汇总表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536"/>
        <w:gridCol w:w="1203"/>
        <w:gridCol w:w="1112"/>
        <w:gridCol w:w="1087"/>
        <w:gridCol w:w="2605"/>
        <w:gridCol w:w="1661"/>
        <w:gridCol w:w="1181"/>
        <w:gridCol w:w="1921"/>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检点位置</w:t>
            </w:r>
          </w:p>
        </w:tc>
        <w:tc>
          <w:tcPr>
            <w:tcW w:w="920" w:type="pct"/>
            <w:gridSpan w:val="2"/>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实测浓度</w:t>
            </w:r>
            <w:r>
              <w:rPr>
                <w:rFonts w:hint="default" w:ascii="Times New Roman" w:hAnsi="Times New Roman" w:eastAsia="宋体" w:cs="Times New Roman"/>
                <w:b/>
                <w:bCs/>
                <w:color w:val="000000"/>
                <w:spacing w:val="0"/>
                <w:w w:val="100"/>
                <w:position w:val="0"/>
                <w:sz w:val="21"/>
                <w:szCs w:val="21"/>
                <w:lang w:val="en-US" w:eastAsia="en-US" w:bidi="en-US"/>
              </w:rPr>
              <w:t>mg/m</w:t>
            </w:r>
            <w:r>
              <w:rPr>
                <w:rFonts w:hint="default" w:ascii="Times New Roman" w:hAnsi="Times New Roman" w:eastAsia="宋体" w:cs="Times New Roman"/>
                <w:b/>
                <w:bCs/>
                <w:color w:val="000000"/>
                <w:spacing w:val="0"/>
                <w:w w:val="100"/>
                <w:position w:val="0"/>
                <w:sz w:val="21"/>
                <w:szCs w:val="21"/>
                <w:vertAlign w:val="superscript"/>
                <w:lang w:val="en-US" w:eastAsia="en-US" w:bidi="en-US"/>
              </w:rPr>
              <w:t>3</w:t>
            </w:r>
          </w:p>
        </w:tc>
        <w:tc>
          <w:tcPr>
            <w:tcW w:w="738" w:type="pct"/>
            <w:gridSpan w:val="2"/>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实测排风量</w:t>
            </w:r>
            <w:r>
              <w:rPr>
                <w:rFonts w:hint="default" w:ascii="Times New Roman" w:hAnsi="Times New Roman" w:eastAsia="宋体" w:cs="Times New Roman"/>
                <w:b/>
                <w:bCs/>
                <w:color w:val="000000"/>
                <w:spacing w:val="0"/>
                <w:w w:val="100"/>
                <w:position w:val="0"/>
                <w:sz w:val="21"/>
                <w:szCs w:val="21"/>
                <w:lang w:val="en-US" w:eastAsia="en-US" w:bidi="en-US"/>
              </w:rPr>
              <w:t>m</w:t>
            </w:r>
            <w:r>
              <w:rPr>
                <w:rFonts w:hint="default" w:ascii="Times New Roman" w:hAnsi="Times New Roman" w:eastAsia="宋体" w:cs="Times New Roman"/>
                <w:b/>
                <w:bCs/>
                <w:color w:val="000000"/>
                <w:spacing w:val="0"/>
                <w:w w:val="100"/>
                <w:position w:val="0"/>
                <w:sz w:val="21"/>
                <w:szCs w:val="21"/>
                <w:vertAlign w:val="superscript"/>
                <w:lang w:val="en-US" w:eastAsia="en-US" w:bidi="en-US"/>
              </w:rPr>
              <w:t>3</w:t>
            </w:r>
            <w:r>
              <w:rPr>
                <w:rFonts w:hint="default" w:ascii="Times New Roman" w:hAnsi="Times New Roman" w:eastAsia="宋体" w:cs="Times New Roman"/>
                <w:b/>
                <w:bCs/>
                <w:color w:val="000000"/>
                <w:spacing w:val="0"/>
                <w:w w:val="100"/>
                <w:position w:val="0"/>
                <w:sz w:val="21"/>
                <w:szCs w:val="21"/>
                <w:lang w:val="en-US" w:eastAsia="en-US" w:bidi="en-US"/>
              </w:rPr>
              <w:t>/h</w:t>
            </w:r>
          </w:p>
        </w:tc>
        <w:tc>
          <w:tcPr>
            <w:tcW w:w="1830" w:type="pct"/>
            <w:gridSpan w:val="3"/>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基准排放浓度</w:t>
            </w:r>
            <w:r>
              <w:rPr>
                <w:rFonts w:hint="default" w:ascii="Times New Roman" w:hAnsi="Times New Roman" w:eastAsia="宋体" w:cs="Times New Roman"/>
                <w:b/>
                <w:bCs/>
                <w:color w:val="000000"/>
                <w:spacing w:val="0"/>
                <w:w w:val="100"/>
                <w:position w:val="0"/>
                <w:sz w:val="21"/>
                <w:szCs w:val="21"/>
                <w:lang w:val="en-US" w:eastAsia="en-US" w:bidi="en-US"/>
              </w:rPr>
              <w:t>mg/m</w:t>
            </w:r>
            <w:r>
              <w:rPr>
                <w:rFonts w:hint="default" w:ascii="Times New Roman" w:hAnsi="Times New Roman" w:eastAsia="宋体" w:cs="Times New Roman"/>
                <w:b/>
                <w:bCs/>
                <w:color w:val="000000"/>
                <w:spacing w:val="0"/>
                <w:w w:val="100"/>
                <w:position w:val="0"/>
                <w:sz w:val="21"/>
                <w:szCs w:val="21"/>
                <w:vertAlign w:val="superscript"/>
                <w:lang w:val="en-US" w:eastAsia="en-US" w:bidi="en-US"/>
              </w:rPr>
              <w:t>3</w:t>
            </w:r>
          </w:p>
        </w:tc>
        <w:tc>
          <w:tcPr>
            <w:tcW w:w="645"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限值（</w:t>
            </w:r>
            <w:r>
              <w:rPr>
                <w:rFonts w:hint="default" w:ascii="Times New Roman" w:hAnsi="Times New Roman" w:eastAsia="宋体" w:cs="Times New Roman"/>
                <w:b/>
                <w:bCs/>
                <w:color w:val="000000"/>
                <w:spacing w:val="0"/>
                <w:w w:val="100"/>
                <w:position w:val="0"/>
                <w:sz w:val="21"/>
                <w:szCs w:val="21"/>
                <w:lang w:val="en-US" w:eastAsia="en-US" w:bidi="en-US"/>
              </w:rPr>
              <w:t>mg/m</w:t>
            </w:r>
            <w:r>
              <w:rPr>
                <w:rFonts w:hint="default" w:ascii="Times New Roman" w:hAnsi="Times New Roman" w:eastAsia="宋体" w:cs="Times New Roman"/>
                <w:b/>
                <w:bCs/>
                <w:color w:val="000000"/>
                <w:spacing w:val="0"/>
                <w:w w:val="100"/>
                <w:position w:val="0"/>
                <w:sz w:val="21"/>
                <w:szCs w:val="21"/>
                <w:vertAlign w:val="superscript"/>
                <w:lang w:val="en-US" w:eastAsia="en-US" w:bidi="en-US"/>
              </w:rPr>
              <w:t>3</w:t>
            </w:r>
            <w:r>
              <w:rPr>
                <w:rFonts w:hint="default" w:ascii="Times New Roman" w:hAnsi="Times New Roman" w:eastAsia="宋体" w:cs="Times New Roman"/>
                <w:b/>
                <w:bCs/>
                <w:color w:val="000000"/>
                <w:spacing w:val="0"/>
                <w:w w:val="100"/>
                <w:position w:val="0"/>
                <w:sz w:val="21"/>
                <w:szCs w:val="21"/>
                <w:vertAlign w:val="baseline"/>
                <w:lang w:val="en-US" w:eastAsia="zh-CN" w:bidi="en-US"/>
              </w:rPr>
              <w:t>）</w:t>
            </w:r>
          </w:p>
        </w:tc>
        <w:tc>
          <w:tcPr>
            <w:tcW w:w="268"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516"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检测</w:t>
            </w:r>
          </w:p>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结果</w:t>
            </w:r>
          </w:p>
        </w:tc>
        <w:tc>
          <w:tcPr>
            <w:tcW w:w="404"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平均值</w:t>
            </w:r>
          </w:p>
        </w:tc>
        <w:tc>
          <w:tcPr>
            <w:tcW w:w="373"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检测值</w:t>
            </w:r>
          </w:p>
        </w:tc>
        <w:tc>
          <w:tcPr>
            <w:tcW w:w="365"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平均值</w:t>
            </w:r>
          </w:p>
        </w:tc>
        <w:tc>
          <w:tcPr>
            <w:tcW w:w="875"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样品编号</w:t>
            </w:r>
          </w:p>
        </w:tc>
        <w:tc>
          <w:tcPr>
            <w:tcW w:w="557"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rightChars="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检测</w:t>
            </w:r>
          </w:p>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righ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position w:val="0"/>
                <w:sz w:val="21"/>
                <w:szCs w:val="21"/>
                <w:vertAlign w:val="baseline"/>
                <w:lang w:val="en-US" w:eastAsia="zh-CN"/>
              </w:rPr>
              <w:t>结果</w:t>
            </w:r>
          </w:p>
        </w:tc>
        <w:tc>
          <w:tcPr>
            <w:tcW w:w="396"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平均值</w:t>
            </w:r>
          </w:p>
        </w:tc>
        <w:tc>
          <w:tcPr>
            <w:tcW w:w="645"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268"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食堂油烟净化器后排气筒</w:t>
            </w:r>
          </w:p>
        </w:tc>
        <w:tc>
          <w:tcPr>
            <w:tcW w:w="51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0.56</w:t>
            </w:r>
          </w:p>
        </w:tc>
        <w:tc>
          <w:tcPr>
            <w:tcW w:w="404"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0.49</w:t>
            </w:r>
          </w:p>
        </w:tc>
        <w:tc>
          <w:tcPr>
            <w:tcW w:w="37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4596</w:t>
            </w:r>
          </w:p>
        </w:tc>
        <w:tc>
          <w:tcPr>
            <w:tcW w:w="36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4642</w:t>
            </w:r>
          </w:p>
        </w:tc>
        <w:tc>
          <w:tcPr>
            <w:tcW w:w="8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2021Q352214</w:t>
            </w:r>
          </w:p>
        </w:tc>
        <w:tc>
          <w:tcPr>
            <w:tcW w:w="55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0.43</w:t>
            </w:r>
          </w:p>
        </w:tc>
        <w:tc>
          <w:tcPr>
            <w:tcW w:w="396"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0.38</w:t>
            </w:r>
          </w:p>
        </w:tc>
        <w:tc>
          <w:tcPr>
            <w:tcW w:w="645"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2.0</w:t>
            </w:r>
          </w:p>
        </w:tc>
        <w:tc>
          <w:tcPr>
            <w:tcW w:w="268"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51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0.43</w:t>
            </w:r>
          </w:p>
        </w:tc>
        <w:tc>
          <w:tcPr>
            <w:tcW w:w="404"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37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4761</w:t>
            </w:r>
          </w:p>
        </w:tc>
        <w:tc>
          <w:tcPr>
            <w:tcW w:w="36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8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2021Q352215</w:t>
            </w:r>
          </w:p>
        </w:tc>
        <w:tc>
          <w:tcPr>
            <w:tcW w:w="55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0.34</w:t>
            </w:r>
          </w:p>
        </w:tc>
        <w:tc>
          <w:tcPr>
            <w:tcW w:w="396"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64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26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51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0.35</w:t>
            </w:r>
          </w:p>
        </w:tc>
        <w:tc>
          <w:tcPr>
            <w:tcW w:w="404"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37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4683</w:t>
            </w:r>
          </w:p>
        </w:tc>
        <w:tc>
          <w:tcPr>
            <w:tcW w:w="36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8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2021Q352216</w:t>
            </w:r>
          </w:p>
        </w:tc>
        <w:tc>
          <w:tcPr>
            <w:tcW w:w="55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0.27</w:t>
            </w:r>
          </w:p>
        </w:tc>
        <w:tc>
          <w:tcPr>
            <w:tcW w:w="396"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645"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268" w:type="pct"/>
            <w:vMerge w:val="continue"/>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51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0.48</w:t>
            </w:r>
          </w:p>
        </w:tc>
        <w:tc>
          <w:tcPr>
            <w:tcW w:w="404"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37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4560</w:t>
            </w:r>
          </w:p>
        </w:tc>
        <w:tc>
          <w:tcPr>
            <w:tcW w:w="365"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8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2"/>
                <w:sz w:val="21"/>
                <w:szCs w:val="21"/>
                <w:u w:val="none"/>
                <w:lang w:val="en-US" w:eastAsia="zh-CN" w:bidi="ar-SA"/>
              </w:rPr>
              <w:t>2021Q352217</w:t>
            </w:r>
          </w:p>
        </w:tc>
        <w:tc>
          <w:tcPr>
            <w:tcW w:w="55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0.36</w:t>
            </w:r>
          </w:p>
        </w:tc>
        <w:tc>
          <w:tcPr>
            <w:tcW w:w="396"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645"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268"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51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0.62</w:t>
            </w:r>
          </w:p>
        </w:tc>
        <w:tc>
          <w:tcPr>
            <w:tcW w:w="404"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37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4612</w:t>
            </w:r>
          </w:p>
        </w:tc>
        <w:tc>
          <w:tcPr>
            <w:tcW w:w="365"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p>
        </w:tc>
        <w:tc>
          <w:tcPr>
            <w:tcW w:w="875"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2"/>
                <w:sz w:val="21"/>
                <w:szCs w:val="21"/>
                <w:u w:val="none"/>
                <w:lang w:val="en-US" w:eastAsia="zh-CN" w:bidi="ar-SA"/>
              </w:rPr>
              <w:t>2021Q352218</w:t>
            </w:r>
          </w:p>
        </w:tc>
        <w:tc>
          <w:tcPr>
            <w:tcW w:w="55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0.48</w:t>
            </w:r>
          </w:p>
        </w:tc>
        <w:tc>
          <w:tcPr>
            <w:tcW w:w="396"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645"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268"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rPr>
                <w:rFonts w:hint="default" w:ascii="Times New Roman" w:hAnsi="Times New Roman" w:eastAsia="宋体" w:cs="Times New Roman"/>
                <w:b/>
                <w:bCs/>
                <w:color w:val="auto"/>
                <w:spacing w:val="0"/>
                <w:w w:val="100"/>
                <w:positio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97"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rPr>
                <w:rFonts w:hint="default" w:ascii="Times New Roman" w:hAnsi="Times New Roman" w:eastAsia="宋体" w:cs="Times New Roman"/>
                <w:b w:val="0"/>
                <w:bCs w:val="0"/>
                <w:color w:val="auto"/>
                <w:spacing w:val="0"/>
                <w:w w:val="100"/>
                <w:position w:val="0"/>
                <w:sz w:val="21"/>
                <w:szCs w:val="21"/>
                <w:vertAlign w:val="baseline"/>
                <w:lang w:val="en-US" w:eastAsia="zh-CN"/>
              </w:rPr>
            </w:pPr>
            <w:r>
              <w:rPr>
                <w:rFonts w:hint="default" w:ascii="Times New Roman" w:hAnsi="Times New Roman" w:eastAsia="宋体" w:cs="Times New Roman"/>
                <w:b w:val="0"/>
                <w:bCs w:val="0"/>
                <w:color w:val="auto"/>
                <w:spacing w:val="0"/>
                <w:w w:val="100"/>
                <w:position w:val="0"/>
                <w:sz w:val="21"/>
                <w:szCs w:val="21"/>
                <w:vertAlign w:val="baseline"/>
                <w:lang w:val="en-US" w:eastAsia="zh-CN"/>
              </w:rPr>
              <w:t>备注</w:t>
            </w:r>
          </w:p>
        </w:tc>
        <w:tc>
          <w:tcPr>
            <w:tcW w:w="4402" w:type="pct"/>
            <w:gridSpan w:val="9"/>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both"/>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default" w:ascii="Times New Roman" w:hAnsi="Times New Roman" w:eastAsia="宋体" w:cs="Times New Roman"/>
                <w:color w:val="auto"/>
                <w:sz w:val="21"/>
                <w:szCs w:val="21"/>
                <w:lang w:val="en-US" w:eastAsia="zh-CN"/>
              </w:rPr>
              <w:t>检测时油烟净化器及风机运行正</w:t>
            </w:r>
            <w:r>
              <w:rPr>
                <w:rFonts w:hint="default" w:ascii="Times New Roman" w:hAnsi="Times New Roman" w:eastAsia="宋体" w:cs="Times New Roman"/>
                <w:b w:val="0"/>
                <w:bCs w:val="0"/>
                <w:color w:val="auto"/>
                <w:sz w:val="21"/>
                <w:szCs w:val="21"/>
                <w:lang w:val="en-US" w:eastAsia="zh-CN"/>
              </w:rPr>
              <w:t>常，检测时折算基准灶头数为3个</w:t>
            </w:r>
            <w:r>
              <w:rPr>
                <w:rFonts w:hint="default" w:ascii="Times New Roman" w:hAnsi="Times New Roman" w:eastAsia="宋体" w:cs="Times New Roman"/>
                <w:color w:val="auto"/>
                <w:sz w:val="21"/>
                <w:szCs w:val="21"/>
                <w:lang w:val="en-US" w:eastAsia="zh-CN"/>
              </w:rPr>
              <w:t>。</w:t>
            </w:r>
          </w:p>
        </w:tc>
      </w:tr>
    </w:tbl>
    <w:p>
      <w:pPr>
        <w:bidi w:val="0"/>
        <w:rPr>
          <w:rFonts w:hint="eastAsia"/>
          <w:lang w:val="en-US" w:eastAsia="zh-CN"/>
        </w:rPr>
      </w:pPr>
      <w:r>
        <w:rPr>
          <w:rFonts w:hint="eastAsia"/>
          <w:lang w:val="en-US" w:eastAsia="zh-CN"/>
        </w:rPr>
        <w:t>由上表可知，本项目食堂油烟经油烟净化装置处理后能够满足《饮食业油烟排放标准（试行）》（GB18483-2001）中最高允许排放浓度2.0mg/m</w:t>
      </w:r>
      <w:r>
        <w:rPr>
          <w:rFonts w:hint="eastAsia"/>
          <w:vertAlign w:val="superscript"/>
          <w:lang w:val="en-US" w:eastAsia="zh-CN"/>
        </w:rPr>
        <w:t>3</w:t>
      </w:r>
      <w:r>
        <w:rPr>
          <w:rFonts w:hint="eastAsia"/>
          <w:lang w:val="en-US" w:eastAsia="zh-CN"/>
        </w:rPr>
        <w:t>。</w:t>
      </w:r>
    </w:p>
    <w:p>
      <w:pPr>
        <w:rPr>
          <w:rFonts w:hint="eastAsia"/>
          <w:lang w:val="en-US" w:eastAsia="zh-CN"/>
        </w:rPr>
      </w:pPr>
    </w:p>
    <w:p>
      <w:pPr>
        <w:bidi w:val="0"/>
        <w:rPr>
          <w:rFonts w:hint="eastAsia"/>
          <w:lang w:val="en-US" w:eastAsia="zh-CN"/>
        </w:rPr>
      </w:pPr>
    </w:p>
    <w:p>
      <w:pPr>
        <w:bidi w:val="0"/>
        <w:rPr>
          <w:rFonts w:hint="eastAsia"/>
          <w:lang w:val="en-US" w:eastAsia="zh-CN"/>
        </w:rPr>
        <w:sectPr>
          <w:pgSz w:w="16838" w:h="11906" w:orient="landscape"/>
          <w:pgMar w:top="1440" w:right="1080" w:bottom="1440" w:left="1080" w:header="964" w:footer="992" w:gutter="0"/>
          <w:pgBorders>
            <w:top w:val="none" w:sz="0" w:space="0"/>
            <w:left w:val="none" w:sz="0" w:space="0"/>
            <w:bottom w:val="none" w:sz="0" w:space="0"/>
            <w:right w:val="none" w:sz="0" w:space="0"/>
          </w:pgBorders>
          <w:cols w:space="425" w:num="1"/>
          <w:docGrid w:type="lines" w:linePitch="312" w:charSpace="0"/>
        </w:sectPr>
      </w:pPr>
    </w:p>
    <w:p>
      <w:pPr>
        <w:pStyle w:val="6"/>
        <w:bidi w:val="0"/>
        <w:rPr>
          <w:rFonts w:hint="default"/>
          <w:lang w:val="en-US" w:eastAsia="zh-CN"/>
        </w:rPr>
      </w:pPr>
      <w:r>
        <w:rPr>
          <w:rFonts w:hint="eastAsia"/>
          <w:lang w:val="en-US" w:eastAsia="zh-CN"/>
        </w:rPr>
        <w:t>2.11.2、废水</w:t>
      </w:r>
    </w:p>
    <w:p>
      <w:pPr>
        <w:bidi w:val="0"/>
        <w:rPr>
          <w:rFonts w:hint="default" w:ascii="Times New Roman" w:hAnsi="Times New Roman" w:eastAsia="宋体" w:cs="Times New Roman"/>
          <w:color w:val="000000"/>
          <w:sz w:val="24"/>
          <w:szCs w:val="24"/>
        </w:rPr>
      </w:pPr>
      <w:r>
        <w:rPr>
          <w:rFonts w:hint="eastAsia"/>
          <w:lang w:val="en-US" w:eastAsia="zh-CN"/>
        </w:rPr>
        <w:t>废水产排情况引用《节水型工农业复合循环体系改造升级项目竣工环境保护验收监测报告》（甘肃沁园环保科技有限公司，2022年1月）中的监测数据进行说明，具体的监测情况详见下表。</w:t>
      </w:r>
    </w:p>
    <w:p>
      <w:pPr>
        <w:pStyle w:val="38"/>
        <w:spacing w:line="240" w:lineRule="auto"/>
        <w:jc w:val="center"/>
        <w:rPr>
          <w:rFonts w:hint="default" w:eastAsia="宋体"/>
          <w:b/>
          <w:bCs/>
          <w:lang w:val="en-US" w:eastAsia="zh-CN"/>
        </w:rPr>
      </w:pPr>
      <w:r>
        <w:rPr>
          <w:rFonts w:hint="eastAsia" w:ascii="Times New Roman" w:hAnsi="Times New Roman" w:cs="Times New Roman"/>
          <w:b/>
          <w:bCs/>
          <w:color w:val="000000"/>
          <w:sz w:val="24"/>
          <w:szCs w:val="24"/>
          <w:lang w:val="en-US" w:eastAsia="zh-CN"/>
        </w:rPr>
        <w:t>表</w:t>
      </w:r>
      <w:r>
        <w:rPr>
          <w:rFonts w:hint="eastAsia" w:cs="Times New Roman"/>
          <w:b/>
          <w:bCs/>
          <w:color w:val="000000"/>
          <w:sz w:val="24"/>
          <w:szCs w:val="24"/>
          <w:lang w:val="en-US" w:eastAsia="zh-CN"/>
        </w:rPr>
        <w:t>2.13</w:t>
      </w:r>
      <w:r>
        <w:rPr>
          <w:rFonts w:hint="eastAsia" w:ascii="Times New Roman" w:hAnsi="Times New Roman" w:cs="Times New Roman"/>
          <w:b/>
          <w:bCs/>
          <w:color w:val="000000"/>
          <w:sz w:val="24"/>
          <w:szCs w:val="24"/>
          <w:lang w:val="en-US" w:eastAsia="zh-CN"/>
        </w:rPr>
        <w:t xml:space="preserve">    污水处理站废水监测结果一览表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2481"/>
        <w:gridCol w:w="1925"/>
        <w:gridCol w:w="981"/>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33"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color w:val="auto"/>
                <w:spacing w:val="0"/>
                <w:w w:val="100"/>
                <w:position w:val="0"/>
                <w:sz w:val="21"/>
                <w:szCs w:val="21"/>
                <w:vertAlign w:val="baseline"/>
                <w:lang w:val="en-US" w:eastAsia="zh-CN"/>
              </w:rPr>
            </w:pPr>
            <w:r>
              <w:rPr>
                <w:rFonts w:hint="default" w:ascii="Times New Roman" w:hAnsi="Times New Roman" w:eastAsia="宋体" w:cs="Times New Roman"/>
                <w:b/>
                <w:bCs/>
                <w:color w:val="auto"/>
                <w:spacing w:val="0"/>
                <w:w w:val="100"/>
                <w:position w:val="0"/>
                <w:sz w:val="21"/>
                <w:szCs w:val="21"/>
                <w:vertAlign w:val="baseline"/>
                <w:lang w:val="en-US" w:eastAsia="zh-CN"/>
              </w:rPr>
              <w:t>项目</w:t>
            </w:r>
          </w:p>
        </w:tc>
        <w:tc>
          <w:tcPr>
            <w:tcW w:w="2586" w:type="pct"/>
            <w:gridSpan w:val="2"/>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eastAsia="zh-CN"/>
              </w:rPr>
              <w:t>检测位置</w:t>
            </w:r>
            <w:r>
              <w:rPr>
                <w:rFonts w:hint="default" w:ascii="Times New Roman" w:hAnsi="Times New Roman" w:eastAsia="宋体" w:cs="Times New Roman"/>
                <w:b/>
                <w:bCs/>
                <w:color w:val="auto"/>
                <w:kern w:val="2"/>
                <w:sz w:val="21"/>
                <w:szCs w:val="21"/>
                <w:lang w:val="en-US" w:eastAsia="zh-CN" w:bidi="ar-SA"/>
              </w:rPr>
              <w:t>污水处理站排放</w:t>
            </w:r>
            <w:r>
              <w:rPr>
                <w:rFonts w:hint="default" w:ascii="Times New Roman" w:hAnsi="Times New Roman" w:eastAsia="宋体" w:cs="Times New Roman"/>
                <w:b/>
                <w:bCs/>
                <w:color w:val="auto"/>
                <w:kern w:val="0"/>
                <w:sz w:val="21"/>
                <w:szCs w:val="21"/>
                <w:lang w:val="en-US" w:eastAsia="zh-CN" w:bidi="en-US"/>
              </w:rPr>
              <w:t>口</w:t>
            </w:r>
          </w:p>
        </w:tc>
        <w:tc>
          <w:tcPr>
            <w:tcW w:w="576"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bCs/>
                <w:color w:val="auto"/>
                <w:spacing w:val="0"/>
                <w:w w:val="100"/>
                <w:position w:val="0"/>
                <w:sz w:val="21"/>
                <w:szCs w:val="21"/>
                <w:lang w:val="en-US" w:eastAsia="zh-CN"/>
              </w:rPr>
            </w:pPr>
            <w:r>
              <w:rPr>
                <w:rFonts w:hint="default" w:ascii="Times New Roman" w:hAnsi="Times New Roman" w:eastAsia="宋体" w:cs="Times New Roman"/>
                <w:b/>
                <w:bCs/>
                <w:color w:val="auto"/>
                <w:spacing w:val="0"/>
                <w:w w:val="100"/>
                <w:position w:val="0"/>
                <w:sz w:val="21"/>
                <w:szCs w:val="21"/>
                <w:lang w:val="en-US" w:eastAsia="zh-CN"/>
              </w:rPr>
              <w:t>限值</w:t>
            </w:r>
          </w:p>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bCs/>
                <w:color w:val="auto"/>
                <w:spacing w:val="0"/>
                <w:w w:val="100"/>
                <w:position w:val="0"/>
                <w:sz w:val="21"/>
                <w:szCs w:val="21"/>
                <w:lang w:val="en-US" w:eastAsia="zh-CN"/>
              </w:rPr>
            </w:pPr>
            <w:r>
              <w:rPr>
                <w:rFonts w:hint="eastAsia" w:ascii="Times New Roman" w:hAnsi="Times New Roman" w:cs="Times New Roman"/>
                <w:b/>
                <w:bCs/>
                <w:color w:val="auto"/>
                <w:spacing w:val="0"/>
                <w:w w:val="100"/>
                <w:position w:val="0"/>
                <w:sz w:val="21"/>
                <w:szCs w:val="21"/>
                <w:lang w:val="en-US" w:eastAsia="zh-CN"/>
              </w:rPr>
              <w:t>要求</w:t>
            </w:r>
          </w:p>
        </w:tc>
        <w:tc>
          <w:tcPr>
            <w:tcW w:w="504" w:type="pct"/>
            <w:vMerge w:val="restar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rightChars="0" w:firstLine="0" w:firstLineChars="0"/>
              <w:jc w:val="center"/>
              <w:textAlignment w:val="auto"/>
              <w:rPr>
                <w:rFonts w:hint="default" w:ascii="Times New Roman" w:hAnsi="Times New Roman" w:eastAsia="宋体" w:cs="Times New Roman"/>
                <w:b/>
                <w:bCs/>
                <w:color w:val="auto"/>
                <w:spacing w:val="0"/>
                <w:w w:val="100"/>
                <w:position w:val="0"/>
                <w:sz w:val="21"/>
                <w:szCs w:val="21"/>
                <w:lang w:val="en-US" w:eastAsia="zh-CN"/>
              </w:rPr>
            </w:pPr>
            <w:r>
              <w:rPr>
                <w:rFonts w:hint="default" w:ascii="Times New Roman" w:hAnsi="Times New Roman" w:eastAsia="宋体" w:cs="Times New Roman"/>
                <w:b/>
                <w:bCs/>
                <w:color w:val="auto"/>
                <w:spacing w:val="0"/>
                <w:w w:val="100"/>
                <w:position w:val="0"/>
                <w:sz w:val="21"/>
                <w:szCs w:val="21"/>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1333" w:type="pct"/>
            <w:vMerge w:val="continue"/>
            <w:tcBorders>
              <w:tl2br w:val="nil"/>
              <w:tr2bl w:val="nil"/>
            </w:tcBorders>
            <w:noWrap w:val="0"/>
            <w:vAlign w:val="center"/>
          </w:tcPr>
          <w:p>
            <w:pPr>
              <w:pStyle w:val="87"/>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pacing w:val="0"/>
                <w:w w:val="100"/>
                <w:position w:val="0"/>
                <w:sz w:val="21"/>
                <w:szCs w:val="21"/>
                <w:vertAlign w:val="baseline"/>
                <w:lang w:val="en-US" w:eastAsia="zh-CN"/>
              </w:rPr>
            </w:pPr>
          </w:p>
        </w:tc>
        <w:tc>
          <w:tcPr>
            <w:tcW w:w="1456"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eastAsia" w:ascii="Times New Roman" w:hAnsi="Times New Roman" w:eastAsia="宋体" w:cs="Times New Roman"/>
                <w:b/>
                <w:bCs/>
                <w:color w:val="auto"/>
                <w:spacing w:val="0"/>
                <w:w w:val="100"/>
                <w:position w:val="0"/>
                <w:sz w:val="21"/>
                <w:szCs w:val="21"/>
                <w:vertAlign w:val="baseline"/>
                <w:lang w:val="en-US" w:eastAsia="zh-CN"/>
              </w:rPr>
              <w:t>进口浓度（mg/L）</w:t>
            </w:r>
          </w:p>
        </w:tc>
        <w:tc>
          <w:tcPr>
            <w:tcW w:w="1130" w:type="pct"/>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bCs/>
                <w:color w:val="auto"/>
                <w:spacing w:val="0"/>
                <w:w w:val="100"/>
                <w:position w:val="0"/>
                <w:sz w:val="21"/>
                <w:szCs w:val="21"/>
                <w:vertAlign w:val="baseline"/>
                <w:lang w:val="en-US" w:eastAsia="zh-CN"/>
              </w:rPr>
            </w:pPr>
            <w:r>
              <w:rPr>
                <w:rFonts w:hint="eastAsia" w:ascii="Times New Roman" w:hAnsi="Times New Roman" w:eastAsia="宋体" w:cs="Times New Roman"/>
                <w:b/>
                <w:bCs/>
                <w:color w:val="auto"/>
                <w:spacing w:val="0"/>
                <w:w w:val="100"/>
                <w:position w:val="0"/>
                <w:sz w:val="21"/>
                <w:szCs w:val="21"/>
                <w:vertAlign w:val="baseline"/>
                <w:lang w:val="en-US" w:eastAsia="zh-CN"/>
              </w:rPr>
              <w:t>出口浓度（mg/L）</w:t>
            </w:r>
          </w:p>
        </w:tc>
        <w:tc>
          <w:tcPr>
            <w:tcW w:w="576"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textAlignment w:val="auto"/>
              <w:rPr>
                <w:rFonts w:hint="default" w:ascii="Times New Roman" w:hAnsi="Times New Roman" w:eastAsia="宋体" w:cs="Times New Roman"/>
                <w:b/>
                <w:bCs/>
                <w:color w:val="auto"/>
                <w:spacing w:val="0"/>
                <w:w w:val="100"/>
                <w:position w:val="0"/>
                <w:sz w:val="21"/>
                <w:szCs w:val="21"/>
                <w:vertAlign w:val="baseline"/>
                <w:lang w:val="en-US" w:eastAsia="zh-CN"/>
              </w:rPr>
            </w:pPr>
          </w:p>
        </w:tc>
        <w:tc>
          <w:tcPr>
            <w:tcW w:w="504" w:type="pct"/>
            <w:vMerge w:val="continue"/>
            <w:tcBorders>
              <w:tl2br w:val="nil"/>
              <w:tr2bl w:val="nil"/>
            </w:tcBorders>
            <w:noWrap w:val="0"/>
            <w:vAlign w:val="center"/>
          </w:tcPr>
          <w:p>
            <w:pPr>
              <w:pStyle w:val="89"/>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0"/>
              <w:jc w:val="center"/>
              <w:textAlignment w:val="auto"/>
              <w:rPr>
                <w:rFonts w:hint="default" w:ascii="Times New Roman" w:hAnsi="Times New Roman" w:eastAsia="宋体" w:cs="Times New Roman"/>
                <w:b/>
                <w:bCs/>
                <w:color w:val="auto"/>
                <w:spacing w:val="0"/>
                <w:w w:val="100"/>
                <w:position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水温（℃）</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10.4~11.3</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13.4</w:t>
            </w:r>
            <w:r>
              <w:rPr>
                <w:rFonts w:hint="eastAsia" w:ascii="Times New Roman" w:hAnsi="Times New Roman" w:eastAsia="宋体" w:cs="Times New Roman"/>
                <w:i w:val="0"/>
                <w:iCs w:val="0"/>
                <w:color w:val="auto"/>
                <w:kern w:val="0"/>
                <w:sz w:val="21"/>
                <w:szCs w:val="21"/>
                <w:u w:val="none"/>
                <w:lang w:val="en-US" w:eastAsia="zh-CN" w:bidi="ar"/>
              </w:rPr>
              <w:t>~13.7</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pH（无量纲）</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7.23~7.29</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7.31</w:t>
            </w:r>
            <w:r>
              <w:rPr>
                <w:rFonts w:hint="eastAsia" w:ascii="Times New Roman" w:hAnsi="Times New Roman" w:eastAsia="宋体" w:cs="Times New Roman"/>
                <w:i w:val="0"/>
                <w:iCs w:val="0"/>
                <w:color w:val="auto"/>
                <w:kern w:val="0"/>
                <w:sz w:val="21"/>
                <w:szCs w:val="21"/>
                <w:u w:val="none"/>
                <w:lang w:val="en-US" w:eastAsia="zh-CN" w:bidi="ar"/>
              </w:rPr>
              <w:t>~7.39</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5.5-8</w:t>
            </w:r>
            <w:r>
              <w:rPr>
                <w:rFonts w:hint="eastAsia" w:cs="Times New Roman"/>
                <w:i w:val="0"/>
                <w:iCs w:val="0"/>
                <w:color w:val="auto"/>
                <w:kern w:val="0"/>
                <w:sz w:val="21"/>
                <w:szCs w:val="21"/>
                <w:u w:val="none"/>
                <w:lang w:val="en-US" w:eastAsia="zh-CN" w:bidi="ar"/>
              </w:rPr>
              <w:t>.5</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CODcr</w:t>
            </w:r>
          </w:p>
        </w:tc>
        <w:tc>
          <w:tcPr>
            <w:tcW w:w="145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1020~1230</w:t>
            </w:r>
          </w:p>
        </w:tc>
        <w:tc>
          <w:tcPr>
            <w:tcW w:w="1130"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16.8~33.6</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≤80</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BOD</w:t>
            </w:r>
            <w:r>
              <w:rPr>
                <w:rFonts w:hint="default" w:ascii="Times New Roman" w:hAnsi="Times New Roman" w:eastAsia="宋体" w:cs="Times New Roman"/>
                <w:i w:val="0"/>
                <w:iCs w:val="0"/>
                <w:color w:val="auto"/>
                <w:kern w:val="0"/>
                <w:sz w:val="21"/>
                <w:szCs w:val="21"/>
                <w:u w:val="none"/>
                <w:vertAlign w:val="subscript"/>
                <w:lang w:val="en-US" w:eastAsia="zh-CN" w:bidi="ar"/>
              </w:rPr>
              <w:t>5</w:t>
            </w:r>
          </w:p>
        </w:tc>
        <w:tc>
          <w:tcPr>
            <w:tcW w:w="145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595~725</w:t>
            </w:r>
          </w:p>
        </w:tc>
        <w:tc>
          <w:tcPr>
            <w:tcW w:w="1130"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3.5~6.0</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≤25</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SS</w:t>
            </w:r>
          </w:p>
        </w:tc>
        <w:tc>
          <w:tcPr>
            <w:tcW w:w="145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507~622</w:t>
            </w:r>
          </w:p>
        </w:tc>
        <w:tc>
          <w:tcPr>
            <w:tcW w:w="1130"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21~33</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≤60</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氨氮</w:t>
            </w:r>
          </w:p>
        </w:tc>
        <w:tc>
          <w:tcPr>
            <w:tcW w:w="145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b w:val="0"/>
                <w:bCs w:val="0"/>
                <w:color w:val="auto"/>
                <w:sz w:val="21"/>
                <w:szCs w:val="21"/>
                <w:vertAlign w:val="baseline"/>
                <w:lang w:val="en-US" w:eastAsia="zh-CN"/>
              </w:rPr>
              <w:t>10.3~11.6</w:t>
            </w:r>
          </w:p>
        </w:tc>
        <w:tc>
          <w:tcPr>
            <w:tcW w:w="1130"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b w:val="0"/>
                <w:bCs w:val="0"/>
                <w:color w:val="auto"/>
                <w:sz w:val="21"/>
                <w:szCs w:val="21"/>
                <w:vertAlign w:val="baseline"/>
                <w:lang w:val="en-US" w:eastAsia="zh-CN"/>
              </w:rPr>
              <w:t>1.28~1.49</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全盐量</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3416~3668</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880</w:t>
            </w:r>
            <w:r>
              <w:rPr>
                <w:rFonts w:hint="eastAsia" w:ascii="Times New Roman" w:hAnsi="Times New Roman" w:eastAsia="宋体" w:cs="Times New Roman"/>
                <w:i w:val="0"/>
                <w:iCs w:val="0"/>
                <w:color w:val="auto"/>
                <w:kern w:val="0"/>
                <w:sz w:val="21"/>
                <w:szCs w:val="21"/>
                <w:u w:val="none"/>
                <w:lang w:val="en-US" w:eastAsia="zh-CN" w:bidi="ar"/>
              </w:rPr>
              <w:t>~1186</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≤2000</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氯化物</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511~555</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107</w:t>
            </w:r>
            <w:r>
              <w:rPr>
                <w:rFonts w:hint="eastAsia" w:ascii="Times New Roman" w:hAnsi="Times New Roman" w:eastAsia="宋体" w:cs="Times New Roman"/>
                <w:i w:val="0"/>
                <w:iCs w:val="0"/>
                <w:color w:val="auto"/>
                <w:kern w:val="0"/>
                <w:sz w:val="21"/>
                <w:szCs w:val="21"/>
                <w:u w:val="none"/>
                <w:lang w:val="en-US" w:eastAsia="zh-CN" w:bidi="ar"/>
              </w:rPr>
              <w:t>~111</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≤350</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硫化物</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0.356~0.416</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0.06</w:t>
            </w:r>
            <w:r>
              <w:rPr>
                <w:rFonts w:hint="eastAsia" w:ascii="Times New Roman" w:hAnsi="Times New Roman" w:eastAsia="宋体" w:cs="Times New Roman"/>
                <w:i w:val="0"/>
                <w:iCs w:val="0"/>
                <w:color w:val="auto"/>
                <w:kern w:val="0"/>
                <w:sz w:val="21"/>
                <w:szCs w:val="21"/>
                <w:u w:val="none"/>
                <w:lang w:val="en-US" w:eastAsia="zh-CN" w:bidi="ar"/>
              </w:rPr>
              <w:t>~0.074</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动植物油</w:t>
            </w:r>
          </w:p>
        </w:tc>
        <w:tc>
          <w:tcPr>
            <w:tcW w:w="1456"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20.3~27.0</w:t>
            </w:r>
          </w:p>
        </w:tc>
        <w:tc>
          <w:tcPr>
            <w:tcW w:w="1130"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cs="Times New Roman"/>
                <w:b w:val="0"/>
                <w:bCs w:val="0"/>
                <w:color w:val="auto"/>
                <w:sz w:val="21"/>
                <w:szCs w:val="21"/>
                <w:vertAlign w:val="baseline"/>
                <w:lang w:val="en-US" w:eastAsia="zh-CN"/>
              </w:rPr>
              <w:t>0.65~0.86</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cs="Times New Roman"/>
                <w:i w:val="0"/>
                <w:iCs w:val="0"/>
                <w:color w:val="auto"/>
                <w:kern w:val="0"/>
                <w:sz w:val="21"/>
                <w:szCs w:val="21"/>
                <w:u w:val="none"/>
                <w:lang w:val="en-US" w:eastAsia="zh-CN" w:bidi="ar"/>
              </w:rPr>
              <w:t>5</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LAS</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8.13~10.5</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0.57</w:t>
            </w:r>
            <w:r>
              <w:rPr>
                <w:rFonts w:hint="eastAsia" w:ascii="Times New Roman" w:hAnsi="Times New Roman" w:eastAsia="宋体" w:cs="Times New Roman"/>
                <w:i w:val="0"/>
                <w:iCs w:val="0"/>
                <w:color w:val="auto"/>
                <w:kern w:val="0"/>
                <w:sz w:val="21"/>
                <w:szCs w:val="21"/>
                <w:u w:val="none"/>
                <w:lang w:val="en-US" w:eastAsia="zh-CN" w:bidi="ar"/>
              </w:rPr>
              <w:t>~0.66</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≤8</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六价铬</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0.051~0.078</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0.0004L</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粪大肠菌群（个/L）</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28000~54000</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500</w:t>
            </w:r>
            <w:r>
              <w:rPr>
                <w:rFonts w:hint="eastAsia" w:ascii="Times New Roman" w:hAnsi="Times New Roman" w:eastAsia="宋体" w:cs="Times New Roman"/>
                <w:i w:val="0"/>
                <w:iCs w:val="0"/>
                <w:color w:val="auto"/>
                <w:kern w:val="0"/>
                <w:sz w:val="21"/>
                <w:szCs w:val="21"/>
                <w:u w:val="none"/>
                <w:lang w:val="en-US" w:eastAsia="zh-CN" w:bidi="ar"/>
              </w:rPr>
              <w:t>~700</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≤5000</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蛔虫卵数（个/10L）</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722~810</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5L</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铅</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0.018~0.021</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0.01</w:t>
            </w:r>
            <w:r>
              <w:rPr>
                <w:rFonts w:hint="eastAsia" w:ascii="Times New Roman" w:hAnsi="Times New Roman" w:eastAsia="宋体" w:cs="Times New Roman"/>
                <w:i w:val="0"/>
                <w:iCs w:val="0"/>
                <w:color w:val="auto"/>
                <w:kern w:val="0"/>
                <w:sz w:val="21"/>
                <w:szCs w:val="21"/>
                <w:u w:val="none"/>
                <w:lang w:val="en-US" w:eastAsia="zh-CN" w:bidi="ar"/>
              </w:rPr>
              <w:t>~0.014</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镉</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0.0007~0.0011</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0.0004</w:t>
            </w:r>
            <w:r>
              <w:rPr>
                <w:rFonts w:hint="eastAsia" w:ascii="Times New Roman" w:hAnsi="Times New Roman" w:eastAsia="宋体" w:cs="Times New Roman"/>
                <w:i w:val="0"/>
                <w:iCs w:val="0"/>
                <w:color w:val="auto"/>
                <w:kern w:val="0"/>
                <w:sz w:val="21"/>
                <w:szCs w:val="21"/>
                <w:u w:val="none"/>
                <w:lang w:val="en-US" w:eastAsia="zh-CN" w:bidi="ar"/>
              </w:rPr>
              <w:t>~0.0007</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总汞</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0.0004L</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0.00004L</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≤0.001</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总砷</w:t>
            </w:r>
          </w:p>
        </w:tc>
        <w:tc>
          <w:tcPr>
            <w:tcW w:w="145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0.0003L</w:t>
            </w:r>
          </w:p>
        </w:tc>
        <w:tc>
          <w:tcPr>
            <w:tcW w:w="11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0.0003L</w:t>
            </w:r>
          </w:p>
        </w:tc>
        <w:tc>
          <w:tcPr>
            <w:tcW w:w="57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≤0.1</w:t>
            </w:r>
          </w:p>
        </w:tc>
        <w:tc>
          <w:tcPr>
            <w:tcW w:w="504"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达标</w:t>
            </w:r>
          </w:p>
        </w:tc>
      </w:tr>
    </w:tbl>
    <w:p>
      <w:pPr>
        <w:bidi w:val="0"/>
        <w:rPr>
          <w:rFonts w:hint="eastAsia"/>
          <w:color w:val="auto"/>
          <w:lang w:val="en-US" w:eastAsia="zh-CN"/>
        </w:rPr>
      </w:pPr>
      <w:r>
        <w:rPr>
          <w:rFonts w:hint="eastAsia"/>
          <w:color w:val="auto"/>
          <w:lang w:val="en-US" w:eastAsia="zh-CN"/>
        </w:rPr>
        <w:t>监测结果显示：本项目产生的废水经污水处理站处理后</w:t>
      </w:r>
      <w:r>
        <w:rPr>
          <w:rFonts w:hint="default" w:ascii="Times New Roman" w:hAnsi="Times New Roman" w:eastAsia="宋体" w:cs="Times New Roman"/>
          <w:color w:val="auto"/>
          <w:lang w:eastAsia="zh-CN"/>
        </w:rPr>
        <w:t>BOD</w:t>
      </w:r>
      <w:r>
        <w:rPr>
          <w:rFonts w:hint="default" w:ascii="Times New Roman" w:hAnsi="Times New Roman" w:eastAsia="宋体" w:cs="Times New Roman"/>
          <w:color w:val="auto"/>
          <w:vertAlign w:val="subscript"/>
          <w:lang w:eastAsia="zh-CN"/>
        </w:rPr>
        <w:t>5</w:t>
      </w:r>
      <w:r>
        <w:rPr>
          <w:rFonts w:hint="eastAsia" w:ascii="Times New Roman" w:hAnsi="Times New Roman" w:eastAsia="宋体" w:cs="Times New Roman"/>
          <w:color w:val="auto"/>
          <w:lang w:eastAsia="zh-CN"/>
        </w:rPr>
        <w:t>、</w:t>
      </w:r>
      <w:r>
        <w:rPr>
          <w:rFonts w:hint="default" w:ascii="Times New Roman" w:hAnsi="Times New Roman" w:eastAsia="宋体" w:cs="Times New Roman"/>
          <w:color w:val="auto"/>
          <w:lang w:eastAsia="zh-CN"/>
        </w:rPr>
        <w:t>COD</w:t>
      </w:r>
      <w:r>
        <w:rPr>
          <w:rFonts w:hint="eastAsia" w:ascii="Times New Roman" w:hAnsi="Times New Roman" w:eastAsia="宋体" w:cs="Times New Roman"/>
          <w:color w:val="auto"/>
          <w:lang w:val="en-US" w:eastAsia="zh-CN"/>
        </w:rPr>
        <w:t>cr、</w:t>
      </w:r>
      <w:r>
        <w:rPr>
          <w:rFonts w:hint="default" w:ascii="Times New Roman" w:hAnsi="Times New Roman" w:eastAsia="宋体" w:cs="Times New Roman"/>
          <w:color w:val="auto"/>
          <w:lang w:eastAsia="zh-CN"/>
        </w:rPr>
        <w:t>SS</w:t>
      </w:r>
      <w:r>
        <w:rPr>
          <w:rFonts w:hint="eastAsia" w:ascii="Times New Roman" w:hAnsi="Times New Roman" w:eastAsia="宋体" w:cs="Times New Roman"/>
          <w:color w:val="auto"/>
          <w:lang w:eastAsia="zh-CN"/>
        </w:rPr>
        <w:t>、氨氮、粪大肠菌群</w:t>
      </w:r>
      <w:r>
        <w:rPr>
          <w:rFonts w:hint="eastAsia" w:cs="Times New Roman"/>
          <w:color w:val="auto"/>
          <w:lang w:eastAsia="zh-CN"/>
        </w:rPr>
        <w:t>、</w:t>
      </w:r>
      <w:r>
        <w:rPr>
          <w:rFonts w:hint="eastAsia" w:cs="Times New Roman"/>
          <w:color w:val="auto"/>
          <w:lang w:val="en-US" w:eastAsia="zh-CN"/>
        </w:rPr>
        <w:t>动植物油</w:t>
      </w:r>
      <w:r>
        <w:rPr>
          <w:rFonts w:hint="eastAsia"/>
          <w:color w:val="auto"/>
          <w:lang w:val="en-US" w:eastAsia="zh-CN"/>
        </w:rPr>
        <w:t>能够满足</w:t>
      </w:r>
      <w:r>
        <w:rPr>
          <w:rFonts w:hint="eastAsia" w:ascii="宋体" w:hAnsi="宋体" w:eastAsia="宋体" w:cs="宋体"/>
          <w:b w:val="0"/>
          <w:bCs w:val="0"/>
          <w:color w:val="auto"/>
          <w:kern w:val="0"/>
          <w:sz w:val="24"/>
          <w:szCs w:val="24"/>
          <w:lang w:val="en-US" w:eastAsia="zh-CN" w:bidi="ar"/>
        </w:rPr>
        <w:t>《肉类加工工业水污染物排放标准》（</w:t>
      </w:r>
      <w:r>
        <w:rPr>
          <w:rFonts w:hint="default" w:ascii="Times New Roman" w:hAnsi="Times New Roman" w:eastAsia="宋体" w:cs="Times New Roman"/>
          <w:b w:val="0"/>
          <w:bCs w:val="0"/>
          <w:color w:val="auto"/>
          <w:kern w:val="0"/>
          <w:sz w:val="24"/>
          <w:szCs w:val="24"/>
          <w:lang w:val="en-US" w:eastAsia="zh-CN" w:bidi="ar"/>
        </w:rPr>
        <w:t>GB13457-92</w:t>
      </w:r>
      <w:r>
        <w:rPr>
          <w:rFonts w:hint="eastAsia" w:ascii="宋体" w:hAnsi="宋体" w:eastAsia="宋体" w:cs="宋体"/>
          <w:b w:val="0"/>
          <w:bCs w:val="0"/>
          <w:color w:val="auto"/>
          <w:kern w:val="0"/>
          <w:sz w:val="24"/>
          <w:szCs w:val="24"/>
          <w:lang w:val="en-US" w:eastAsia="zh-CN" w:bidi="ar"/>
        </w:rPr>
        <w:t>）中的一级标准,其他污染因子均能满足</w:t>
      </w:r>
      <w:r>
        <w:rPr>
          <w:rFonts w:hint="eastAsia"/>
          <w:color w:val="auto"/>
          <w:lang w:eastAsia="zh-CN"/>
        </w:rPr>
        <w:t>《农田灌溉水质标准》（GB5084-20</w:t>
      </w:r>
      <w:r>
        <w:rPr>
          <w:rFonts w:hint="eastAsia"/>
          <w:color w:val="auto"/>
          <w:lang w:val="en-US" w:eastAsia="zh-CN"/>
        </w:rPr>
        <w:t>21</w:t>
      </w:r>
      <w:r>
        <w:rPr>
          <w:rFonts w:hint="eastAsia"/>
          <w:color w:val="auto"/>
          <w:lang w:eastAsia="zh-CN"/>
        </w:rPr>
        <w:t>）旱作标准</w:t>
      </w:r>
      <w:r>
        <w:rPr>
          <w:rFonts w:hint="eastAsia"/>
          <w:color w:val="auto"/>
          <w:lang w:val="en-US" w:eastAsia="zh-CN"/>
        </w:rPr>
        <w:t>中的相关要求。</w:t>
      </w:r>
    </w:p>
    <w:p>
      <w:pPr>
        <w:widowControl w:val="0"/>
        <w:spacing w:line="240" w:lineRule="auto"/>
        <w:ind w:firstLine="482" w:firstLineChars="200"/>
        <w:jc w:val="center"/>
        <w:rPr>
          <w:rFonts w:hint="default" w:ascii="Times New Roman" w:hAnsi="Times New Roman"/>
          <w:b/>
          <w:bCs/>
          <w:color w:val="auto"/>
          <w:sz w:val="24"/>
          <w:lang w:val="en-US" w:eastAsia="zh-CN"/>
        </w:rPr>
      </w:pPr>
      <w:r>
        <w:rPr>
          <w:rFonts w:hint="eastAsia" w:ascii="Times New Roman" w:hAnsi="Times New Roman"/>
          <w:b/>
          <w:bCs/>
          <w:color w:val="auto"/>
          <w:sz w:val="24"/>
          <w:lang w:val="en-US" w:eastAsia="zh-CN"/>
        </w:rPr>
        <w:t>表</w:t>
      </w:r>
      <w:r>
        <w:rPr>
          <w:rFonts w:hint="eastAsia"/>
          <w:b/>
          <w:bCs/>
          <w:color w:val="auto"/>
          <w:sz w:val="24"/>
          <w:lang w:val="en-US" w:eastAsia="zh-CN"/>
        </w:rPr>
        <w:t>2.14</w:t>
      </w:r>
      <w:r>
        <w:rPr>
          <w:rFonts w:hint="eastAsia" w:ascii="Times New Roman" w:hAnsi="Times New Roman"/>
          <w:b/>
          <w:bCs/>
          <w:color w:val="auto"/>
          <w:sz w:val="24"/>
          <w:lang w:val="en-US" w:eastAsia="zh-CN"/>
        </w:rPr>
        <w:t xml:space="preserve">    污水处理设施治理效果一览表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278"/>
        <w:gridCol w:w="1886"/>
        <w:gridCol w:w="1947"/>
        <w:gridCol w:w="1528"/>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序号</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名称</w:t>
            </w:r>
          </w:p>
        </w:tc>
        <w:tc>
          <w:tcPr>
            <w:tcW w:w="110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进口浓度</w:t>
            </w:r>
            <w:r>
              <w:rPr>
                <w:rFonts w:hint="default" w:ascii="Times New Roman" w:hAnsi="Times New Roman" w:eastAsia="宋体" w:cs="Times New Roman"/>
                <w:b/>
                <w:bCs/>
                <w:color w:val="auto"/>
                <w:sz w:val="21"/>
                <w:szCs w:val="21"/>
                <w:vertAlign w:val="baseline"/>
                <w:lang w:val="en-US" w:eastAsia="zh-CN"/>
              </w:rPr>
              <w:t>（mg/L）</w:t>
            </w:r>
          </w:p>
        </w:tc>
        <w:tc>
          <w:tcPr>
            <w:tcW w:w="1143"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出口浓度（mg/L）</w:t>
            </w:r>
          </w:p>
        </w:tc>
        <w:tc>
          <w:tcPr>
            <w:tcW w:w="89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实际处理效率</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lang w:val="en-US" w:eastAsia="zh-CN"/>
              </w:rPr>
              <w:t>cr</w:t>
            </w:r>
          </w:p>
        </w:tc>
        <w:tc>
          <w:tcPr>
            <w:tcW w:w="1107"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1020~1230</w:t>
            </w:r>
          </w:p>
        </w:tc>
        <w:tc>
          <w:tcPr>
            <w:tcW w:w="114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16.8~33.6</w:t>
            </w:r>
          </w:p>
        </w:tc>
        <w:tc>
          <w:tcPr>
            <w:tcW w:w="89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97.76</w:t>
            </w:r>
            <w:r>
              <w:rPr>
                <w:rFonts w:hint="default" w:ascii="Times New Roman" w:hAnsi="Times New Roman" w:eastAsia="宋体" w:cs="Times New Roman"/>
                <w:color w:val="auto"/>
                <w:sz w:val="21"/>
                <w:szCs w:val="21"/>
                <w:highlight w:val="none"/>
              </w:rPr>
              <w:t>%</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≤80</w:t>
            </w:r>
            <w:r>
              <w:rPr>
                <w:rFonts w:hint="default" w:ascii="Times New Roman" w:hAnsi="Times New Roman" w:eastAsia="宋体" w:cs="Times New Roman"/>
                <w:b w:val="0"/>
                <w:bCs w:val="0"/>
                <w:color w:val="auto"/>
                <w:sz w:val="21"/>
                <w:szCs w:val="21"/>
                <w:vertAlign w:val="baseli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1107"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595~725</w:t>
            </w:r>
          </w:p>
        </w:tc>
        <w:tc>
          <w:tcPr>
            <w:tcW w:w="114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3.5~6.0</w:t>
            </w:r>
          </w:p>
        </w:tc>
        <w:tc>
          <w:tcPr>
            <w:tcW w:w="89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99.29</w:t>
            </w:r>
            <w:r>
              <w:rPr>
                <w:rFonts w:hint="default" w:ascii="Times New Roman" w:hAnsi="Times New Roman" w:eastAsia="宋体" w:cs="Times New Roman"/>
                <w:color w:val="auto"/>
                <w:sz w:val="21"/>
                <w:szCs w:val="21"/>
                <w:highlight w:val="none"/>
              </w:rPr>
              <w:t>%</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≤25</w:t>
            </w:r>
            <w:r>
              <w:rPr>
                <w:rFonts w:hint="default" w:ascii="Times New Roman" w:hAnsi="Times New Roman" w:eastAsia="宋体" w:cs="Times New Roman"/>
                <w:b w:val="0"/>
                <w:bCs w:val="0"/>
                <w:color w:val="auto"/>
                <w:sz w:val="21"/>
                <w:szCs w:val="21"/>
                <w:vertAlign w:val="baseli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3</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color w:val="auto"/>
                <w:sz w:val="21"/>
                <w:szCs w:val="21"/>
              </w:rPr>
              <w:t>SS</w:t>
            </w:r>
          </w:p>
        </w:tc>
        <w:tc>
          <w:tcPr>
            <w:tcW w:w="1107"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507~622</w:t>
            </w:r>
          </w:p>
        </w:tc>
        <w:tc>
          <w:tcPr>
            <w:tcW w:w="114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21~33</w:t>
            </w:r>
          </w:p>
        </w:tc>
        <w:tc>
          <w:tcPr>
            <w:tcW w:w="89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96.19</w:t>
            </w:r>
            <w:r>
              <w:rPr>
                <w:rFonts w:hint="default" w:ascii="Times New Roman" w:hAnsi="Times New Roman" w:eastAsia="宋体" w:cs="Times New Roman"/>
                <w:color w:val="auto"/>
                <w:sz w:val="21"/>
                <w:szCs w:val="21"/>
                <w:highlight w:val="none"/>
              </w:rPr>
              <w:t>%</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≤60</w:t>
            </w:r>
            <w:r>
              <w:rPr>
                <w:rFonts w:hint="default" w:ascii="Times New Roman" w:hAnsi="Times New Roman" w:eastAsia="宋体" w:cs="Times New Roman"/>
                <w:b w:val="0"/>
                <w:bCs w:val="0"/>
                <w:color w:val="auto"/>
                <w:sz w:val="21"/>
                <w:szCs w:val="21"/>
                <w:vertAlign w:val="baseli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4</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color w:val="auto"/>
                <w:sz w:val="21"/>
                <w:szCs w:val="21"/>
              </w:rPr>
              <w:t>氨氮</w:t>
            </w:r>
          </w:p>
        </w:tc>
        <w:tc>
          <w:tcPr>
            <w:tcW w:w="1107"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10.3~11.6</w:t>
            </w:r>
          </w:p>
        </w:tc>
        <w:tc>
          <w:tcPr>
            <w:tcW w:w="114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1.28~1.49</w:t>
            </w:r>
          </w:p>
        </w:tc>
        <w:tc>
          <w:tcPr>
            <w:tcW w:w="89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91.82</w:t>
            </w:r>
            <w:r>
              <w:rPr>
                <w:rFonts w:hint="default" w:ascii="Times New Roman" w:hAnsi="Times New Roman" w:eastAsia="宋体" w:cs="Times New Roman"/>
                <w:color w:val="auto"/>
                <w:sz w:val="21"/>
                <w:szCs w:val="21"/>
                <w:highlight w:val="none"/>
              </w:rPr>
              <w:t>%</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≤15</w:t>
            </w:r>
            <w:r>
              <w:rPr>
                <w:rFonts w:hint="default" w:ascii="Times New Roman" w:hAnsi="Times New Roman" w:eastAsia="宋体" w:cs="Times New Roman"/>
                <w:b w:val="0"/>
                <w:bCs w:val="0"/>
                <w:color w:val="auto"/>
                <w:sz w:val="21"/>
                <w:szCs w:val="21"/>
                <w:vertAlign w:val="baseli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5</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color w:val="auto"/>
                <w:sz w:val="21"/>
                <w:szCs w:val="21"/>
                <w:lang w:eastAsia="zh-CN"/>
              </w:rPr>
              <w:t>动植物油</w:t>
            </w:r>
          </w:p>
        </w:tc>
        <w:tc>
          <w:tcPr>
            <w:tcW w:w="1107"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20.3~27.0</w:t>
            </w:r>
          </w:p>
        </w:tc>
        <w:tc>
          <w:tcPr>
            <w:tcW w:w="1143"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0.65~0.86</w:t>
            </w:r>
          </w:p>
        </w:tc>
        <w:tc>
          <w:tcPr>
            <w:tcW w:w="897"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96.81</w:t>
            </w:r>
            <w:r>
              <w:rPr>
                <w:rFonts w:hint="default" w:ascii="Times New Roman" w:hAnsi="Times New Roman" w:eastAsia="宋体" w:cs="Times New Roman"/>
                <w:color w:val="auto"/>
                <w:sz w:val="21"/>
                <w:szCs w:val="21"/>
                <w:highlight w:val="none"/>
              </w:rPr>
              <w:t>%</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≤15</w:t>
            </w:r>
            <w:r>
              <w:rPr>
                <w:rFonts w:hint="default" w:ascii="Times New Roman" w:hAnsi="Times New Roman" w:eastAsia="宋体" w:cs="Times New Roman"/>
                <w:b w:val="0"/>
                <w:bCs w:val="0"/>
                <w:color w:val="auto"/>
                <w:sz w:val="21"/>
                <w:szCs w:val="21"/>
                <w:vertAlign w:val="baseline"/>
                <w:lang w:val="en-US" w:eastAsia="zh-CN"/>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6</w:t>
            </w:r>
          </w:p>
        </w:tc>
        <w:tc>
          <w:tcPr>
            <w:tcW w:w="75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粪大肠菌群</w:t>
            </w:r>
          </w:p>
        </w:tc>
        <w:tc>
          <w:tcPr>
            <w:tcW w:w="1107" w:type="pct"/>
            <w:tcBorders>
              <w:tl2br w:val="nil"/>
              <w:tr2bl w:val="nil"/>
            </w:tcBorders>
            <w:noWrap w:val="0"/>
            <w:vAlign w:val="center"/>
          </w:tcPr>
          <w:p>
            <w:pPr>
              <w:keepNext w:val="0"/>
              <w:keepLines w:val="0"/>
              <w:widowControl w:val="0"/>
              <w:suppressLineNumbers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i w:val="0"/>
                <w:iCs w:val="0"/>
                <w:color w:val="auto"/>
                <w:kern w:val="0"/>
                <w:sz w:val="21"/>
                <w:szCs w:val="21"/>
                <w:u w:val="none"/>
                <w:lang w:val="en-US" w:eastAsia="zh-CN" w:bidi="ar"/>
              </w:rPr>
              <w:t>28000~54000</w:t>
            </w:r>
          </w:p>
        </w:tc>
        <w:tc>
          <w:tcPr>
            <w:tcW w:w="1143"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500</w:t>
            </w:r>
            <w:r>
              <w:rPr>
                <w:rFonts w:hint="eastAsia" w:ascii="Times New Roman" w:hAnsi="Times New Roman" w:eastAsia="宋体" w:cs="Times New Roman"/>
                <w:i w:val="0"/>
                <w:iCs w:val="0"/>
                <w:color w:val="auto"/>
                <w:kern w:val="0"/>
                <w:sz w:val="21"/>
                <w:szCs w:val="21"/>
                <w:u w:val="none"/>
                <w:lang w:val="en-US" w:eastAsia="zh-CN" w:bidi="ar"/>
              </w:rPr>
              <w:t>~700</w:t>
            </w:r>
          </w:p>
        </w:tc>
        <w:tc>
          <w:tcPr>
            <w:tcW w:w="897"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98.7</w:t>
            </w:r>
            <w:r>
              <w:rPr>
                <w:rFonts w:hint="default" w:ascii="Times New Roman" w:hAnsi="Times New Roman" w:eastAsia="宋体" w:cs="Times New Roman"/>
                <w:color w:val="auto"/>
                <w:sz w:val="21"/>
                <w:szCs w:val="21"/>
                <w:highlight w:val="none"/>
              </w:rPr>
              <w:t>%</w:t>
            </w:r>
          </w:p>
        </w:tc>
        <w:tc>
          <w:tcPr>
            <w:tcW w:w="690" w:type="pct"/>
            <w:tcBorders>
              <w:tl2br w:val="nil"/>
              <w:tr2bl w:val="nil"/>
            </w:tcBorders>
            <w:noWrap w:val="0"/>
            <w:vAlign w:val="center"/>
          </w:tcPr>
          <w:p>
            <w:pPr>
              <w:widowControl w:val="0"/>
              <w:spacing w:line="240" w:lineRule="auto"/>
              <w:ind w:left="0" w:leftChars="0"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l2br w:val="nil"/>
              <w:tr2bl w:val="nil"/>
            </w:tcBorders>
            <w:noWrap w:val="0"/>
            <w:vAlign w:val="center"/>
          </w:tcPr>
          <w:p>
            <w:pPr>
              <w:widowControl w:val="0"/>
              <w:spacing w:line="240" w:lineRule="auto"/>
              <w:ind w:left="0" w:leftChars="0" w:firstLine="0" w:firstLineChars="0"/>
              <w:jc w:val="both"/>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注：表中实际处理效率是根据污水处理站进、出口监测浓度的均值计算得出。</w:t>
            </w:r>
          </w:p>
        </w:tc>
      </w:tr>
    </w:tbl>
    <w:p>
      <w:pPr>
        <w:bidi w:val="0"/>
        <w:rPr>
          <w:rFonts w:hint="default"/>
          <w:lang w:val="en-US" w:eastAsia="zh-CN"/>
        </w:rPr>
      </w:pPr>
      <w:r>
        <w:rPr>
          <w:rFonts w:hint="eastAsia"/>
          <w:lang w:val="en-US" w:eastAsia="zh-CN"/>
        </w:rPr>
        <w:t>综上所述，本项目运营期产生的废水经厂区污水处理站处理后能够实现达标排放。</w:t>
      </w:r>
    </w:p>
    <w:p>
      <w:pPr>
        <w:pStyle w:val="6"/>
        <w:bidi w:val="0"/>
        <w:rPr>
          <w:rFonts w:hint="default"/>
          <w:lang w:val="en-US" w:eastAsia="zh-CN"/>
        </w:rPr>
      </w:pPr>
      <w:r>
        <w:rPr>
          <w:rFonts w:hint="eastAsia"/>
          <w:lang w:val="en-US" w:eastAsia="zh-CN"/>
        </w:rPr>
        <w:t>2.11.3、噪声</w:t>
      </w:r>
    </w:p>
    <w:p>
      <w:pPr>
        <w:bidi w:val="0"/>
        <w:rPr>
          <w:rFonts w:hint="default" w:ascii="Times New Roman" w:hAnsi="Times New Roman" w:eastAsia="宋体" w:cs="Times New Roman"/>
          <w:color w:val="000000"/>
          <w:sz w:val="24"/>
          <w:szCs w:val="24"/>
        </w:rPr>
      </w:pPr>
      <w:r>
        <w:rPr>
          <w:rFonts w:hint="eastAsia"/>
          <w:lang w:val="en-US" w:eastAsia="zh-CN"/>
        </w:rPr>
        <w:t>本次噪声监测情况引用《节水型工农业复合循环体系改造升级项目竣工环境保护验收监测报告》（甘肃沁园环保科技有限公司，2022年1月）中的监测数据进行说明，该验收报告中</w:t>
      </w:r>
      <w:r>
        <w:rPr>
          <w:rFonts w:hint="default" w:ascii="Times New Roman" w:hAnsi="Times New Roman" w:eastAsia="宋体" w:cs="Times New Roman"/>
          <w:color w:val="000000"/>
          <w:sz w:val="24"/>
          <w:szCs w:val="24"/>
        </w:rPr>
        <w:t>共布设</w:t>
      </w:r>
      <w:r>
        <w:rPr>
          <w:rFonts w:hint="default"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个</w:t>
      </w:r>
      <w:r>
        <w:rPr>
          <w:rFonts w:hint="eastAsia" w:ascii="Times New Roman" w:hAnsi="Times New Roman" w:cs="Times New Roman"/>
          <w:color w:val="000000"/>
          <w:sz w:val="24"/>
          <w:szCs w:val="24"/>
          <w:lang w:eastAsia="zh-CN"/>
        </w:rPr>
        <w:t>监测</w:t>
      </w:r>
      <w:r>
        <w:rPr>
          <w:rFonts w:hint="default" w:ascii="Times New Roman" w:hAnsi="Times New Roman" w:eastAsia="宋体" w:cs="Times New Roman"/>
          <w:color w:val="000000"/>
          <w:sz w:val="24"/>
          <w:szCs w:val="24"/>
        </w:rPr>
        <w:t>点，</w:t>
      </w:r>
      <w:r>
        <w:rPr>
          <w:rFonts w:hint="eastAsia" w:ascii="Times New Roman" w:hAnsi="Times New Roman" w:cs="Times New Roman"/>
          <w:color w:val="000000"/>
          <w:sz w:val="24"/>
          <w:szCs w:val="24"/>
          <w:lang w:eastAsia="zh-CN"/>
        </w:rPr>
        <w:t>监测</w:t>
      </w:r>
      <w:r>
        <w:rPr>
          <w:rFonts w:hint="default" w:ascii="Times New Roman" w:hAnsi="Times New Roman" w:eastAsia="宋体" w:cs="Times New Roman"/>
          <w:color w:val="000000"/>
          <w:sz w:val="24"/>
          <w:szCs w:val="24"/>
        </w:rPr>
        <w:t>结果</w:t>
      </w:r>
      <w:r>
        <w:rPr>
          <w:rFonts w:hint="default" w:ascii="Times New Roman" w:hAnsi="Times New Roman" w:eastAsia="宋体" w:cs="Times New Roman"/>
          <w:color w:val="000000"/>
          <w:sz w:val="24"/>
          <w:szCs w:val="24"/>
          <w:lang w:eastAsia="zh-CN"/>
        </w:rPr>
        <w:t>见表</w:t>
      </w:r>
      <w:r>
        <w:rPr>
          <w:rFonts w:hint="eastAsia" w:cs="Times New Roman"/>
          <w:color w:val="000000"/>
          <w:sz w:val="24"/>
          <w:szCs w:val="24"/>
          <w:lang w:val="en-US" w:eastAsia="zh-CN"/>
        </w:rPr>
        <w:t>2.15</w:t>
      </w:r>
      <w:r>
        <w:rPr>
          <w:rFonts w:hint="default" w:ascii="Times New Roman" w:hAnsi="Times New Roman" w:eastAsia="宋体" w:cs="Times New Roman"/>
          <w:color w:val="000000"/>
          <w:sz w:val="24"/>
          <w:szCs w:val="24"/>
          <w:lang w:val="en-US" w:eastAsia="zh-CN"/>
        </w:rPr>
        <w:t>。</w:t>
      </w:r>
    </w:p>
    <w:p>
      <w:pPr>
        <w:keepNext w:val="0"/>
        <w:keepLines w:val="0"/>
        <w:suppressLineNumbers w:val="0"/>
        <w:tabs>
          <w:tab w:val="left" w:pos="1050"/>
        </w:tabs>
        <w:spacing w:before="0" w:beforeAutospacing="0" w:after="0" w:afterAutospacing="0" w:line="240" w:lineRule="auto"/>
        <w:ind w:left="0" w:right="0"/>
        <w:jc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sz w:val="24"/>
          <w:szCs w:val="24"/>
        </w:rPr>
        <w:t>表</w:t>
      </w:r>
      <w:r>
        <w:rPr>
          <w:rFonts w:hint="eastAsia" w:cs="Times New Roman"/>
          <w:b/>
          <w:color w:val="000000"/>
          <w:sz w:val="24"/>
          <w:szCs w:val="24"/>
          <w:lang w:val="en-US" w:eastAsia="zh-CN"/>
        </w:rPr>
        <w:t>2.15</w:t>
      </w:r>
      <w:r>
        <w:rPr>
          <w:rFonts w:hint="eastAsia" w:ascii="Times New Roman" w:hAnsi="Times New Roman" w:cs="Times New Roman"/>
          <w:b/>
          <w:color w:val="000000"/>
          <w:sz w:val="24"/>
          <w:szCs w:val="24"/>
          <w:lang w:val="en-US" w:eastAsia="zh-CN"/>
        </w:rPr>
        <w:t xml:space="preserve">  </w:t>
      </w:r>
      <w:r>
        <w:rPr>
          <w:rFonts w:hint="default" w:ascii="Times New Roman" w:hAnsi="Times New Roman" w:eastAsia="宋体" w:cs="Times New Roman"/>
          <w:b/>
          <w:color w:val="000000"/>
          <w:sz w:val="24"/>
          <w:szCs w:val="24"/>
        </w:rPr>
        <w:t xml:space="preserve">  噪声</w:t>
      </w:r>
      <w:r>
        <w:rPr>
          <w:rFonts w:hint="eastAsia" w:ascii="Times New Roman" w:hAnsi="Times New Roman" w:cs="Times New Roman"/>
          <w:b/>
          <w:color w:val="000000"/>
          <w:sz w:val="24"/>
          <w:szCs w:val="24"/>
          <w:lang w:eastAsia="zh-CN"/>
        </w:rPr>
        <w:t>监测</w:t>
      </w:r>
      <w:r>
        <w:rPr>
          <w:rFonts w:hint="default" w:ascii="Times New Roman" w:hAnsi="Times New Roman" w:eastAsia="宋体" w:cs="Times New Roman"/>
          <w:b/>
          <w:color w:val="000000"/>
          <w:sz w:val="24"/>
          <w:szCs w:val="24"/>
        </w:rPr>
        <w:t>结果</w:t>
      </w:r>
      <w:r>
        <w:rPr>
          <w:rFonts w:hint="default" w:ascii="Times New Roman" w:hAnsi="Times New Roman" w:eastAsia="宋体" w:cs="Times New Roman"/>
          <w:b/>
          <w:color w:val="000000"/>
          <w:sz w:val="24"/>
          <w:szCs w:val="24"/>
          <w:lang w:val="en-US" w:eastAsia="zh-CN"/>
        </w:rPr>
        <w:t xml:space="preserve"> </w:t>
      </w:r>
      <w:r>
        <w:rPr>
          <w:rFonts w:hint="default" w:ascii="Times New Roman" w:hAnsi="Times New Roman" w:eastAsia="宋体" w:cs="Times New Roman"/>
          <w:b/>
          <w:color w:val="000000"/>
          <w:sz w:val="24"/>
          <w:szCs w:val="24"/>
        </w:rPr>
        <w:t>单位：dB(A)</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0"/>
        <w:gridCol w:w="959"/>
        <w:gridCol w:w="762"/>
        <w:gridCol w:w="886"/>
        <w:gridCol w:w="1121"/>
        <w:gridCol w:w="697"/>
        <w:gridCol w:w="866"/>
        <w:gridCol w:w="1096"/>
        <w:gridCol w:w="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点位</w:t>
            </w:r>
          </w:p>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编号</w:t>
            </w:r>
          </w:p>
        </w:tc>
        <w:tc>
          <w:tcPr>
            <w:tcW w:w="4218" w:type="pct"/>
            <w:gridSpan w:val="8"/>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检测日期：2021年12月24日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p>
        </w:tc>
        <w:tc>
          <w:tcPr>
            <w:tcW w:w="563"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功能区类型</w:t>
            </w:r>
          </w:p>
        </w:tc>
        <w:tc>
          <w:tcPr>
            <w:tcW w:w="1625"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昼间（6:00-22:00）</w:t>
            </w:r>
          </w:p>
        </w:tc>
        <w:tc>
          <w:tcPr>
            <w:tcW w:w="2029" w:type="pct"/>
            <w:gridSpan w:val="4"/>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夜间（22:00-次日6:00）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p>
        </w:tc>
        <w:tc>
          <w:tcPr>
            <w:tcW w:w="563"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时间</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测定值</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标准限值</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时间</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测定值</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标准限值</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厂界东侧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09:35</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51.4</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22:10</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43.6</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厂界南侧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09:56</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53.7</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22:24</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46.4</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厂界西侧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10:12</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50.3</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22:42</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42.2</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厂界北侧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10:27</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52.5</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22:58</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43.1</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备注</w:t>
            </w:r>
          </w:p>
        </w:tc>
        <w:tc>
          <w:tcPr>
            <w:tcW w:w="4218" w:type="pct"/>
            <w:gridSpan w:val="8"/>
            <w:tcBorders>
              <w:tl2br w:val="nil"/>
              <w:tr2bl w:val="nil"/>
            </w:tcBorders>
            <w:noWrap w:val="0"/>
            <w:vAlign w:val="center"/>
          </w:tcPr>
          <w:p>
            <w:pPr>
              <w:bidi w:val="0"/>
              <w:spacing w:line="240" w:lineRule="auto"/>
              <w:ind w:left="0" w:leftChars="0" w:firstLine="0" w:firstLineChars="0"/>
              <w:jc w:val="both"/>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检测时昼间晴，夜间晴，昼间风速2.4m/s，夜间风速2.7/s。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点位</w:t>
            </w:r>
          </w:p>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编号</w:t>
            </w:r>
          </w:p>
        </w:tc>
        <w:tc>
          <w:tcPr>
            <w:tcW w:w="4218" w:type="pct"/>
            <w:gridSpan w:val="8"/>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检测日期：2021年12月25日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p>
        </w:tc>
        <w:tc>
          <w:tcPr>
            <w:tcW w:w="563" w:type="pct"/>
            <w:vMerge w:val="restar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功能区类型</w:t>
            </w:r>
          </w:p>
        </w:tc>
        <w:tc>
          <w:tcPr>
            <w:tcW w:w="1625" w:type="pct"/>
            <w:gridSpan w:val="3"/>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昼间（6:00-22:00）</w:t>
            </w:r>
          </w:p>
        </w:tc>
        <w:tc>
          <w:tcPr>
            <w:tcW w:w="2029" w:type="pct"/>
            <w:gridSpan w:val="4"/>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夜间（22:00-次日6:00）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p>
        </w:tc>
        <w:tc>
          <w:tcPr>
            <w:tcW w:w="563" w:type="pct"/>
            <w:vMerge w:val="continue"/>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时间</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测定值</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标准限值</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时间</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测定值</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标准限值</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b/>
                <w:bCs/>
                <w:color w:val="auto"/>
                <w:spacing w:val="0"/>
                <w:w w:val="100"/>
                <w:kern w:val="2"/>
                <w:position w:val="0"/>
                <w:sz w:val="21"/>
                <w:szCs w:val="21"/>
                <w:u w:val="none"/>
                <w:shd w:val="clear" w:color="auto" w:fill="auto"/>
                <w:vertAlign w:val="baseline"/>
                <w:lang w:val="en-US" w:eastAsia="zh-CN" w:bidi="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330" w:type="dxa"/>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厂界东侧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09:25</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51.7</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22:05</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43.3</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330" w:type="dxa"/>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厂界南侧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09:43</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53.9</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22:20</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46.7</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330" w:type="dxa"/>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厂界西侧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10:00</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50.2</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22:36</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42.1</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1330" w:type="dxa"/>
            <w:tcBorders>
              <w:tl2br w:val="nil"/>
              <w:tr2bl w:val="nil"/>
            </w:tcBorders>
            <w:noWrap w:val="0"/>
            <w:vAlign w:val="center"/>
          </w:tcPr>
          <w:p>
            <w:pPr>
              <w:pStyle w:val="103"/>
              <w:bidi w:val="0"/>
              <w:spacing w:line="240" w:lineRule="auto"/>
              <w:ind w:firstLine="0" w:firstLineChars="0"/>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sz w:val="21"/>
                <w:szCs w:val="21"/>
                <w:lang w:val="en-US" w:eastAsia="zh-CN"/>
              </w:rPr>
              <w:t>厂界北侧</w:t>
            </w:r>
          </w:p>
        </w:tc>
        <w:tc>
          <w:tcPr>
            <w:tcW w:w="56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3类</w:t>
            </w:r>
          </w:p>
        </w:tc>
        <w:tc>
          <w:tcPr>
            <w:tcW w:w="44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10:15</w:t>
            </w:r>
          </w:p>
        </w:tc>
        <w:tc>
          <w:tcPr>
            <w:tcW w:w="520"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52.3</w:t>
            </w:r>
          </w:p>
        </w:tc>
        <w:tc>
          <w:tcPr>
            <w:tcW w:w="657"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65</w:t>
            </w:r>
          </w:p>
        </w:tc>
        <w:tc>
          <w:tcPr>
            <w:tcW w:w="409"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22:51</w:t>
            </w:r>
          </w:p>
        </w:tc>
        <w:tc>
          <w:tcPr>
            <w:tcW w:w="50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42.9</w:t>
            </w:r>
          </w:p>
        </w:tc>
        <w:tc>
          <w:tcPr>
            <w:tcW w:w="643"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55</w:t>
            </w:r>
          </w:p>
        </w:tc>
        <w:tc>
          <w:tcPr>
            <w:tcW w:w="468"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781" w:type="pct"/>
            <w:tcBorders>
              <w:tl2br w:val="nil"/>
              <w:tr2bl w:val="nil"/>
            </w:tcBorders>
            <w:noWrap w:val="0"/>
            <w:vAlign w:val="center"/>
          </w:tcPr>
          <w:p>
            <w:pPr>
              <w:bidi w:val="0"/>
              <w:spacing w:line="240" w:lineRule="auto"/>
              <w:ind w:left="0" w:leftChars="0" w:firstLine="0" w:firstLineChars="0"/>
              <w:jc w:val="cente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备注</w:t>
            </w:r>
          </w:p>
        </w:tc>
        <w:tc>
          <w:tcPr>
            <w:tcW w:w="4218" w:type="pct"/>
            <w:gridSpan w:val="8"/>
            <w:tcBorders>
              <w:tl2br w:val="nil"/>
              <w:tr2bl w:val="nil"/>
            </w:tcBorders>
            <w:noWrap w:val="0"/>
            <w:vAlign w:val="center"/>
          </w:tcPr>
          <w:p>
            <w:pPr>
              <w:bidi w:val="0"/>
              <w:spacing w:line="240" w:lineRule="auto"/>
              <w:ind w:left="0" w:leftChars="0" w:firstLine="0" w:firstLineChars="0"/>
              <w:jc w:val="both"/>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pPr>
            <w:r>
              <w:rPr>
                <w:rFonts w:hint="default" w:ascii="Times New Roman" w:hAnsi="Times New Roman" w:eastAsia="宋体" w:cs="Times New Roman"/>
                <w:color w:val="auto"/>
                <w:spacing w:val="0"/>
                <w:w w:val="100"/>
                <w:kern w:val="2"/>
                <w:position w:val="0"/>
                <w:sz w:val="21"/>
                <w:szCs w:val="21"/>
                <w:u w:val="none"/>
                <w:shd w:val="clear" w:color="auto" w:fill="auto"/>
                <w:vertAlign w:val="baseline"/>
                <w:lang w:val="en-US" w:eastAsia="zh-CN" w:bidi="zh-CN"/>
              </w:rPr>
              <w:t>检测时昼间晴，夜间晴，昼间风速2.5m/s，夜间风速2.6m/s。</w:t>
            </w:r>
          </w:p>
        </w:tc>
      </w:tr>
    </w:tbl>
    <w:p>
      <w:pPr>
        <w:pStyle w:val="107"/>
        <w:widowControl/>
        <w:spacing w:before="0" w:beforeAutospacing="0" w:after="0" w:afterAutospacing="0" w:line="360" w:lineRule="auto"/>
        <w:ind w:left="0" w:right="0" w:firstLine="480" w:firstLineChars="200"/>
        <w:jc w:val="both"/>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由上表可知</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各</w:t>
      </w:r>
      <w:r>
        <w:rPr>
          <w:rFonts w:hint="eastAsia" w:ascii="Times New Roman" w:hAnsi="Times New Roman" w:cs="Times New Roman"/>
          <w:color w:val="auto"/>
          <w:sz w:val="24"/>
          <w:szCs w:val="24"/>
          <w:lang w:eastAsia="zh-CN"/>
        </w:rPr>
        <w:t>监测</w:t>
      </w:r>
      <w:r>
        <w:rPr>
          <w:rFonts w:hint="default" w:ascii="Times New Roman" w:hAnsi="Times New Roman" w:eastAsia="宋体" w:cs="Times New Roman"/>
          <w:color w:val="auto"/>
          <w:sz w:val="24"/>
          <w:szCs w:val="24"/>
          <w:lang w:eastAsia="zh-CN"/>
        </w:rPr>
        <w:t>点位</w:t>
      </w:r>
      <w:r>
        <w:rPr>
          <w:rFonts w:hint="default" w:ascii="Times New Roman" w:hAnsi="Times New Roman" w:eastAsia="宋体" w:cs="Times New Roman"/>
          <w:color w:val="auto"/>
          <w:sz w:val="24"/>
          <w:szCs w:val="24"/>
        </w:rPr>
        <w:t>厂界</w:t>
      </w:r>
      <w:r>
        <w:rPr>
          <w:rFonts w:hint="default" w:ascii="Times New Roman" w:hAnsi="Times New Roman" w:eastAsia="宋体" w:cs="Times New Roman"/>
          <w:color w:val="auto"/>
          <w:sz w:val="24"/>
          <w:szCs w:val="24"/>
          <w:lang w:eastAsia="zh-CN"/>
        </w:rPr>
        <w:t>环境</w:t>
      </w:r>
      <w:r>
        <w:rPr>
          <w:rFonts w:hint="default" w:ascii="Times New Roman" w:hAnsi="Times New Roman" w:eastAsia="宋体" w:cs="Times New Roman"/>
          <w:color w:val="auto"/>
          <w:sz w:val="24"/>
          <w:szCs w:val="24"/>
        </w:rPr>
        <w:t>噪声</w:t>
      </w:r>
      <w:r>
        <w:rPr>
          <w:rFonts w:hint="eastAsia" w:ascii="Times New Roman" w:hAnsi="Times New Roman" w:cs="Times New Roman"/>
          <w:color w:val="auto"/>
          <w:sz w:val="24"/>
          <w:szCs w:val="24"/>
          <w:lang w:eastAsia="zh-CN"/>
        </w:rPr>
        <w:t>监测</w:t>
      </w:r>
      <w:r>
        <w:rPr>
          <w:rFonts w:hint="default" w:ascii="Times New Roman" w:hAnsi="Times New Roman" w:eastAsia="宋体" w:cs="Times New Roman"/>
          <w:color w:val="auto"/>
          <w:sz w:val="24"/>
          <w:szCs w:val="24"/>
          <w:lang w:eastAsia="zh-CN"/>
        </w:rPr>
        <w:t>值均满足</w:t>
      </w:r>
      <w:r>
        <w:rPr>
          <w:rFonts w:hint="default" w:ascii="Times New Roman" w:hAnsi="Times New Roman" w:eastAsia="宋体" w:cs="Times New Roman"/>
          <w:color w:val="auto"/>
          <w:sz w:val="24"/>
          <w:szCs w:val="24"/>
        </w:rPr>
        <w:t>《工业企业厂界环境噪声排放标准》（GB12348-2008）</w:t>
      </w:r>
      <w:r>
        <w:rPr>
          <w:rFonts w:hint="eastAsia" w:ascii="Times New Roman" w:hAnsi="Times New Roman" w:eastAsia="宋体" w:cs="Times New Roman"/>
          <w:color w:val="auto"/>
          <w:sz w:val="24"/>
          <w:szCs w:val="24"/>
          <w:lang w:val="en-US" w:eastAsia="zh-CN"/>
        </w:rPr>
        <w:t>3类</w:t>
      </w:r>
      <w:r>
        <w:rPr>
          <w:rFonts w:hint="default" w:ascii="Times New Roman" w:hAnsi="Times New Roman" w:eastAsia="宋体" w:cs="Times New Roman"/>
          <w:color w:val="auto"/>
          <w:sz w:val="24"/>
          <w:szCs w:val="24"/>
          <w:lang w:eastAsia="zh-CN"/>
        </w:rPr>
        <w:t>功能区</w:t>
      </w:r>
      <w:r>
        <w:rPr>
          <w:rFonts w:hint="default" w:ascii="Times New Roman" w:hAnsi="Times New Roman" w:eastAsia="宋体" w:cs="Times New Roman"/>
          <w:color w:val="auto"/>
          <w:sz w:val="24"/>
          <w:szCs w:val="24"/>
        </w:rPr>
        <w:t>标准限值</w:t>
      </w:r>
      <w:r>
        <w:rPr>
          <w:rFonts w:hint="default" w:ascii="Times New Roman" w:hAnsi="Times New Roman" w:eastAsia="宋体" w:cs="Times New Roman"/>
          <w:color w:val="auto"/>
          <w:sz w:val="24"/>
          <w:szCs w:val="24"/>
          <w:lang w:eastAsia="zh-CN"/>
        </w:rPr>
        <w:t>。</w:t>
      </w:r>
    </w:p>
    <w:p>
      <w:pPr>
        <w:pStyle w:val="6"/>
        <w:bidi w:val="0"/>
        <w:rPr>
          <w:rFonts w:hint="default"/>
          <w:lang w:val="en-US" w:eastAsia="zh-CN"/>
        </w:rPr>
      </w:pPr>
      <w:r>
        <w:rPr>
          <w:rFonts w:hint="eastAsia"/>
          <w:lang w:val="en-US" w:eastAsia="zh-CN"/>
        </w:rPr>
        <w:t>2.11.4、固废</w:t>
      </w:r>
    </w:p>
    <w:p>
      <w:pPr>
        <w:bidi w:val="0"/>
        <w:rPr>
          <w:rFonts w:hint="default"/>
          <w:lang w:val="en-US" w:eastAsia="zh-CN"/>
        </w:rPr>
      </w:pPr>
      <w:r>
        <w:rPr>
          <w:rFonts w:hint="eastAsia"/>
          <w:lang w:val="en-US" w:eastAsia="zh-CN"/>
        </w:rPr>
        <w:t>经调查，厂区固废都的到了合理的处置，未发生随意堆放、随意丢弃的现象。</w:t>
      </w:r>
    </w:p>
    <w:p>
      <w:pPr>
        <w:pStyle w:val="5"/>
        <w:bidi w:val="0"/>
      </w:pPr>
      <w:bookmarkStart w:id="466" w:name="_Toc12499"/>
      <w:r>
        <w:t>2.1</w:t>
      </w:r>
      <w:r>
        <w:rPr>
          <w:rFonts w:hint="eastAsia"/>
          <w:lang w:val="en-US" w:eastAsia="zh-CN"/>
        </w:rPr>
        <w:t>2</w:t>
      </w:r>
      <w:r>
        <w:rPr>
          <w:rFonts w:hint="eastAsia"/>
          <w:lang w:eastAsia="zh-CN"/>
        </w:rPr>
        <w:t>、</w:t>
      </w:r>
      <w:r>
        <w:t>现有工程存在的环保问题</w:t>
      </w:r>
      <w:bookmarkEnd w:id="466"/>
    </w:p>
    <w:p>
      <w:pPr>
        <w:bidi w:val="0"/>
        <w:rPr>
          <w:rFonts w:hint="eastAsia"/>
          <w:lang w:val="en-US" w:eastAsia="zh-CN"/>
        </w:rPr>
      </w:pPr>
      <w:r>
        <w:rPr>
          <w:rFonts w:hint="eastAsia"/>
          <w:lang w:val="en-US" w:eastAsia="zh-CN"/>
        </w:rPr>
        <w:t>综上，企业在生产过程中产生的污染物都能实现达标排放，对周边环境影响较小，目前企业存在的主要问题为：企业对日常自行监测数据保存不规范，未按照要求进行严格保存，本次要求建设单位对自行监测数据进行规范储存，完善企业环保制度</w:t>
      </w:r>
      <w:r>
        <w:rPr>
          <w:rFonts w:hint="eastAsia"/>
        </w:rPr>
        <w:t>。</w:t>
      </w:r>
    </w:p>
    <w:p>
      <w:pPr>
        <w:bidi w:val="0"/>
        <w:ind w:left="0" w:leftChars="0" w:firstLine="0" w:firstLineChars="0"/>
        <w:rPr>
          <w:rFonts w:hint="eastAsia"/>
        </w:rPr>
      </w:pPr>
    </w:p>
    <w:p>
      <w:pPr>
        <w:bidi w:val="0"/>
        <w:rPr>
          <w:rFonts w:hint="eastAsia"/>
        </w:rPr>
        <w:sectPr>
          <w:pgSz w:w="11906" w:h="16838"/>
          <w:pgMar w:top="1440" w:right="1800" w:bottom="1440" w:left="1800" w:header="964"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467" w:name="_Toc2199"/>
      <w:r>
        <w:rPr>
          <w:rFonts w:hint="eastAsia"/>
          <w:lang w:val="en-US" w:eastAsia="zh-CN"/>
        </w:rPr>
        <w:t>3、拟建</w:t>
      </w:r>
      <w:r>
        <w:rPr>
          <w:rFonts w:hint="eastAsia"/>
        </w:rPr>
        <w:t>项目概况及工程分析</w:t>
      </w:r>
      <w:bookmarkEnd w:id="419"/>
      <w:bookmarkEnd w:id="467"/>
    </w:p>
    <w:p>
      <w:pPr>
        <w:pStyle w:val="5"/>
        <w:spacing w:before="78" w:after="78" w:line="240" w:lineRule="auto"/>
        <w:ind w:firstLine="562"/>
      </w:pPr>
      <w:bookmarkStart w:id="468" w:name="_Toc13587"/>
      <w:bookmarkStart w:id="469" w:name="_Toc24286"/>
      <w:bookmarkStart w:id="470" w:name="_Toc30115_WPSOffice_Level1"/>
      <w:bookmarkStart w:id="471" w:name="_Toc15986"/>
      <w:bookmarkStart w:id="472" w:name="_Toc31822"/>
      <w:bookmarkStart w:id="473" w:name="_Toc31724"/>
      <w:bookmarkStart w:id="474" w:name="_Toc32278"/>
      <w:r>
        <w:rPr>
          <w:rFonts w:hint="eastAsia"/>
          <w:lang w:val="en-US" w:eastAsia="zh-CN"/>
        </w:rPr>
        <w:t>3</w:t>
      </w:r>
      <w:r>
        <w:rPr>
          <w:rFonts w:hint="eastAsia"/>
        </w:rPr>
        <w:t>.1、</w:t>
      </w:r>
      <w:r>
        <w:rPr>
          <w:rFonts w:hint="eastAsia"/>
          <w:lang w:val="en-US" w:eastAsia="zh-CN"/>
        </w:rPr>
        <w:t>拟建</w:t>
      </w:r>
      <w:r>
        <w:rPr>
          <w:rFonts w:hint="eastAsia"/>
        </w:rPr>
        <w:t>项目概况</w:t>
      </w:r>
      <w:bookmarkEnd w:id="468"/>
      <w:bookmarkEnd w:id="469"/>
    </w:p>
    <w:p>
      <w:pPr>
        <w:pStyle w:val="6"/>
        <w:ind w:firstLine="482"/>
      </w:pPr>
      <w:bookmarkStart w:id="475" w:name="_Toc680"/>
      <w:r>
        <w:rPr>
          <w:rFonts w:hint="eastAsia"/>
          <w:lang w:val="en-US" w:eastAsia="zh-CN"/>
        </w:rPr>
        <w:t>3</w:t>
      </w:r>
      <w:r>
        <w:rPr>
          <w:rFonts w:hint="eastAsia"/>
        </w:rPr>
        <w:t>.1.1、</w:t>
      </w:r>
      <w:r>
        <w:rPr>
          <w:rFonts w:hint="eastAsia"/>
          <w:lang w:val="en-US" w:eastAsia="zh-CN"/>
        </w:rPr>
        <w:t>拟建</w:t>
      </w:r>
      <w:r>
        <w:t>项目基本情况</w:t>
      </w:r>
      <w:bookmarkEnd w:id="475"/>
    </w:p>
    <w:p>
      <w:pPr>
        <w:ind w:firstLine="480"/>
      </w:pPr>
      <w:r>
        <w:t>（1）项目名称：</w:t>
      </w:r>
      <w:r>
        <w:rPr>
          <w:rFonts w:hint="eastAsia"/>
          <w:lang w:val="en-US" w:eastAsia="zh-CN"/>
        </w:rPr>
        <w:t>沅博60万只肉羊精深分割及牛羊预制品加工项目</w:t>
      </w:r>
    </w:p>
    <w:p>
      <w:pPr>
        <w:ind w:firstLine="480"/>
      </w:pPr>
      <w:r>
        <w:t>（2）建设性质：新建</w:t>
      </w:r>
    </w:p>
    <w:p>
      <w:pPr>
        <w:ind w:firstLine="480"/>
      </w:pPr>
      <w:r>
        <w:t>（3）建设单位：</w:t>
      </w:r>
      <w:r>
        <w:rPr>
          <w:rFonts w:hint="eastAsia"/>
          <w:lang w:val="en-US" w:eastAsia="zh-CN"/>
        </w:rPr>
        <w:t>张掖市沅博农牧产业开发有限公司</w:t>
      </w:r>
    </w:p>
    <w:p>
      <w:pPr>
        <w:ind w:firstLine="480"/>
      </w:pPr>
      <w:r>
        <w:t>（4）项目投资：项目总投资</w:t>
      </w:r>
      <w:r>
        <w:rPr>
          <w:rFonts w:hint="eastAsia"/>
          <w:lang w:val="en-US" w:eastAsia="zh-CN"/>
        </w:rPr>
        <w:t>6000</w:t>
      </w:r>
      <w:r>
        <w:t>万元</w:t>
      </w:r>
    </w:p>
    <w:p>
      <w:pPr>
        <w:ind w:firstLine="480"/>
      </w:pPr>
      <w:r>
        <w:t>（5）行业类别：C</w:t>
      </w:r>
      <w:r>
        <w:rPr>
          <w:rFonts w:hint="eastAsia"/>
        </w:rPr>
        <w:t>1351牲畜屠宰</w:t>
      </w:r>
      <w:r>
        <w:t>、C</w:t>
      </w:r>
      <w:r>
        <w:rPr>
          <w:rFonts w:hint="eastAsia"/>
        </w:rPr>
        <w:t>1353</w:t>
      </w:r>
      <w:r>
        <w:t>肉制品及副产品加工</w:t>
      </w:r>
    </w:p>
    <w:p>
      <w:pPr>
        <w:pStyle w:val="6"/>
        <w:ind w:firstLine="482"/>
      </w:pPr>
      <w:bookmarkStart w:id="476" w:name="_Toc29306"/>
      <w:r>
        <w:rPr>
          <w:rFonts w:hint="eastAsia"/>
          <w:lang w:val="en-US" w:eastAsia="zh-CN"/>
        </w:rPr>
        <w:t>3</w:t>
      </w:r>
      <w:r>
        <w:t>.1</w:t>
      </w:r>
      <w:r>
        <w:rPr>
          <w:rFonts w:hint="eastAsia"/>
        </w:rPr>
        <w:t>.2、</w:t>
      </w:r>
      <w:r>
        <w:rPr>
          <w:rFonts w:hint="eastAsia"/>
          <w:lang w:val="en-US" w:eastAsia="zh-CN"/>
        </w:rPr>
        <w:t>拟建</w:t>
      </w:r>
      <w:r>
        <w:t>项目地理位置</w:t>
      </w:r>
      <w:bookmarkEnd w:id="470"/>
      <w:bookmarkEnd w:id="476"/>
    </w:p>
    <w:p>
      <w:pPr>
        <w:spacing w:line="500" w:lineRule="exact"/>
        <w:ind w:firstLine="480"/>
      </w:pPr>
      <w:r>
        <w:rPr>
          <w:rFonts w:hint="eastAsia"/>
        </w:rPr>
        <w:t>本项目位于</w:t>
      </w:r>
      <w:r>
        <w:rPr>
          <w:rFonts w:hint="eastAsia"/>
          <w:lang w:eastAsia="zh-CN"/>
        </w:rPr>
        <w:t>张掖市甘州区巴吉滩农产品产业园</w:t>
      </w:r>
      <w:r>
        <w:rPr>
          <w:rFonts w:hint="eastAsia"/>
          <w:lang w:val="en-US" w:eastAsia="zh-CN"/>
        </w:rPr>
        <w:t>张掖市沅博农牧产业开发有限公司</w:t>
      </w:r>
      <w:r>
        <w:rPr>
          <w:rFonts w:hint="eastAsia"/>
        </w:rPr>
        <w:t>院内</w:t>
      </w:r>
      <w:r>
        <w:t>，</w:t>
      </w:r>
      <w:r>
        <w:rPr>
          <w:rFonts w:hint="eastAsia"/>
          <w:lang w:val="en-US" w:eastAsia="zh-CN"/>
        </w:rPr>
        <w:t>张掖市沅博农牧产业开发有限公司</w:t>
      </w:r>
      <w:r>
        <w:t>厂界北侧、东侧及西侧均为农田，东南角隔农田为张掖市嘉禾食品有限公司，厂界南侧隔张肃公路为甘肃恒基种业有限责任公司</w:t>
      </w:r>
      <w:r>
        <w:rPr>
          <w:rFonts w:hint="eastAsia"/>
        </w:rPr>
        <w:t>。</w:t>
      </w:r>
    </w:p>
    <w:p>
      <w:pPr>
        <w:spacing w:line="500" w:lineRule="exact"/>
        <w:ind w:firstLine="480"/>
        <w:rPr>
          <w:color w:val="FF0000"/>
        </w:rPr>
      </w:pPr>
      <w:r>
        <w:rPr>
          <w:rFonts w:hint="eastAsia"/>
        </w:rPr>
        <w:t>拟建项目建设位置总体上位于</w:t>
      </w:r>
      <w:r>
        <w:rPr>
          <w:rFonts w:hint="eastAsia"/>
          <w:lang w:val="en-US" w:eastAsia="zh-CN"/>
        </w:rPr>
        <w:t>张掖市沅博农牧产业开发有限公司院内（</w:t>
      </w:r>
      <w:r>
        <w:rPr>
          <w:rFonts w:hint="eastAsia"/>
        </w:rPr>
        <w:t>南侧</w:t>
      </w:r>
      <w:r>
        <w:rPr>
          <w:rFonts w:hint="eastAsia"/>
          <w:lang w:val="en-US" w:eastAsia="zh-CN"/>
        </w:rPr>
        <w:t>）</w:t>
      </w:r>
      <w:r>
        <w:rPr>
          <w:rFonts w:hint="eastAsia"/>
        </w:rPr>
        <w:t>，项目建设区域东侧为</w:t>
      </w:r>
      <w:r>
        <w:rPr>
          <w:rFonts w:hint="eastAsia"/>
          <w:lang w:val="en-US" w:eastAsia="zh-CN"/>
        </w:rPr>
        <w:t>现有的肉牛精深加工生产车间</w:t>
      </w:r>
      <w:r>
        <w:rPr>
          <w:rFonts w:hint="eastAsia"/>
        </w:rPr>
        <w:t>，南侧为厂区</w:t>
      </w:r>
      <w:r>
        <w:rPr>
          <w:rFonts w:hint="eastAsia"/>
          <w:lang w:val="en-US" w:eastAsia="zh-CN"/>
        </w:rPr>
        <w:t>围墙</w:t>
      </w:r>
      <w:r>
        <w:rPr>
          <w:rFonts w:hint="eastAsia"/>
        </w:rPr>
        <w:t>，西侧为厂区</w:t>
      </w:r>
      <w:r>
        <w:rPr>
          <w:rFonts w:hint="eastAsia"/>
          <w:lang w:val="en-US" w:eastAsia="zh-CN"/>
        </w:rPr>
        <w:t>限值房屋</w:t>
      </w:r>
      <w:r>
        <w:rPr>
          <w:rFonts w:hint="eastAsia"/>
        </w:rPr>
        <w:t>，北侧为厂区</w:t>
      </w:r>
      <w:r>
        <w:rPr>
          <w:rFonts w:hint="eastAsia"/>
          <w:lang w:val="en-US" w:eastAsia="zh-CN"/>
        </w:rPr>
        <w:t>现有的污水处理站、锅炉房等</w:t>
      </w:r>
      <w:r>
        <w:t>。</w:t>
      </w:r>
      <w:r>
        <w:rPr>
          <w:rFonts w:hint="eastAsia"/>
        </w:rPr>
        <w:t>项目建设区域交通便利，基础设施完善，能够满足本项目的生产需求。项目具体的地理位置图详见附图7，周边关系图详见附图8。</w:t>
      </w:r>
    </w:p>
    <w:p>
      <w:pPr>
        <w:pStyle w:val="5"/>
        <w:spacing w:before="78" w:after="78"/>
        <w:ind w:firstLine="562"/>
      </w:pPr>
      <w:bookmarkStart w:id="477" w:name="_Toc16960"/>
      <w:bookmarkStart w:id="478" w:name="_Toc16195"/>
      <w:bookmarkStart w:id="479" w:name="_Toc28716_WPSOffice_Level1"/>
      <w:r>
        <w:rPr>
          <w:rFonts w:hint="eastAsia"/>
          <w:lang w:val="en-US" w:eastAsia="zh-CN"/>
        </w:rPr>
        <w:t>3</w:t>
      </w:r>
      <w:r>
        <w:rPr>
          <w:rFonts w:hint="eastAsia"/>
        </w:rPr>
        <w:t>.2、</w:t>
      </w:r>
      <w:r>
        <w:rPr>
          <w:rFonts w:hint="eastAsia"/>
          <w:lang w:val="en-US" w:eastAsia="zh-CN"/>
        </w:rPr>
        <w:t>拟建</w:t>
      </w:r>
      <w:r>
        <w:t>项目</w:t>
      </w:r>
      <w:r>
        <w:rPr>
          <w:rFonts w:hint="eastAsia"/>
        </w:rPr>
        <w:t>建设内容及规模</w:t>
      </w:r>
      <w:bookmarkEnd w:id="477"/>
      <w:bookmarkEnd w:id="478"/>
    </w:p>
    <w:p>
      <w:pPr>
        <w:pStyle w:val="6"/>
        <w:ind w:firstLine="482"/>
      </w:pPr>
      <w:bookmarkStart w:id="480" w:name="_Toc21086"/>
      <w:r>
        <w:rPr>
          <w:rFonts w:hint="eastAsia"/>
          <w:lang w:val="en-US" w:eastAsia="zh-CN"/>
        </w:rPr>
        <w:t>3</w:t>
      </w:r>
      <w:r>
        <w:rPr>
          <w:rFonts w:hint="eastAsia"/>
        </w:rPr>
        <w:t>.2.1、</w:t>
      </w:r>
      <w:r>
        <w:rPr>
          <w:rFonts w:hint="eastAsia"/>
          <w:lang w:val="en-US" w:eastAsia="zh-CN"/>
        </w:rPr>
        <w:t>拟建</w:t>
      </w:r>
      <w:r>
        <w:t>项目项目组成</w:t>
      </w:r>
      <w:bookmarkEnd w:id="480"/>
    </w:p>
    <w:p>
      <w:pPr>
        <w:ind w:firstLine="480"/>
      </w:pPr>
      <w:r>
        <w:t>本项目总用地面积为</w:t>
      </w:r>
      <w:r>
        <w:rPr>
          <w:rFonts w:hint="eastAsia"/>
          <w:lang w:val="en-US" w:eastAsia="zh-CN"/>
        </w:rPr>
        <w:t>19886</w:t>
      </w:r>
      <w:r>
        <w:t>m</w:t>
      </w:r>
      <w:r>
        <w:rPr>
          <w:vertAlign w:val="superscript"/>
        </w:rPr>
        <w:t>2</w:t>
      </w:r>
      <w:r>
        <w:t>，</w:t>
      </w:r>
      <w:r>
        <w:rPr>
          <w:rFonts w:hint="eastAsia"/>
          <w:lang w:val="en-US" w:eastAsia="zh-CN"/>
        </w:rPr>
        <w:t>主要建设有待宰圈1座，占地面积540m</w:t>
      </w:r>
      <w:r>
        <w:rPr>
          <w:rFonts w:hint="eastAsia"/>
          <w:vertAlign w:val="superscript"/>
          <w:lang w:val="en-US" w:eastAsia="zh-CN"/>
        </w:rPr>
        <w:t>2</w:t>
      </w:r>
      <w:r>
        <w:rPr>
          <w:rFonts w:hint="eastAsia"/>
          <w:lang w:val="en-US" w:eastAsia="zh-CN"/>
        </w:rPr>
        <w:t>；</w:t>
      </w:r>
      <w:r>
        <w:rPr>
          <w:rFonts w:hint="eastAsia"/>
        </w:rPr>
        <w:t>综合车间1座</w:t>
      </w:r>
      <w:r>
        <w:rPr>
          <w:rFonts w:hint="eastAsia"/>
          <w:lang w:eastAsia="zh-CN"/>
        </w:rPr>
        <w:t>（</w:t>
      </w:r>
      <w:r>
        <w:rPr>
          <w:rFonts w:hint="eastAsia"/>
          <w:lang w:val="en-US" w:eastAsia="zh-CN"/>
        </w:rPr>
        <w:t>含肉羊屠宰间、分割间、速冻间、包装间和牛羊预制品生产间等</w:t>
      </w:r>
      <w:r>
        <w:rPr>
          <w:rFonts w:hint="eastAsia"/>
          <w:lang w:eastAsia="zh-CN"/>
        </w:rPr>
        <w:t>）</w:t>
      </w:r>
      <w:r>
        <w:rPr>
          <w:rFonts w:hint="eastAsia"/>
        </w:rPr>
        <w:t>，占地面积</w:t>
      </w:r>
      <w:r>
        <w:rPr>
          <w:rFonts w:hint="eastAsia"/>
          <w:lang w:val="en-US" w:eastAsia="zh-CN"/>
        </w:rPr>
        <w:t>9750</w:t>
      </w:r>
      <w:r>
        <w:rPr>
          <w:rFonts w:hint="eastAsia"/>
        </w:rPr>
        <w:t>m</w:t>
      </w:r>
      <w:r>
        <w:rPr>
          <w:rFonts w:hint="eastAsia"/>
          <w:vertAlign w:val="superscript"/>
        </w:rPr>
        <w:t>2</w:t>
      </w:r>
      <w:r>
        <w:rPr>
          <w:rFonts w:hint="eastAsia"/>
          <w:lang w:eastAsia="zh-CN"/>
        </w:rPr>
        <w:t>；</w:t>
      </w:r>
      <w:r>
        <w:rPr>
          <w:rFonts w:hint="eastAsia"/>
          <w:lang w:val="en-US" w:eastAsia="zh-CN"/>
        </w:rPr>
        <w:t>冷库3座，</w:t>
      </w:r>
      <w:r>
        <w:rPr>
          <w:rFonts w:hint="eastAsia" w:ascii="Times New Roman" w:hAnsi="Times New Roman" w:cs="Times New Roman"/>
          <w:lang w:val="en-US" w:eastAsia="zh-CN"/>
        </w:rPr>
        <w:t>占地面积</w:t>
      </w:r>
      <w:r>
        <w:rPr>
          <w:rFonts w:hint="eastAsia" w:cs="Times New Roman"/>
          <w:lang w:val="en-US" w:eastAsia="zh-CN"/>
        </w:rPr>
        <w:t>1500</w:t>
      </w:r>
      <w:r>
        <w:rPr>
          <w:rFonts w:hint="eastAsia" w:ascii="Times New Roman" w:hAnsi="Times New Roman" w:cs="Times New Roman"/>
          <w:lang w:val="en-US" w:eastAsia="zh-CN"/>
        </w:rPr>
        <w:t>m</w:t>
      </w:r>
      <w:r>
        <w:rPr>
          <w:rFonts w:hint="eastAsia" w:ascii="Times New Roman" w:hAnsi="Times New Roman" w:cs="Times New Roman"/>
          <w:vertAlign w:val="superscript"/>
          <w:lang w:val="en-US" w:eastAsia="zh-CN"/>
        </w:rPr>
        <w:t>2</w:t>
      </w:r>
      <w:r>
        <w:rPr>
          <w:rFonts w:hint="eastAsia" w:cs="Times New Roman"/>
          <w:vertAlign w:val="baseline"/>
          <w:lang w:val="en-US" w:eastAsia="zh-CN"/>
        </w:rPr>
        <w:t>，同时在本项目新建的肉羊待宰圈与现有的肉牛待宰圈上方建设大数据智慧化展厅1座</w:t>
      </w:r>
      <w:r>
        <w:rPr>
          <w:rFonts w:hint="eastAsia"/>
          <w:lang w:eastAsia="zh-CN"/>
        </w:rPr>
        <w:t>；</w:t>
      </w:r>
      <w:r>
        <w:rPr>
          <w:rFonts w:hint="eastAsia"/>
          <w:lang w:val="en-US" w:eastAsia="zh-CN"/>
        </w:rPr>
        <w:t>其次建设单位还</w:t>
      </w:r>
      <w:r>
        <w:rPr>
          <w:rFonts w:hint="eastAsia"/>
        </w:rPr>
        <w:t>配套</w:t>
      </w:r>
      <w:r>
        <w:rPr>
          <w:rFonts w:hint="eastAsia"/>
          <w:lang w:val="en-US" w:eastAsia="zh-CN"/>
        </w:rPr>
        <w:t>建设了相应的</w:t>
      </w:r>
      <w:r>
        <w:rPr>
          <w:rFonts w:hint="eastAsia"/>
        </w:rPr>
        <w:t>环保设施、公用设施等，生活办公全部依托厂区现有的建设内容，生产废水及生活污水也全部依托厂区现有的污水处理站处理，具体的建设内容详见下表。</w:t>
      </w:r>
    </w:p>
    <w:p>
      <w:pPr>
        <w:pStyle w:val="2"/>
        <w:sectPr>
          <w:pgSz w:w="11906" w:h="16838"/>
          <w:pgMar w:top="1440" w:right="1080" w:bottom="1440" w:left="1080" w:header="964" w:footer="992" w:gutter="0"/>
          <w:pgBorders>
            <w:top w:val="none" w:sz="0" w:space="0"/>
            <w:left w:val="none" w:sz="0" w:space="0"/>
            <w:bottom w:val="none" w:sz="0" w:space="0"/>
            <w:right w:val="none" w:sz="0" w:space="0"/>
          </w:pgBorders>
          <w:cols w:space="425" w:num="1"/>
          <w:docGrid w:type="lines" w:linePitch="312" w:charSpace="0"/>
        </w:sectPr>
      </w:pPr>
    </w:p>
    <w:p>
      <w:pPr>
        <w:spacing w:line="240" w:lineRule="auto"/>
        <w:ind w:firstLine="482"/>
        <w:jc w:val="center"/>
        <w:rPr>
          <w:b/>
          <w:bCs/>
        </w:rPr>
      </w:pPr>
      <w:r>
        <w:rPr>
          <w:rFonts w:hint="eastAsia"/>
          <w:b/>
          <w:bCs/>
        </w:rPr>
        <w:t>表</w:t>
      </w:r>
      <w:r>
        <w:rPr>
          <w:rFonts w:hint="eastAsia"/>
          <w:b/>
          <w:bCs/>
          <w:lang w:val="en-US" w:eastAsia="zh-CN"/>
        </w:rPr>
        <w:t>3</w:t>
      </w:r>
      <w:r>
        <w:rPr>
          <w:rFonts w:hint="eastAsia"/>
          <w:b/>
          <w:bCs/>
        </w:rPr>
        <w:t>.1    拟建项目主要的建设内容一览表</w:t>
      </w:r>
    </w:p>
    <w:tbl>
      <w:tblPr>
        <w:tblStyle w:val="32"/>
        <w:tblW w:w="49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97"/>
        <w:gridCol w:w="473"/>
        <w:gridCol w:w="574"/>
        <w:gridCol w:w="1048"/>
        <w:gridCol w:w="10094"/>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tcBorders>
              <w:tl2br w:val="nil"/>
              <w:tr2bl w:val="nil"/>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840" w:type="pct"/>
            <w:gridSpan w:val="4"/>
            <w:tcBorders>
              <w:tl2br w:val="nil"/>
              <w:tr2bl w:val="nil"/>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工程类别</w:t>
            </w:r>
          </w:p>
        </w:tc>
        <w:tc>
          <w:tcPr>
            <w:tcW w:w="3404" w:type="pct"/>
            <w:tcBorders>
              <w:tl2br w:val="nil"/>
              <w:tr2bl w:val="nil"/>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工程内容</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33" w:type="pct"/>
            <w:vMerge w:val="restar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主体工程</w:t>
            </w: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lang w:val="en-US" w:eastAsia="zh-CN"/>
              </w:rPr>
              <w:t>待宰棚</w:t>
            </w:r>
          </w:p>
        </w:tc>
        <w:tc>
          <w:tcPr>
            <w:tcW w:w="3404" w:type="pct"/>
            <w:tcBorders>
              <w:tl2br w:val="nil"/>
              <w:tr2bl w:val="nil"/>
            </w:tcBorders>
            <w:vAlign w:val="center"/>
          </w:tcPr>
          <w:p>
            <w:pPr>
              <w:spacing w:line="240" w:lineRule="auto"/>
              <w:ind w:firstLine="0" w:firstLineChars="0"/>
              <w:jc w:val="both"/>
              <w:rPr>
                <w:rFonts w:hint="default" w:ascii="Times New Roman" w:hAnsi="Times New Roman" w:eastAsia="宋体" w:cs="Times New Roman"/>
                <w:b/>
                <w:bCs/>
                <w:sz w:val="21"/>
                <w:szCs w:val="21"/>
                <w:lang w:val="en-US" w:eastAsia="zh-CN"/>
              </w:rPr>
            </w:pPr>
            <w:r>
              <w:rPr>
                <w:rFonts w:hint="default" w:ascii="Times New Roman" w:hAnsi="Times New Roman" w:cs="Times New Roman"/>
                <w:b w:val="0"/>
                <w:bCs w:val="0"/>
                <w:sz w:val="21"/>
                <w:szCs w:val="21"/>
                <w:lang w:val="en-US" w:eastAsia="zh-CN"/>
              </w:rPr>
              <w:t>建设单位在新建区域东侧设置待宰棚1座，占地面积540m</w:t>
            </w:r>
            <w:r>
              <w:rPr>
                <w:rFonts w:hint="default" w:ascii="Times New Roman" w:hAnsi="Times New Roman" w:cs="Times New Roman"/>
                <w:b w:val="0"/>
                <w:bCs w:val="0"/>
                <w:sz w:val="21"/>
                <w:szCs w:val="21"/>
                <w:vertAlign w:val="superscript"/>
                <w:lang w:val="en-US" w:eastAsia="zh-CN"/>
              </w:rPr>
              <w:t>2</w:t>
            </w:r>
            <w:r>
              <w:rPr>
                <w:rFonts w:hint="default" w:ascii="Times New Roman" w:hAnsi="Times New Roman" w:cs="Times New Roman"/>
                <w:b w:val="0"/>
                <w:bCs w:val="0"/>
                <w:sz w:val="21"/>
                <w:szCs w:val="21"/>
                <w:lang w:val="en-US" w:eastAsia="zh-CN"/>
              </w:rPr>
              <w:t>，地面采用混凝土硬化处理，钢结构，设置顶棚，四周采用铁栅栏进行围挡。</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cs="Times New Roman"/>
                <w:b w:val="0"/>
                <w:bCs w:val="0"/>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b w:val="0"/>
                <w:bCs w:val="0"/>
                <w:sz w:val="21"/>
                <w:szCs w:val="21"/>
                <w:lang w:val="en-US" w:eastAsia="zh-CN"/>
              </w:rPr>
            </w:pPr>
          </w:p>
        </w:tc>
        <w:tc>
          <w:tcPr>
            <w:tcW w:w="353" w:type="pct"/>
            <w:gridSpan w:val="2"/>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综合生产车间</w:t>
            </w:r>
          </w:p>
        </w:tc>
        <w:tc>
          <w:tcPr>
            <w:tcW w:w="3758" w:type="pct"/>
            <w:gridSpan w:val="2"/>
            <w:tcBorders>
              <w:tl2br w:val="nil"/>
              <w:tr2bl w:val="nil"/>
            </w:tcBorders>
            <w:vAlign w:val="center"/>
          </w:tcPr>
          <w:p>
            <w:pPr>
              <w:spacing w:line="240" w:lineRule="auto"/>
              <w:ind w:firstLine="0" w:firstLineChars="0"/>
              <w:rPr>
                <w:rFonts w:hint="default" w:ascii="Times New Roman" w:hAnsi="Times New Roman" w:cs="Times New Roman"/>
                <w:b w:val="0"/>
                <w:bCs w:val="0"/>
                <w:sz w:val="21"/>
                <w:szCs w:val="21"/>
                <w:lang w:val="en-US" w:eastAsia="zh-CN"/>
              </w:rPr>
            </w:pPr>
            <w:r>
              <w:rPr>
                <w:rFonts w:hint="default" w:ascii="Times New Roman" w:hAnsi="Times New Roman" w:cs="Times New Roman"/>
                <w:sz w:val="21"/>
                <w:szCs w:val="21"/>
              </w:rPr>
              <w:t>建设综合性生产车间1座，占地面积</w:t>
            </w:r>
            <w:r>
              <w:rPr>
                <w:rFonts w:hint="default" w:ascii="Times New Roman" w:hAnsi="Times New Roman" w:cs="Times New Roman"/>
                <w:sz w:val="21"/>
                <w:szCs w:val="21"/>
                <w:lang w:val="en-US" w:eastAsia="zh-CN"/>
              </w:rPr>
              <w:t>9750</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，层高</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rPr>
              <w:t>F</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局部为2F</w:t>
            </w:r>
            <w:r>
              <w:rPr>
                <w:rFonts w:hint="default" w:ascii="Times New Roman" w:hAnsi="Times New Roman" w:cs="Times New Roman"/>
                <w:sz w:val="21"/>
                <w:szCs w:val="21"/>
                <w:lang w:eastAsia="zh-CN"/>
              </w:rPr>
              <w:t>）</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屋面采用轻型钢屋架，砖墙围护，基础采用钢筋混凝土独立基础</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综合生产车间大致可以划分为肉羊精深加工区、牛羊预制品菜加工区和</w:t>
            </w:r>
            <w:r>
              <w:rPr>
                <w:rFonts w:hint="eastAsia" w:ascii="Times New Roman" w:hAnsi="Times New Roman" w:cs="Times New Roman"/>
                <w:sz w:val="21"/>
                <w:szCs w:val="21"/>
                <w:lang w:val="en-US" w:eastAsia="zh-CN"/>
              </w:rPr>
              <w:t>速冻</w:t>
            </w:r>
            <w:r>
              <w:rPr>
                <w:rFonts w:hint="default" w:ascii="Times New Roman" w:hAnsi="Times New Roman" w:cs="Times New Roman"/>
                <w:sz w:val="21"/>
                <w:szCs w:val="21"/>
                <w:lang w:val="en-US" w:eastAsia="zh-CN"/>
              </w:rPr>
              <w:t>区，其中肉羊精深加工区总体上位于综合生产车间南侧、牛羊预制品菜加工区总体上位于综合生产加工车间北侧，</w:t>
            </w:r>
            <w:r>
              <w:rPr>
                <w:rFonts w:hint="eastAsia" w:ascii="Times New Roman" w:hAnsi="Times New Roman" w:cs="Times New Roman"/>
                <w:sz w:val="21"/>
                <w:szCs w:val="21"/>
                <w:lang w:val="en-US" w:eastAsia="zh-CN"/>
              </w:rPr>
              <w:t>速冻</w:t>
            </w:r>
            <w:r>
              <w:rPr>
                <w:rFonts w:hint="default" w:ascii="Times New Roman" w:hAnsi="Times New Roman" w:cs="Times New Roman"/>
                <w:sz w:val="21"/>
                <w:szCs w:val="21"/>
                <w:lang w:val="en-US" w:eastAsia="zh-CN"/>
              </w:rPr>
              <w:t>区总体上位于综合生产车间西侧，各区域具体建设情况如下</w:t>
            </w:r>
          </w:p>
        </w:tc>
        <w:tc>
          <w:tcPr>
            <w:tcW w:w="512"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353" w:type="pct"/>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353"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肉羊精深加工区</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肉羊精深加工区</w:t>
            </w:r>
            <w:r>
              <w:rPr>
                <w:rFonts w:hint="eastAsia" w:ascii="Times New Roman" w:hAnsi="Times New Roman" w:cs="Times New Roman"/>
                <w:sz w:val="21"/>
                <w:szCs w:val="21"/>
                <w:lang w:val="en-US" w:eastAsia="zh-CN"/>
              </w:rPr>
              <w:t>按照生产工艺流程</w:t>
            </w:r>
            <w:r>
              <w:rPr>
                <w:rFonts w:hint="eastAsia" w:cs="Times New Roman"/>
                <w:sz w:val="21"/>
                <w:szCs w:val="21"/>
                <w:lang w:val="en-US" w:eastAsia="zh-CN"/>
              </w:rPr>
              <w:t>由东</w:t>
            </w:r>
            <w:r>
              <w:rPr>
                <w:rFonts w:hint="eastAsia" w:ascii="Times New Roman" w:hAnsi="Times New Roman" w:cs="Times New Roman"/>
                <w:sz w:val="21"/>
                <w:szCs w:val="21"/>
                <w:lang w:val="en-US" w:eastAsia="zh-CN"/>
              </w:rPr>
              <w:t>向西依次布置</w:t>
            </w:r>
            <w:r>
              <w:rPr>
                <w:rFonts w:hint="default" w:ascii="Times New Roman" w:hAnsi="Times New Roman" w:cs="Times New Roman"/>
                <w:sz w:val="21"/>
                <w:szCs w:val="21"/>
                <w:lang w:val="en-US" w:eastAsia="zh-CN"/>
              </w:rPr>
              <w:t>，主要建设屠宰间</w:t>
            </w:r>
            <w:r>
              <w:rPr>
                <w:rFonts w:hint="eastAsia" w:cs="Times New Roman"/>
                <w:sz w:val="21"/>
                <w:szCs w:val="21"/>
                <w:lang w:val="en-US" w:eastAsia="zh-CN"/>
              </w:rPr>
              <w:t>、</w:t>
            </w:r>
            <w:r>
              <w:rPr>
                <w:rFonts w:hint="default" w:ascii="Times New Roman" w:hAnsi="Times New Roman" w:cs="Times New Roman"/>
                <w:sz w:val="21"/>
                <w:szCs w:val="21"/>
                <w:lang w:val="en-US" w:eastAsia="zh-CN"/>
              </w:rPr>
              <w:t>排酸间</w:t>
            </w:r>
            <w:r>
              <w:rPr>
                <w:rFonts w:hint="eastAsia" w:cs="Times New Roman"/>
                <w:sz w:val="21"/>
                <w:szCs w:val="21"/>
                <w:lang w:val="en-US" w:eastAsia="zh-CN"/>
              </w:rPr>
              <w:t>、</w:t>
            </w:r>
            <w:r>
              <w:rPr>
                <w:rFonts w:hint="default" w:ascii="Times New Roman" w:hAnsi="Times New Roman" w:cs="Times New Roman"/>
                <w:sz w:val="21"/>
                <w:szCs w:val="21"/>
                <w:lang w:val="en-US" w:eastAsia="zh-CN"/>
              </w:rPr>
              <w:t>分割间</w:t>
            </w:r>
            <w:r>
              <w:rPr>
                <w:rFonts w:hint="eastAsia" w:cs="Times New Roman"/>
                <w:sz w:val="21"/>
                <w:szCs w:val="21"/>
                <w:lang w:val="en-US" w:eastAsia="zh-CN"/>
              </w:rPr>
              <w:t>和包装间等，具体如下</w:t>
            </w:r>
            <w:r>
              <w:rPr>
                <w:rFonts w:hint="default" w:ascii="Times New Roman" w:hAnsi="Times New Roman" w:cs="Times New Roman"/>
                <w:sz w:val="21"/>
                <w:szCs w:val="21"/>
                <w:lang w:val="en-US" w:eastAsia="zh-CN"/>
              </w:rPr>
              <w:t>：</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①屠宰间：屠宰车间主要用于刺杀沥血、剥皮及红白内脏的处理，屠宰车间占地面积1600m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1F），主要设置有现代化肉羊屠宰生产线1条（含沥血放空、剥皮及红白内脏处理），同时在屠宰车间南侧设置阿訇间、卫浴间、更衣室、淋浴室、消毒室、检疫室及屠宰电控室等，屠宰车间南侧设置有头蹄加工间、皮张间、红白内脏处理间、病体间、血液加工间、包装材料暂存间、</w:t>
            </w:r>
            <w:r>
              <w:rPr>
                <w:rFonts w:hint="eastAsia" w:cs="Times New Roman"/>
                <w:sz w:val="21"/>
                <w:szCs w:val="21"/>
                <w:lang w:val="en-US" w:eastAsia="zh-CN"/>
              </w:rPr>
              <w:t>副产品</w:t>
            </w:r>
            <w:r>
              <w:rPr>
                <w:rFonts w:hint="default" w:ascii="Times New Roman" w:hAnsi="Times New Roman" w:cs="Times New Roman"/>
                <w:sz w:val="21"/>
                <w:szCs w:val="21"/>
                <w:lang w:val="en-US" w:eastAsia="zh-CN"/>
              </w:rPr>
              <w:t>速冻间（-35℃）、器具间等；</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eastAsia="zh-CN"/>
              </w:rPr>
              <w:t>②</w:t>
            </w:r>
            <w:r>
              <w:rPr>
                <w:rFonts w:hint="default" w:ascii="Times New Roman" w:hAnsi="Times New Roman" w:cs="Times New Roman"/>
                <w:sz w:val="21"/>
                <w:szCs w:val="21"/>
                <w:lang w:val="en-US" w:eastAsia="zh-CN"/>
              </w:rPr>
              <w:t>排酸间：共设置排酸间3间（1F），单间占地面积75m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，合计占地面积为225m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，每间可容纳肉羊250只，排酸间设计室温为0~4℃，排酸的目的使肉质变得柔软、多汁，并产生特殊的肉香；</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eastAsia="zh-CN"/>
              </w:rPr>
              <w:t>③</w:t>
            </w:r>
            <w:r>
              <w:rPr>
                <w:rFonts w:hint="default" w:ascii="Times New Roman" w:hAnsi="Times New Roman" w:cs="Times New Roman"/>
                <w:sz w:val="21"/>
                <w:szCs w:val="21"/>
                <w:lang w:val="en-US" w:eastAsia="zh-CN"/>
              </w:rPr>
              <w:t>分割间</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分割车间占地面积900m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（1F），分割车间内主要设置人工分割作业</w:t>
            </w:r>
            <w:r>
              <w:rPr>
                <w:rFonts w:hint="eastAsia" w:ascii="Times New Roman" w:hAnsi="Times New Roman" w:cs="Times New Roman"/>
                <w:sz w:val="21"/>
                <w:szCs w:val="21"/>
                <w:lang w:val="en-US" w:eastAsia="zh-CN"/>
              </w:rPr>
              <w:t>线2条，每条设置人工操作台22</w:t>
            </w:r>
            <w:r>
              <w:rPr>
                <w:rFonts w:hint="default" w:ascii="Times New Roman" w:hAnsi="Times New Roman" w:cs="Times New Roman"/>
                <w:sz w:val="21"/>
                <w:szCs w:val="21"/>
                <w:lang w:val="en-US" w:eastAsia="zh-CN"/>
              </w:rPr>
              <w:t>个，分类收集台</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lang w:val="en-US" w:eastAsia="zh-CN"/>
              </w:rPr>
              <w:t>个，同时在分割车间北侧设置骨头加工间、洗消间和刀具消毒间，南侧设置消毒间、包装材料暂存间、空压机房、控制室、淋浴室、更衣室、卫生间等；</w:t>
            </w:r>
          </w:p>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④</w:t>
            </w:r>
            <w:r>
              <w:rPr>
                <w:rFonts w:hint="default" w:ascii="Times New Roman" w:hAnsi="Times New Roman" w:cs="Times New Roman"/>
                <w:sz w:val="21"/>
                <w:szCs w:val="21"/>
                <w:lang w:val="en-US" w:eastAsia="zh-CN"/>
              </w:rPr>
              <w:t>包装间：包装车间占地面积500m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（1F），主要设置真空包装生产设备3套。</w:t>
            </w:r>
          </w:p>
        </w:tc>
        <w:tc>
          <w:tcPr>
            <w:tcW w:w="51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353" w:type="pct"/>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353"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牛羊预制品菜加工区</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牛羊预制品菜加工区</w:t>
            </w:r>
            <w:r>
              <w:rPr>
                <w:rFonts w:hint="eastAsia" w:ascii="Times New Roman" w:hAnsi="Times New Roman" w:cs="Times New Roman"/>
                <w:sz w:val="21"/>
                <w:szCs w:val="21"/>
                <w:lang w:val="en-US" w:eastAsia="zh-CN"/>
              </w:rPr>
              <w:t>按照生产工艺流程</w:t>
            </w:r>
            <w:r>
              <w:rPr>
                <w:rFonts w:hint="eastAsia" w:cs="Times New Roman"/>
                <w:sz w:val="21"/>
                <w:szCs w:val="21"/>
                <w:lang w:val="en-US" w:eastAsia="zh-CN"/>
              </w:rPr>
              <w:t>由东</w:t>
            </w:r>
            <w:r>
              <w:rPr>
                <w:rFonts w:hint="eastAsia" w:ascii="Times New Roman" w:hAnsi="Times New Roman" w:cs="Times New Roman"/>
                <w:sz w:val="21"/>
                <w:szCs w:val="21"/>
                <w:lang w:val="en-US" w:eastAsia="zh-CN"/>
              </w:rPr>
              <w:t>向西依次布置</w:t>
            </w:r>
            <w:r>
              <w:rPr>
                <w:rFonts w:hint="default" w:ascii="Times New Roman" w:hAnsi="Times New Roman" w:cs="Times New Roman"/>
                <w:sz w:val="21"/>
                <w:szCs w:val="21"/>
                <w:lang w:val="en-US" w:eastAsia="zh-CN"/>
              </w:rPr>
              <w:t>，主要建设有肉类前处理间</w:t>
            </w:r>
            <w:r>
              <w:rPr>
                <w:rFonts w:hint="eastAsia" w:cs="Times New Roman"/>
                <w:sz w:val="21"/>
                <w:szCs w:val="21"/>
                <w:lang w:val="en-US" w:eastAsia="zh-CN"/>
              </w:rPr>
              <w:t>、熟制间、预冷间和</w:t>
            </w:r>
            <w:r>
              <w:rPr>
                <w:rFonts w:hint="default" w:ascii="Times New Roman" w:hAnsi="Times New Roman" w:cs="Times New Roman"/>
                <w:sz w:val="21"/>
                <w:szCs w:val="21"/>
                <w:lang w:val="en-US" w:eastAsia="zh-CN"/>
              </w:rPr>
              <w:t>包装间</w:t>
            </w:r>
            <w:r>
              <w:rPr>
                <w:rFonts w:hint="eastAsia" w:cs="Times New Roman"/>
                <w:sz w:val="21"/>
                <w:szCs w:val="21"/>
                <w:lang w:val="en-US" w:eastAsia="zh-CN"/>
              </w:rPr>
              <w:t>等，具体建设情况如下</w:t>
            </w:r>
            <w:r>
              <w:rPr>
                <w:rFonts w:hint="default" w:ascii="Times New Roman" w:hAnsi="Times New Roman" w:cs="Times New Roman"/>
                <w:sz w:val="21"/>
                <w:szCs w:val="21"/>
                <w:lang w:val="en-US" w:eastAsia="zh-CN"/>
              </w:rPr>
              <w:t>：</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①肉类前处理间：建设肉类前处理间</w:t>
            </w:r>
            <w:r>
              <w:rPr>
                <w:rFonts w:hint="eastAsia" w:ascii="Times New Roman" w:hAnsi="Times New Roman" w:cs="Times New Roman"/>
                <w:sz w:val="21"/>
                <w:szCs w:val="21"/>
                <w:lang w:val="en-US" w:eastAsia="zh-CN"/>
              </w:rPr>
              <w:t>2</w:t>
            </w:r>
            <w:r>
              <w:rPr>
                <w:rFonts w:hint="default" w:ascii="Times New Roman" w:hAnsi="Times New Roman" w:cs="Times New Roman"/>
                <w:sz w:val="21"/>
                <w:szCs w:val="21"/>
                <w:lang w:val="en-US" w:eastAsia="zh-CN"/>
              </w:rPr>
              <w:t>座，肉类前处理间设计室温8~12℃，</w:t>
            </w:r>
            <w:r>
              <w:rPr>
                <w:rFonts w:hint="eastAsia" w:ascii="Times New Roman" w:hAnsi="Times New Roman" w:cs="Times New Roman"/>
                <w:sz w:val="21"/>
                <w:szCs w:val="21"/>
                <w:lang w:val="en-US" w:eastAsia="zh-CN"/>
              </w:rPr>
              <w:t>占地面积1450m</w:t>
            </w:r>
            <w:r>
              <w:rPr>
                <w:rFonts w:hint="eastAsia" w:ascii="Times New Roman" w:hAnsi="Times New Roman" w:cs="Times New Roman"/>
                <w:sz w:val="21"/>
                <w:szCs w:val="21"/>
                <w:vertAlign w:val="superscript"/>
                <w:lang w:val="en-US" w:eastAsia="zh-CN"/>
              </w:rPr>
              <w:t>2</w:t>
            </w:r>
            <w:r>
              <w:rPr>
                <w:rFonts w:hint="eastAsia" w:ascii="Times New Roman" w:hAnsi="Times New Roman" w:cs="Times New Roman"/>
                <w:sz w:val="21"/>
                <w:szCs w:val="21"/>
                <w:lang w:val="en-US" w:eastAsia="zh-CN"/>
              </w:rPr>
              <w:t>，其中羊肉</w:t>
            </w:r>
            <w:r>
              <w:rPr>
                <w:rFonts w:hint="default" w:ascii="Times New Roman" w:hAnsi="Times New Roman" w:cs="Times New Roman"/>
                <w:sz w:val="21"/>
                <w:szCs w:val="21"/>
                <w:lang w:val="en-US" w:eastAsia="zh-CN"/>
              </w:rPr>
              <w:t>前处理间</w:t>
            </w:r>
            <w:r>
              <w:rPr>
                <w:rFonts w:hint="eastAsia" w:cs="Times New Roman"/>
                <w:sz w:val="21"/>
                <w:szCs w:val="21"/>
                <w:lang w:val="en-US" w:eastAsia="zh-CN"/>
              </w:rPr>
              <w:t>位于综合生产车间东侧（占地面积750m</w:t>
            </w:r>
            <w:r>
              <w:rPr>
                <w:rFonts w:hint="eastAsia" w:cs="Times New Roman"/>
                <w:sz w:val="21"/>
                <w:szCs w:val="21"/>
                <w:vertAlign w:val="superscript"/>
                <w:lang w:val="en-US" w:eastAsia="zh-CN"/>
              </w:rPr>
              <w:t>2</w:t>
            </w:r>
            <w:r>
              <w:rPr>
                <w:rFonts w:hint="eastAsia" w:cs="Times New Roman"/>
                <w:sz w:val="21"/>
                <w:szCs w:val="21"/>
                <w:lang w:val="en-US" w:eastAsia="zh-CN"/>
              </w:rPr>
              <w:t>），牛肉</w:t>
            </w:r>
            <w:r>
              <w:rPr>
                <w:rFonts w:hint="default" w:ascii="Times New Roman" w:hAnsi="Times New Roman" w:cs="Times New Roman"/>
                <w:sz w:val="21"/>
                <w:szCs w:val="21"/>
                <w:lang w:val="en-US" w:eastAsia="zh-CN"/>
              </w:rPr>
              <w:t>前处理间</w:t>
            </w:r>
            <w:r>
              <w:rPr>
                <w:rFonts w:hint="eastAsia" w:cs="Times New Roman"/>
                <w:sz w:val="21"/>
                <w:szCs w:val="21"/>
                <w:lang w:val="en-US" w:eastAsia="zh-CN"/>
              </w:rPr>
              <w:t>位于</w:t>
            </w:r>
            <w:r>
              <w:rPr>
                <w:rFonts w:hint="default" w:ascii="Times New Roman" w:hAnsi="Times New Roman" w:cs="Times New Roman"/>
                <w:sz w:val="21"/>
                <w:szCs w:val="21"/>
                <w:lang w:val="en-US" w:eastAsia="zh-CN"/>
              </w:rPr>
              <w:t>肉羊精深加工区</w:t>
            </w:r>
            <w:r>
              <w:rPr>
                <w:rFonts w:hint="eastAsia" w:cs="Times New Roman"/>
                <w:sz w:val="21"/>
                <w:szCs w:val="21"/>
                <w:lang w:val="en-US" w:eastAsia="zh-CN"/>
              </w:rPr>
              <w:t>西侧（占地面积700m</w:t>
            </w:r>
            <w:r>
              <w:rPr>
                <w:rFonts w:hint="eastAsia" w:cs="Times New Roman"/>
                <w:sz w:val="21"/>
                <w:szCs w:val="21"/>
                <w:vertAlign w:val="superscript"/>
                <w:lang w:val="en-US" w:eastAsia="zh-CN"/>
              </w:rPr>
              <w:t>2</w:t>
            </w:r>
            <w:r>
              <w:rPr>
                <w:rFonts w:hint="eastAsia" w:cs="Times New Roman"/>
                <w:sz w:val="21"/>
                <w:szCs w:val="21"/>
                <w:lang w:val="en-US" w:eastAsia="zh-CN"/>
              </w:rPr>
              <w:t>）。</w:t>
            </w:r>
            <w:r>
              <w:rPr>
                <w:rFonts w:hint="default" w:ascii="Times New Roman" w:hAnsi="Times New Roman" w:cs="Times New Roman"/>
                <w:sz w:val="21"/>
                <w:szCs w:val="21"/>
                <w:lang w:val="en-US" w:eastAsia="zh-CN"/>
              </w:rPr>
              <w:t>肉类前处理间</w:t>
            </w:r>
            <w:r>
              <w:rPr>
                <w:rFonts w:hint="eastAsia" w:cs="Times New Roman"/>
                <w:sz w:val="21"/>
                <w:szCs w:val="21"/>
                <w:lang w:val="en-US" w:eastAsia="zh-CN"/>
              </w:rPr>
              <w:t>设置人工操作线2条，每条设置人工操作台14个，分类收集台2个；</w:t>
            </w:r>
            <w:r>
              <w:rPr>
                <w:rFonts w:hint="default" w:ascii="Times New Roman" w:hAnsi="Times New Roman" w:cs="Times New Roman"/>
                <w:sz w:val="21"/>
                <w:szCs w:val="21"/>
                <w:lang w:val="en-US" w:eastAsia="zh-CN"/>
              </w:rPr>
              <w:t>肉类前处理间</w:t>
            </w:r>
            <w:r>
              <w:rPr>
                <w:rFonts w:hint="eastAsia" w:cs="Times New Roman"/>
                <w:sz w:val="21"/>
                <w:szCs w:val="21"/>
                <w:lang w:val="en-US" w:eastAsia="zh-CN"/>
              </w:rPr>
              <w:t>北侧设置辅料间、调配间、刀具消毒暂存间、补风机房、淋浴室、更衣室、卫生间等，南侧设置滚揉腌制间、洗消室等；牛肉前处理间主要设置人工操作台若干、辅料间、调配间等。</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eastAsia="zh-CN"/>
              </w:rPr>
              <w:t>②</w:t>
            </w:r>
            <w:r>
              <w:rPr>
                <w:rFonts w:hint="eastAsia" w:cs="Times New Roman"/>
                <w:sz w:val="21"/>
                <w:szCs w:val="21"/>
                <w:lang w:val="en-US" w:eastAsia="zh-CN"/>
              </w:rPr>
              <w:t>熟制间：熟制间占地面积880m</w:t>
            </w:r>
            <w:r>
              <w:rPr>
                <w:rFonts w:hint="eastAsia" w:cs="Times New Roman"/>
                <w:sz w:val="21"/>
                <w:szCs w:val="21"/>
                <w:vertAlign w:val="superscript"/>
                <w:lang w:val="en-US" w:eastAsia="zh-CN"/>
              </w:rPr>
              <w:t>2</w:t>
            </w:r>
            <w:r>
              <w:rPr>
                <w:rFonts w:hint="eastAsia" w:cs="Times New Roman"/>
                <w:sz w:val="21"/>
                <w:szCs w:val="21"/>
                <w:lang w:val="en-US" w:eastAsia="zh-CN"/>
              </w:rPr>
              <w:t>，熟制间设置蒸煮及酱卤生产设备1套、炒制生产设备1套，熟制间北侧设置锅炉房、热交换间、更衣室、卫生间等；</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③</w:t>
            </w:r>
            <w:r>
              <w:rPr>
                <w:rFonts w:hint="eastAsia" w:cs="Times New Roman"/>
                <w:sz w:val="21"/>
                <w:szCs w:val="21"/>
                <w:lang w:val="en-US" w:eastAsia="zh-CN"/>
              </w:rPr>
              <w:t>预冷间：预冷间占地面积540m</w:t>
            </w:r>
            <w:r>
              <w:rPr>
                <w:rFonts w:hint="eastAsia" w:cs="Times New Roman"/>
                <w:sz w:val="21"/>
                <w:szCs w:val="21"/>
                <w:vertAlign w:val="superscript"/>
                <w:lang w:val="en-US" w:eastAsia="zh-CN"/>
              </w:rPr>
              <w:t>2</w:t>
            </w:r>
            <w:r>
              <w:rPr>
                <w:rFonts w:hint="eastAsia" w:cs="Times New Roman"/>
                <w:sz w:val="21"/>
                <w:szCs w:val="21"/>
                <w:lang w:val="en-US" w:eastAsia="zh-CN"/>
              </w:rPr>
              <w:t>，预冷间设计室温为</w:t>
            </w:r>
            <w:r>
              <w:rPr>
                <w:rFonts w:hint="default" w:ascii="Times New Roman" w:hAnsi="Times New Roman" w:cs="Times New Roman"/>
                <w:sz w:val="21"/>
                <w:szCs w:val="21"/>
                <w:lang w:val="en-US" w:eastAsia="zh-CN"/>
              </w:rPr>
              <w:t>0~4℃</w:t>
            </w:r>
            <w:r>
              <w:rPr>
                <w:rFonts w:hint="eastAsia" w:cs="Times New Roman"/>
                <w:sz w:val="21"/>
                <w:szCs w:val="21"/>
                <w:lang w:val="en-US" w:eastAsia="zh-CN"/>
              </w:rPr>
              <w:t>，主要设置螺旋预冷机2台，预冷间北侧主要设置有淋浴室、更衣室、卫生间等，南侧主要设置洗箱间、托盘暂存间等；</w:t>
            </w:r>
          </w:p>
          <w:p>
            <w:pPr>
              <w:spacing w:line="240" w:lineRule="auto"/>
              <w:ind w:firstLine="0" w:firstLineChars="0"/>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④包装间：包装车间占地面积</w:t>
            </w:r>
            <w:r>
              <w:rPr>
                <w:rFonts w:hint="eastAsia" w:ascii="Times New Roman" w:hAnsi="Times New Roman" w:cs="Times New Roman"/>
                <w:sz w:val="21"/>
                <w:szCs w:val="21"/>
                <w:lang w:val="en-US" w:eastAsia="zh-CN"/>
              </w:rPr>
              <w:t>65</w:t>
            </w:r>
            <w:r>
              <w:rPr>
                <w:rFonts w:hint="eastAsia" w:cs="Times New Roman"/>
                <w:sz w:val="21"/>
                <w:szCs w:val="21"/>
                <w:lang w:val="en-US" w:eastAsia="zh-CN"/>
              </w:rPr>
              <w:t>0</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（1F），主要设置真空包装生产设备</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lang w:val="en-US" w:eastAsia="zh-CN"/>
              </w:rPr>
              <w:t>套</w:t>
            </w:r>
            <w:r>
              <w:rPr>
                <w:rFonts w:hint="eastAsia" w:ascii="Times New Roman" w:hAnsi="Times New Roman" w:cs="Times New Roman"/>
                <w:sz w:val="21"/>
                <w:szCs w:val="21"/>
                <w:lang w:val="en-US" w:eastAsia="zh-CN"/>
              </w:rPr>
              <w:t>，</w:t>
            </w:r>
            <w:r>
              <w:rPr>
                <w:rFonts w:hint="default" w:ascii="Times New Roman" w:hAnsi="Times New Roman" w:cs="Times New Roman"/>
                <w:sz w:val="21"/>
                <w:szCs w:val="21"/>
                <w:lang w:val="en-US" w:eastAsia="zh-CN"/>
              </w:rPr>
              <w:t>包装车间</w:t>
            </w:r>
            <w:r>
              <w:rPr>
                <w:rFonts w:hint="eastAsia" w:cs="Times New Roman"/>
                <w:sz w:val="21"/>
                <w:szCs w:val="21"/>
                <w:lang w:val="en-US" w:eastAsia="zh-CN"/>
              </w:rPr>
              <w:t>北侧主要设置杀菌间1间，南侧主要设置包装材料暂存间1间。</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353" w:type="pct"/>
            <w:gridSpan w:val="2"/>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353"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速冻</w:t>
            </w:r>
            <w:r>
              <w:rPr>
                <w:rFonts w:hint="default" w:ascii="Times New Roman" w:hAnsi="Times New Roman" w:cs="Times New Roman"/>
                <w:sz w:val="21"/>
                <w:szCs w:val="21"/>
                <w:lang w:val="en-US" w:eastAsia="zh-CN"/>
              </w:rPr>
              <w:t>区</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lang w:val="en-US"/>
              </w:rPr>
            </w:pPr>
            <w:r>
              <w:rPr>
                <w:rFonts w:hint="eastAsia" w:ascii="Times New Roman" w:hAnsi="Times New Roman" w:cs="Times New Roman"/>
                <w:sz w:val="21"/>
                <w:szCs w:val="21"/>
                <w:lang w:val="en-US" w:eastAsia="zh-CN"/>
              </w:rPr>
              <w:t>速冻</w:t>
            </w:r>
            <w:r>
              <w:rPr>
                <w:rFonts w:hint="default" w:ascii="Times New Roman" w:hAnsi="Times New Roman" w:cs="Times New Roman"/>
                <w:sz w:val="21"/>
                <w:szCs w:val="21"/>
                <w:lang w:val="en-US" w:eastAsia="zh-CN"/>
              </w:rPr>
              <w:t>区</w:t>
            </w:r>
            <w:r>
              <w:rPr>
                <w:rFonts w:hint="eastAsia" w:cs="Times New Roman"/>
                <w:sz w:val="21"/>
                <w:szCs w:val="21"/>
                <w:lang w:val="en-US" w:eastAsia="zh-CN"/>
              </w:rPr>
              <w:t>占地面积920m</w:t>
            </w:r>
            <w:r>
              <w:rPr>
                <w:rFonts w:hint="eastAsia" w:cs="Times New Roman"/>
                <w:sz w:val="21"/>
                <w:szCs w:val="21"/>
                <w:vertAlign w:val="superscript"/>
                <w:lang w:val="en-US" w:eastAsia="zh-CN"/>
              </w:rPr>
              <w:t>2</w:t>
            </w:r>
            <w:r>
              <w:rPr>
                <w:rFonts w:hint="eastAsia" w:cs="Times New Roman"/>
                <w:sz w:val="21"/>
                <w:szCs w:val="21"/>
                <w:lang w:val="en-US" w:eastAsia="zh-CN"/>
              </w:rPr>
              <w:t>，主要设置有速冻间4间（</w:t>
            </w:r>
            <w:r>
              <w:rPr>
                <w:rFonts w:hint="default" w:ascii="Times New Roman" w:hAnsi="Times New Roman" w:cs="Times New Roman"/>
                <w:sz w:val="21"/>
                <w:szCs w:val="21"/>
                <w:lang w:val="en-US" w:eastAsia="zh-CN"/>
              </w:rPr>
              <w:t>-35℃</w:t>
            </w:r>
            <w:r>
              <w:rPr>
                <w:rFonts w:hint="eastAsia" w:cs="Times New Roman"/>
                <w:sz w:val="21"/>
                <w:szCs w:val="21"/>
                <w:lang w:val="en-US" w:eastAsia="zh-CN"/>
              </w:rPr>
              <w:t>），鲜品库2间（</w:t>
            </w:r>
            <w:r>
              <w:rPr>
                <w:rFonts w:hint="default" w:ascii="Times New Roman" w:hAnsi="Times New Roman" w:cs="Times New Roman"/>
                <w:sz w:val="21"/>
                <w:szCs w:val="21"/>
                <w:lang w:val="en-US" w:eastAsia="zh-CN"/>
              </w:rPr>
              <w:t>0~4℃</w:t>
            </w:r>
            <w:r>
              <w:rPr>
                <w:rFonts w:hint="eastAsia" w:cs="Times New Roman"/>
                <w:sz w:val="21"/>
                <w:szCs w:val="21"/>
                <w:lang w:val="en-US" w:eastAsia="zh-CN"/>
              </w:rPr>
              <w:t>），螺旋冷冻机2台，架车清洗暂存间1间。</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冷库</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eastAsia" w:cs="Times New Roman"/>
                <w:sz w:val="21"/>
                <w:szCs w:val="21"/>
                <w:lang w:val="en-US" w:eastAsia="zh-CN"/>
              </w:rPr>
              <w:t>冷库</w:t>
            </w:r>
            <w:r>
              <w:rPr>
                <w:rFonts w:hint="default" w:ascii="Times New Roman" w:hAnsi="Times New Roman" w:cs="Times New Roman"/>
                <w:sz w:val="21"/>
                <w:szCs w:val="21"/>
              </w:rPr>
              <w:t>占地面积</w:t>
            </w:r>
            <w:r>
              <w:rPr>
                <w:rFonts w:hint="eastAsia" w:cs="Times New Roman"/>
                <w:sz w:val="21"/>
                <w:szCs w:val="21"/>
                <w:lang w:val="en-US" w:eastAsia="zh-CN"/>
              </w:rPr>
              <w:t>1500</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，建设冷库</w:t>
            </w:r>
            <w:r>
              <w:rPr>
                <w:rFonts w:hint="eastAsia" w:cs="Times New Roman"/>
                <w:sz w:val="21"/>
                <w:szCs w:val="21"/>
                <w:lang w:val="en-US" w:eastAsia="zh-CN"/>
              </w:rPr>
              <w:t>3</w:t>
            </w:r>
            <w:r>
              <w:rPr>
                <w:rFonts w:hint="default" w:ascii="Times New Roman" w:hAnsi="Times New Roman" w:cs="Times New Roman"/>
                <w:sz w:val="21"/>
                <w:szCs w:val="21"/>
              </w:rPr>
              <w:t>座</w:t>
            </w:r>
            <w:r>
              <w:rPr>
                <w:rFonts w:hint="eastAsia" w:cs="Times New Roman"/>
                <w:sz w:val="21"/>
                <w:szCs w:val="21"/>
                <w:lang w:eastAsia="zh-CN"/>
              </w:rPr>
              <w:t>（</w:t>
            </w:r>
            <w:r>
              <w:rPr>
                <w:rFonts w:hint="default" w:ascii="Times New Roman" w:hAnsi="Times New Roman" w:cs="Times New Roman"/>
                <w:sz w:val="21"/>
                <w:szCs w:val="21"/>
                <w:lang w:val="en-US" w:eastAsia="zh-CN"/>
              </w:rPr>
              <w:t>-</w:t>
            </w:r>
            <w:r>
              <w:rPr>
                <w:rFonts w:hint="eastAsia" w:cs="Times New Roman"/>
                <w:sz w:val="21"/>
                <w:szCs w:val="21"/>
                <w:lang w:val="en-US" w:eastAsia="zh-CN"/>
              </w:rPr>
              <w:t>20</w:t>
            </w:r>
            <w:r>
              <w:rPr>
                <w:rFonts w:hint="default" w:ascii="Times New Roman" w:hAnsi="Times New Roman" w:cs="Times New Roman"/>
                <w:sz w:val="21"/>
                <w:szCs w:val="21"/>
                <w:lang w:val="en-US" w:eastAsia="zh-CN"/>
              </w:rPr>
              <w:t>℃</w:t>
            </w:r>
            <w:r>
              <w:rPr>
                <w:rFonts w:hint="eastAsia" w:cs="Times New Roman"/>
                <w:sz w:val="21"/>
                <w:szCs w:val="21"/>
                <w:lang w:eastAsia="zh-CN"/>
              </w:rPr>
              <w:t>）</w:t>
            </w:r>
            <w:r>
              <w:rPr>
                <w:rFonts w:hint="default" w:ascii="Times New Roman" w:hAnsi="Times New Roman" w:cs="Times New Roman"/>
                <w:sz w:val="21"/>
                <w:szCs w:val="21"/>
              </w:rPr>
              <w:t>，设计库容为5000t，建筑形式为钢结构，</w:t>
            </w:r>
            <w:r>
              <w:rPr>
                <w:rFonts w:hint="default" w:ascii="Times New Roman" w:hAnsi="Times New Roman" w:cs="Times New Roman"/>
                <w:sz w:val="21"/>
                <w:szCs w:val="21"/>
                <w:lang w:val="en-US" w:eastAsia="zh-CN"/>
              </w:rPr>
              <w:t>冷藏分割肉按箱装设计</w:t>
            </w:r>
            <w:r>
              <w:rPr>
                <w:rFonts w:hint="eastAsia" w:cs="Times New Roman"/>
                <w:sz w:val="21"/>
                <w:szCs w:val="21"/>
                <w:lang w:val="en-US" w:eastAsia="zh-CN"/>
              </w:rPr>
              <w:t>，</w:t>
            </w:r>
            <w:r>
              <w:rPr>
                <w:rFonts w:hint="default" w:ascii="Times New Roman" w:hAnsi="Times New Roman" w:cs="Times New Roman"/>
                <w:sz w:val="21"/>
                <w:szCs w:val="21"/>
                <w:lang w:val="en-US" w:eastAsia="zh-CN"/>
              </w:rPr>
              <w:t>库房净高为5m，堆码高4.5m</w:t>
            </w:r>
            <w:r>
              <w:rPr>
                <w:rFonts w:hint="default" w:ascii="Times New Roman" w:hAnsi="Times New Roman" w:cs="Times New Roman"/>
                <w:sz w:val="21"/>
                <w:szCs w:val="21"/>
              </w:rPr>
              <w:t>，制冷剂为R404A。</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eastAsia" w:cs="Times New Roman"/>
                <w:sz w:val="21"/>
                <w:szCs w:val="21"/>
                <w:lang w:val="en-US" w:eastAsia="zh-CN"/>
              </w:rPr>
            </w:pPr>
            <w:r>
              <w:rPr>
                <w:rFonts w:hint="eastAsia" w:cs="Times New Roman"/>
                <w:sz w:val="21"/>
                <w:szCs w:val="21"/>
                <w:lang w:val="en-US" w:eastAsia="zh-CN"/>
              </w:rPr>
              <w:t>大数据智慧化展厅</w:t>
            </w:r>
          </w:p>
        </w:tc>
        <w:tc>
          <w:tcPr>
            <w:tcW w:w="3404" w:type="pct"/>
            <w:tcBorders>
              <w:tl2br w:val="nil"/>
              <w:tr2bl w:val="nil"/>
            </w:tcBorders>
            <w:vAlign w:val="center"/>
          </w:tcPr>
          <w:p>
            <w:pPr>
              <w:spacing w:line="240" w:lineRule="auto"/>
              <w:ind w:firstLine="0" w:firstLineChars="0"/>
              <w:rPr>
                <w:rFonts w:hint="default" w:cs="Times New Roman"/>
                <w:sz w:val="21"/>
                <w:szCs w:val="21"/>
                <w:lang w:val="en-US" w:eastAsia="zh-CN"/>
              </w:rPr>
            </w:pPr>
            <w:r>
              <w:rPr>
                <w:rFonts w:hint="eastAsia" w:cs="Times New Roman"/>
                <w:sz w:val="21"/>
                <w:szCs w:val="21"/>
                <w:lang w:val="en-US" w:eastAsia="zh-CN"/>
              </w:rPr>
              <w:t>位于肉羊待宰圈与现有的肉牛待宰圈上方，建筑面积500m</w:t>
            </w:r>
            <w:r>
              <w:rPr>
                <w:rFonts w:hint="eastAsia" w:cs="Times New Roman"/>
                <w:sz w:val="21"/>
                <w:szCs w:val="21"/>
                <w:vertAlign w:val="superscript"/>
                <w:lang w:val="en-US" w:eastAsia="zh-CN"/>
              </w:rPr>
              <w:t>2</w:t>
            </w:r>
            <w:r>
              <w:rPr>
                <w:rFonts w:hint="eastAsia" w:cs="Times New Roman"/>
                <w:sz w:val="21"/>
                <w:szCs w:val="21"/>
                <w:lang w:val="en-US" w:eastAsia="zh-CN"/>
              </w:rPr>
              <w:t>。</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33" w:type="pct"/>
            <w:vMerge w:val="restar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辅助工程</w:t>
            </w: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办公楼</w:t>
            </w:r>
          </w:p>
        </w:tc>
        <w:tc>
          <w:tcPr>
            <w:tcW w:w="3404"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办公楼依托现有的办公大楼</w:t>
            </w:r>
            <w:r>
              <w:rPr>
                <w:rFonts w:hint="eastAsia" w:cs="Times New Roman"/>
                <w:sz w:val="21"/>
                <w:szCs w:val="21"/>
                <w:lang w:eastAsia="zh-CN"/>
              </w:rPr>
              <w:t>。</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职工宿舍</w:t>
            </w:r>
          </w:p>
        </w:tc>
        <w:tc>
          <w:tcPr>
            <w:tcW w:w="3404"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依托现有的职工宿舍</w:t>
            </w:r>
            <w:r>
              <w:rPr>
                <w:rFonts w:hint="eastAsia" w:cs="Times New Roman"/>
                <w:sz w:val="21"/>
                <w:szCs w:val="21"/>
                <w:lang w:eastAsia="zh-CN"/>
              </w:rPr>
              <w:t>。</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污水处理站</w:t>
            </w:r>
          </w:p>
        </w:tc>
        <w:tc>
          <w:tcPr>
            <w:tcW w:w="3404" w:type="pct"/>
            <w:tcBorders>
              <w:tl2br w:val="nil"/>
              <w:tr2bl w:val="nil"/>
            </w:tcBorders>
            <w:vAlign w:val="center"/>
          </w:tcPr>
          <w:p>
            <w:pPr>
              <w:spacing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依托现有的污水处理站</w:t>
            </w:r>
            <w:r>
              <w:rPr>
                <w:rFonts w:hint="default" w:ascii="Times New Roman" w:hAnsi="Times New Roman" w:cs="Times New Roman"/>
                <w:sz w:val="21"/>
                <w:szCs w:val="21"/>
                <w:lang w:val="en-US" w:eastAsia="zh-CN"/>
              </w:rPr>
              <w:t>，现有污水处理站</w:t>
            </w:r>
            <w:r>
              <w:rPr>
                <w:rFonts w:hint="default" w:ascii="Times New Roman" w:hAnsi="Times New Roman" w:cs="Times New Roman"/>
                <w:sz w:val="21"/>
                <w:szCs w:val="21"/>
              </w:rPr>
              <w:t>处理能力为</w:t>
            </w:r>
            <w:r>
              <w:rPr>
                <w:rFonts w:hint="eastAsia" w:cs="Times New Roman"/>
                <w:sz w:val="21"/>
                <w:szCs w:val="21"/>
                <w:lang w:val="en-US" w:eastAsia="zh-CN"/>
              </w:rPr>
              <w:t>7</w:t>
            </w:r>
            <w:r>
              <w:rPr>
                <w:rFonts w:hint="default" w:ascii="Times New Roman" w:hAnsi="Times New Roman" w:cs="Times New Roman"/>
                <w:sz w:val="21"/>
                <w:szCs w:val="21"/>
              </w:rPr>
              <w:t>00m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/d，污水处理工艺为：预处理+二级生化处理+消毒处理</w:t>
            </w:r>
            <w:r>
              <w:rPr>
                <w:rFonts w:hint="default" w:ascii="Times New Roman" w:hAnsi="Times New Roman" w:cs="Times New Roman"/>
                <w:sz w:val="21"/>
                <w:szCs w:val="21"/>
                <w:lang w:val="en-US" w:eastAsia="zh-CN"/>
              </w:rPr>
              <w:t>.</w:t>
            </w:r>
            <w:r>
              <w:rPr>
                <w:rFonts w:hint="eastAsia" w:cs="Times New Roman"/>
                <w:sz w:val="21"/>
                <w:szCs w:val="21"/>
                <w:lang w:val="en-US" w:eastAsia="zh-CN"/>
              </w:rPr>
              <w:t>，根据建设单位提供的资料，厂区拟计划对现有的污水处理站进行扩容，扩容后污水处理站处理能力为1500m</w:t>
            </w:r>
            <w:r>
              <w:rPr>
                <w:rFonts w:hint="eastAsia" w:cs="Times New Roman"/>
                <w:sz w:val="21"/>
                <w:szCs w:val="21"/>
                <w:vertAlign w:val="superscript"/>
                <w:lang w:val="en-US" w:eastAsia="zh-CN"/>
              </w:rPr>
              <w:t>3</w:t>
            </w:r>
            <w:r>
              <w:rPr>
                <w:rFonts w:hint="eastAsia" w:cs="Times New Roman"/>
                <w:sz w:val="21"/>
                <w:szCs w:val="21"/>
                <w:lang w:val="en-US" w:eastAsia="zh-CN"/>
              </w:rPr>
              <w:t>/d，污水处理站扩容工程不再本项目范围内，故本环评不再进行评价。</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冷却循环水池</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建设单位</w:t>
            </w:r>
            <w:r>
              <w:rPr>
                <w:rFonts w:hint="eastAsia" w:cs="Times New Roman"/>
                <w:sz w:val="21"/>
                <w:szCs w:val="21"/>
                <w:lang w:val="en-US" w:eastAsia="zh-CN"/>
              </w:rPr>
              <w:t>新建</w:t>
            </w:r>
            <w:r>
              <w:rPr>
                <w:rFonts w:hint="default" w:ascii="Times New Roman" w:hAnsi="Times New Roman" w:cs="Times New Roman"/>
                <w:sz w:val="21"/>
                <w:szCs w:val="21"/>
              </w:rPr>
              <w:t>循环冷却水池1座，容积为60m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，占地面积20m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，同时设置冷却塔1座，并配备循环水泵4台（三用一备）和冷风机1台</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133" w:type="pct"/>
            <w:vMerge w:val="restar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储运工程</w:t>
            </w: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原料库</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肉羊精深加工生产线肉羊全部经待宰圈暂存后进入屠宰间进行屠宰处理；</w:t>
            </w:r>
          </w:p>
          <w:p>
            <w:pPr>
              <w:spacing w:line="240" w:lineRule="auto"/>
              <w:ind w:firstLine="0" w:firstLineChars="0"/>
              <w:rPr>
                <w:rFonts w:hint="eastAsia" w:cs="Times New Roman"/>
                <w:sz w:val="21"/>
                <w:szCs w:val="21"/>
                <w:lang w:eastAsia="zh-CN"/>
              </w:rPr>
            </w:pPr>
            <w:r>
              <w:rPr>
                <w:rFonts w:hint="default" w:ascii="Times New Roman" w:hAnsi="Times New Roman" w:cs="Times New Roman"/>
                <w:sz w:val="21"/>
                <w:szCs w:val="21"/>
              </w:rPr>
              <w:t>牛羊预制品生产线所使用的的羊肉全部储存在新建的冷库中</w:t>
            </w:r>
            <w:r>
              <w:rPr>
                <w:rFonts w:hint="eastAsia" w:cs="Times New Roman"/>
                <w:sz w:val="21"/>
                <w:szCs w:val="21"/>
                <w:lang w:eastAsia="zh-CN"/>
              </w:rPr>
              <w:t>；</w:t>
            </w:r>
          </w:p>
          <w:p>
            <w:pPr>
              <w:spacing w:line="240" w:lineRule="auto"/>
              <w:ind w:firstLine="0" w:firstLineChars="0"/>
              <w:rPr>
                <w:rFonts w:hint="eastAsia" w:cs="Times New Roman"/>
                <w:sz w:val="21"/>
                <w:szCs w:val="21"/>
                <w:lang w:eastAsia="zh-CN"/>
              </w:rPr>
            </w:pPr>
            <w:r>
              <w:rPr>
                <w:rFonts w:hint="default" w:ascii="Times New Roman" w:hAnsi="Times New Roman" w:cs="Times New Roman"/>
                <w:sz w:val="21"/>
                <w:szCs w:val="21"/>
              </w:rPr>
              <w:t>牛肉全部储存在公司现有的冷库中</w:t>
            </w:r>
            <w:r>
              <w:rPr>
                <w:rFonts w:hint="eastAsia" w:cs="Times New Roman"/>
                <w:sz w:val="21"/>
                <w:szCs w:val="21"/>
                <w:lang w:eastAsia="zh-CN"/>
              </w:rPr>
              <w:t>；</w:t>
            </w:r>
          </w:p>
          <w:p>
            <w:pPr>
              <w:spacing w:line="240" w:lineRule="auto"/>
              <w:ind w:firstLine="0" w:firstLineChars="0"/>
              <w:rPr>
                <w:rFonts w:hint="eastAsia" w:ascii="Times New Roman" w:hAnsi="Times New Roman" w:eastAsia="宋体" w:cs="Times New Roman"/>
                <w:sz w:val="21"/>
                <w:szCs w:val="21"/>
                <w:lang w:eastAsia="zh-CN"/>
              </w:rPr>
            </w:pPr>
            <w:r>
              <w:rPr>
                <w:rFonts w:hint="default" w:ascii="Times New Roman" w:hAnsi="Times New Roman" w:cs="Times New Roman"/>
                <w:sz w:val="21"/>
                <w:szCs w:val="21"/>
              </w:rPr>
              <w:t>蔬菜、调料等</w:t>
            </w:r>
            <w:r>
              <w:rPr>
                <w:rFonts w:hint="eastAsia" w:cs="Times New Roman"/>
                <w:sz w:val="21"/>
                <w:szCs w:val="21"/>
                <w:lang w:val="en-US" w:eastAsia="zh-CN"/>
              </w:rPr>
              <w:t>辅料</w:t>
            </w:r>
            <w:r>
              <w:rPr>
                <w:rFonts w:hint="default" w:ascii="Times New Roman" w:hAnsi="Times New Roman" w:cs="Times New Roman"/>
                <w:sz w:val="21"/>
                <w:szCs w:val="21"/>
              </w:rPr>
              <w:t>全部储存在</w:t>
            </w:r>
            <w:r>
              <w:rPr>
                <w:rFonts w:hint="default" w:ascii="Times New Roman" w:hAnsi="Times New Roman" w:cs="Times New Roman"/>
                <w:sz w:val="21"/>
                <w:szCs w:val="21"/>
                <w:lang w:val="en-US" w:eastAsia="zh-CN"/>
              </w:rPr>
              <w:t>预制菜加工间</w:t>
            </w:r>
            <w:r>
              <w:rPr>
                <w:rFonts w:hint="default" w:ascii="Times New Roman" w:hAnsi="Times New Roman" w:cs="Times New Roman"/>
                <w:sz w:val="21"/>
                <w:szCs w:val="21"/>
              </w:rPr>
              <w:t>的</w:t>
            </w:r>
            <w:r>
              <w:rPr>
                <w:rFonts w:hint="eastAsia" w:cs="Times New Roman"/>
                <w:sz w:val="21"/>
                <w:szCs w:val="21"/>
                <w:lang w:val="en-US" w:eastAsia="zh-CN"/>
              </w:rPr>
              <w:t>辅料</w:t>
            </w:r>
            <w:r>
              <w:rPr>
                <w:rFonts w:hint="default" w:ascii="Times New Roman" w:hAnsi="Times New Roman" w:cs="Times New Roman"/>
                <w:sz w:val="21"/>
                <w:szCs w:val="21"/>
              </w:rPr>
              <w:t>暂存间中</w:t>
            </w:r>
            <w:r>
              <w:rPr>
                <w:rFonts w:hint="eastAsia" w:cs="Times New Roman"/>
                <w:sz w:val="21"/>
                <w:szCs w:val="21"/>
                <w:lang w:eastAsia="zh-CN"/>
              </w:rPr>
              <w:t>。</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成品库</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肉羊精深加工生产线</w:t>
            </w:r>
            <w:r>
              <w:rPr>
                <w:rFonts w:hint="eastAsia" w:cs="Times New Roman"/>
                <w:sz w:val="21"/>
                <w:szCs w:val="21"/>
                <w:lang w:val="en-US" w:eastAsia="zh-CN"/>
              </w:rPr>
              <w:t>生产的鲜羊肉</w:t>
            </w:r>
            <w:r>
              <w:rPr>
                <w:rFonts w:hint="default" w:ascii="Times New Roman" w:hAnsi="Times New Roman" w:cs="Times New Roman"/>
                <w:sz w:val="21"/>
                <w:szCs w:val="21"/>
                <w:lang w:val="en-US" w:eastAsia="zh-CN"/>
              </w:rPr>
              <w:t>和</w:t>
            </w:r>
            <w:r>
              <w:rPr>
                <w:rFonts w:hint="default" w:ascii="Times New Roman" w:hAnsi="Times New Roman" w:cs="Times New Roman"/>
                <w:sz w:val="21"/>
                <w:szCs w:val="21"/>
              </w:rPr>
              <w:t>牛羊预制品生产线成品全部储存在新建的冷库中。</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运输</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项目原料成品外部运输主要依托厂区南侧的S18（张掖至肃南），同时建设单位厂区内运输道路已经全部硬化，能满足运输要求。</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危废暂存间</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为方便活性炭储存，建设单位需建设1座危废暂存间，</w:t>
            </w:r>
            <w:r>
              <w:rPr>
                <w:rFonts w:hint="default" w:ascii="Times New Roman" w:hAnsi="Times New Roman" w:cs="Times New Roman"/>
                <w:sz w:val="21"/>
                <w:szCs w:val="21"/>
                <w:lang w:val="en-US" w:eastAsia="zh-CN"/>
              </w:rPr>
              <w:t>位于现有的污水处理站西侧，</w:t>
            </w:r>
            <w:r>
              <w:rPr>
                <w:rFonts w:hint="default" w:ascii="Times New Roman" w:hAnsi="Times New Roman" w:cs="Times New Roman"/>
                <w:sz w:val="21"/>
                <w:szCs w:val="21"/>
              </w:rPr>
              <w:t>危废暂存间占地面积25m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达标废水暂存池</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val="en-US" w:eastAsia="zh-CN"/>
              </w:rPr>
              <w:t>厂区现有的</w:t>
            </w:r>
            <w:r>
              <w:rPr>
                <w:rFonts w:hint="default" w:ascii="Times New Roman" w:hAnsi="Times New Roman" w:cs="Times New Roman"/>
                <w:sz w:val="21"/>
                <w:szCs w:val="21"/>
              </w:rPr>
              <w:t>达标废水暂存池</w:t>
            </w:r>
            <w:r>
              <w:rPr>
                <w:rFonts w:hint="default" w:ascii="Times New Roman" w:hAnsi="Times New Roman" w:cs="Times New Roman"/>
                <w:sz w:val="21"/>
                <w:szCs w:val="21"/>
                <w:lang w:val="en-US" w:eastAsia="zh-CN"/>
              </w:rPr>
              <w:t>暂存能力为2万</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本项目建设完成后现有的达标废水暂存池暂存能力不能满全厂废水暂存要求，因此</w:t>
            </w:r>
            <w:r>
              <w:rPr>
                <w:rFonts w:hint="eastAsia" w:cs="Times New Roman"/>
                <w:sz w:val="21"/>
                <w:szCs w:val="21"/>
                <w:lang w:val="en-US" w:eastAsia="zh-CN"/>
              </w:rPr>
              <w:t>环评要求</w:t>
            </w:r>
            <w:r>
              <w:rPr>
                <w:rFonts w:hint="default" w:ascii="Times New Roman" w:hAnsi="Times New Roman" w:cs="Times New Roman"/>
                <w:sz w:val="21"/>
                <w:szCs w:val="21"/>
                <w:lang w:val="en-US" w:eastAsia="zh-CN"/>
              </w:rPr>
              <w:t>建设单位需新建</w:t>
            </w:r>
            <w:r>
              <w:rPr>
                <w:rFonts w:hint="default" w:ascii="Times New Roman" w:hAnsi="Times New Roman" w:cs="Times New Roman"/>
                <w:sz w:val="21"/>
                <w:szCs w:val="21"/>
              </w:rPr>
              <w:t>达标废水暂存池1座，容积为8万m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占地面积32000m</w:t>
            </w:r>
            <w:r>
              <w:rPr>
                <w:rFonts w:hint="default" w:ascii="Times New Roman" w:hAnsi="Times New Roman" w:cs="Times New Roman"/>
                <w:sz w:val="21"/>
                <w:szCs w:val="21"/>
                <w:vertAlign w:val="superscript"/>
                <w:lang w:val="en-US" w:eastAsia="zh-CN"/>
              </w:rPr>
              <w:t>2</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达标废水暂存池设置雨棚，并做防渗处理。</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一般固废暂存间</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lang w:val="en-US" w:eastAsia="zh-CN"/>
              </w:rPr>
            </w:pPr>
            <w:r>
              <w:rPr>
                <w:rFonts w:hint="eastAsia" w:cs="Times New Roman"/>
                <w:sz w:val="21"/>
                <w:szCs w:val="21"/>
                <w:lang w:val="en-US" w:eastAsia="zh-CN"/>
              </w:rPr>
              <w:t>位于新建区域南侧，占地面积50m</w:t>
            </w:r>
            <w:r>
              <w:rPr>
                <w:rFonts w:hint="eastAsia" w:cs="Times New Roman"/>
                <w:sz w:val="21"/>
                <w:szCs w:val="21"/>
                <w:vertAlign w:val="superscript"/>
                <w:lang w:val="en-US" w:eastAsia="zh-CN"/>
              </w:rPr>
              <w:t>2</w:t>
            </w:r>
            <w:r>
              <w:rPr>
                <w:rFonts w:hint="eastAsia" w:cs="Times New Roman"/>
                <w:sz w:val="21"/>
                <w:szCs w:val="21"/>
                <w:lang w:val="en-US" w:eastAsia="zh-CN"/>
              </w:rPr>
              <w:t>，砖混结构。</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w:t>
            </w:r>
          </w:p>
        </w:tc>
        <w:tc>
          <w:tcPr>
            <w:tcW w:w="133" w:type="pct"/>
            <w:vMerge w:val="restar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公用工程</w:t>
            </w: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供水</w:t>
            </w:r>
          </w:p>
        </w:tc>
        <w:tc>
          <w:tcPr>
            <w:tcW w:w="3404" w:type="pct"/>
            <w:tcBorders>
              <w:tl2br w:val="nil"/>
              <w:tr2bl w:val="nil"/>
            </w:tcBorders>
            <w:vAlign w:val="center"/>
          </w:tcPr>
          <w:p>
            <w:pPr>
              <w:spacing w:line="240" w:lineRule="auto"/>
              <w:ind w:firstLine="0" w:firstLineChars="0"/>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依托厂区现有的机井，项目厂区包含机井6座，年综合供水量</w:t>
            </w:r>
            <w:r>
              <w:rPr>
                <w:rFonts w:hint="default" w:ascii="Times New Roman" w:hAnsi="Times New Roman" w:cs="Times New Roman"/>
                <w:sz w:val="21"/>
                <w:szCs w:val="21"/>
                <w:lang w:val="en-US" w:eastAsia="zh-CN"/>
              </w:rPr>
              <w:t>55</w:t>
            </w:r>
            <w:r>
              <w:rPr>
                <w:rFonts w:hint="default" w:ascii="Times New Roman" w:hAnsi="Times New Roman" w:cs="Times New Roman"/>
                <w:sz w:val="21"/>
                <w:szCs w:val="21"/>
              </w:rPr>
              <w:t>万m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r>
              <w:rPr>
                <w:rStyle w:val="37"/>
                <w:rFonts w:hint="default" w:ascii="Times New Roman" w:hAnsi="Times New Roman" w:cs="Times New Roman"/>
                <w:color w:val="auto"/>
                <w:sz w:val="21"/>
                <w:szCs w:val="21"/>
                <w:lang w:val="en-US" w:eastAsia="zh-CN"/>
              </w:rPr>
              <w:t>取水许可证详见附件5。</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排水</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排水采用雨污分流制。雨水经厂内坡度自然流入厂区内绿化带中；</w:t>
            </w:r>
          </w:p>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生产废水和生活污水经厂区污水管网收集后进入厂区污水处理站处理，经处理后灌溉期用于厂区饲草种植基地灌溉，非灌溉期达标废水全部暂存在建设单位现有的20000m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的污水暂存池和新建的80000m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的污水暂存池中，暂存后用于灌溉期灌溉，灌溉方式采用滴管。</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达标废水用于厂区</w:t>
            </w:r>
            <w:r>
              <w:rPr>
                <w:rFonts w:hint="default" w:ascii="Times New Roman" w:hAnsi="Times New Roman" w:cs="Times New Roman"/>
                <w:sz w:val="21"/>
                <w:szCs w:val="21"/>
              </w:rPr>
              <w:t>饲草种植基地灌溉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供电</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由园区电网供电。</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采暖</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冬季生活办公区采暖依托厂区现有的锅炉房，锅炉房内设置4台电锅炉，能够满足供热需求，综合生产车间不供热。</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5</w:t>
            </w:r>
          </w:p>
        </w:tc>
        <w:tc>
          <w:tcPr>
            <w:tcW w:w="133" w:type="pct"/>
            <w:vMerge w:val="restar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环保工程</w:t>
            </w:r>
          </w:p>
        </w:tc>
        <w:tc>
          <w:tcPr>
            <w:tcW w:w="706" w:type="pct"/>
            <w:gridSpan w:val="3"/>
            <w:vMerge w:val="restart"/>
            <w:tcBorders>
              <w:tl2br w:val="nil"/>
              <w:tr2bl w:val="nil"/>
            </w:tcBorders>
            <w:vAlign w:val="center"/>
          </w:tcPr>
          <w:p>
            <w:pPr>
              <w:spacing w:line="240" w:lineRule="auto"/>
              <w:ind w:firstLine="0" w:firstLineChars="0"/>
              <w:jc w:val="center"/>
              <w:rPr>
                <w:rFonts w:hint="default" w:ascii="Times New Roman" w:hAnsi="Times New Roman" w:cs="Times New Roman"/>
                <w:color w:val="0000FF"/>
                <w:sz w:val="21"/>
                <w:szCs w:val="21"/>
              </w:rPr>
            </w:pPr>
            <w:r>
              <w:rPr>
                <w:rFonts w:hint="default" w:ascii="Times New Roman" w:hAnsi="Times New Roman" w:cs="Times New Roman"/>
                <w:sz w:val="21"/>
                <w:szCs w:val="21"/>
              </w:rPr>
              <w:t>废气</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lang w:eastAsia="zh-CN"/>
              </w:rPr>
              <w:t>）</w:t>
            </w:r>
            <w:r>
              <w:rPr>
                <w:rFonts w:hint="default" w:ascii="Times New Roman" w:hAnsi="Times New Roman" w:cs="Times New Roman"/>
                <w:sz w:val="21"/>
                <w:szCs w:val="21"/>
              </w:rPr>
              <w:t>待宰圈恶臭气体：干清粪工艺（日产日清）+定期喷洒生物除臭剂。</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lang w:eastAsia="zh-CN"/>
              </w:rPr>
              <w:t>）</w:t>
            </w:r>
            <w:r>
              <w:rPr>
                <w:rFonts w:hint="default" w:ascii="Times New Roman" w:hAnsi="Times New Roman" w:cs="Times New Roman"/>
                <w:sz w:val="21"/>
                <w:szCs w:val="21"/>
              </w:rPr>
              <w:t>屠宰车间恶臭气体：集气系统+活性炭吸附装置+15m高排气筒。</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vMerge w:val="continue"/>
            <w:tcBorders>
              <w:tl2br w:val="nil"/>
              <w:tr2bl w:val="nil"/>
            </w:tcBorders>
            <w:vAlign w:val="center"/>
          </w:tcPr>
          <w:p>
            <w:pPr>
              <w:spacing w:line="240" w:lineRule="auto"/>
              <w:ind w:firstLine="0" w:firstLineChars="0"/>
              <w:jc w:val="center"/>
              <w:rPr>
                <w:rFonts w:hint="default" w:ascii="Times New Roman" w:hAnsi="Times New Roman" w:cs="Times New Roman"/>
                <w:color w:val="0000FF"/>
                <w:sz w:val="21"/>
                <w:szCs w:val="21"/>
              </w:rPr>
            </w:pP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lang w:eastAsia="zh-CN"/>
              </w:rPr>
              <w:t>）</w:t>
            </w:r>
            <w:r>
              <w:rPr>
                <w:rFonts w:hint="default" w:ascii="Times New Roman" w:hAnsi="Times New Roman" w:cs="Times New Roman"/>
                <w:sz w:val="21"/>
                <w:szCs w:val="21"/>
              </w:rPr>
              <w:t>牛羊预制品生产线烹饪油烟：经静电油烟处理装置处理后引至生产车间屋顶排放。</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废水</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1</w:t>
            </w:r>
            <w:r>
              <w:rPr>
                <w:rFonts w:hint="default" w:ascii="Times New Roman" w:hAnsi="Times New Roman" w:cs="Times New Roman"/>
                <w:sz w:val="21"/>
                <w:szCs w:val="21"/>
                <w:lang w:eastAsia="zh-CN"/>
              </w:rPr>
              <w:t>）</w:t>
            </w:r>
            <w:r>
              <w:rPr>
                <w:rFonts w:hint="default" w:ascii="Times New Roman" w:hAnsi="Times New Roman" w:cs="Times New Roman"/>
                <w:sz w:val="21"/>
                <w:szCs w:val="21"/>
              </w:rPr>
              <w:t>羊尿液、肉羊精深加工生产线屠宰废水、牛羊预制品生产线生产废水、羊杂预制品生产线废水通过厂区污水管网收集后最终进入厂区污水处理站进行处理，经处理达标后用于厂区饲草区灌溉，非灌溉期集中收集在厂区修建的达标废水暂存池暂存后用于灌溉期灌溉；</w:t>
            </w:r>
          </w:p>
          <w:p>
            <w:pPr>
              <w:spacing w:line="240" w:lineRule="auto"/>
              <w:ind w:firstLine="0" w:firstLineChars="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2</w:t>
            </w:r>
            <w:r>
              <w:rPr>
                <w:rFonts w:hint="default" w:ascii="Times New Roman" w:hAnsi="Times New Roman" w:cs="Times New Roman"/>
                <w:sz w:val="21"/>
                <w:szCs w:val="21"/>
                <w:lang w:eastAsia="zh-CN"/>
              </w:rPr>
              <w:t>）</w:t>
            </w:r>
            <w:r>
              <w:rPr>
                <w:rFonts w:hint="default" w:ascii="Times New Roman" w:hAnsi="Times New Roman" w:cs="Times New Roman"/>
                <w:sz w:val="21"/>
                <w:szCs w:val="21"/>
              </w:rPr>
              <w:t>冷凝废水：经循环冷却水池降温后循环使用，不外排</w:t>
            </w:r>
            <w:r>
              <w:rPr>
                <w:rFonts w:hint="default" w:ascii="Times New Roman" w:hAnsi="Times New Roman" w:cs="Times New Roman"/>
                <w:sz w:val="21"/>
                <w:szCs w:val="21"/>
                <w:lang w:eastAsia="zh-CN"/>
              </w:rPr>
              <w:t>；</w:t>
            </w:r>
          </w:p>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3</w:t>
            </w:r>
            <w:r>
              <w:rPr>
                <w:rFonts w:hint="default" w:ascii="Times New Roman" w:hAnsi="Times New Roman" w:cs="Times New Roman"/>
                <w:sz w:val="21"/>
                <w:szCs w:val="21"/>
                <w:lang w:eastAsia="zh-CN"/>
              </w:rPr>
              <w:t>）</w:t>
            </w:r>
            <w:r>
              <w:rPr>
                <w:rFonts w:hint="default" w:ascii="Times New Roman" w:hAnsi="Times New Roman" w:cs="Times New Roman"/>
                <w:sz w:val="21"/>
                <w:szCs w:val="21"/>
              </w:rPr>
              <w:t>生活污水：经厂区现有的隔油池、化粪池处理后排入厂区污水处理站处理达标后用于厂区饲草区灌溉，非灌溉期集中收集在厂区修建的达标废水暂存池暂存后用于灌溉期灌溉。</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污水处理产依托现有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噪声</w:t>
            </w:r>
          </w:p>
        </w:tc>
        <w:tc>
          <w:tcPr>
            <w:tcW w:w="3404" w:type="pct"/>
            <w:tcBorders>
              <w:tl2br w:val="nil"/>
              <w:tr2bl w:val="nil"/>
            </w:tcBorders>
            <w:vAlign w:val="center"/>
          </w:tcPr>
          <w:p>
            <w:pPr>
              <w:spacing w:line="240" w:lineRule="auto"/>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通过合理布局生产单元，建设封闭式加工车间，产噪设备采用基座减震、厂房阻隔控制设备噪声；运输车辆噪声通过加强车辆管理，限速禁鸣。</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废物</w:t>
            </w:r>
          </w:p>
        </w:tc>
        <w:tc>
          <w:tcPr>
            <w:tcW w:w="3404" w:type="pct"/>
            <w:tcBorders>
              <w:tl2br w:val="nil"/>
              <w:tr2bl w:val="nil"/>
            </w:tcBorders>
            <w:vAlign w:val="center"/>
          </w:tcPr>
          <w:p>
            <w:pPr>
              <w:spacing w:line="240" w:lineRule="auto"/>
              <w:ind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羊粪：羊粪全部日产日清，集中收集后拉运至厂区现有的有机肥生产车间作为原料使用；</w:t>
            </w:r>
          </w:p>
          <w:p>
            <w:pPr>
              <w:spacing w:line="240" w:lineRule="auto"/>
              <w:ind w:firstLine="0" w:firstLineChars="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屠宰固废：全部集中收集后拉运至厂区现有的有机肥生产车间作为原料使用</w:t>
            </w:r>
            <w:r>
              <w:rPr>
                <w:rFonts w:hint="default" w:ascii="Times New Roman" w:hAnsi="Times New Roman" w:eastAsia="宋体" w:cs="Times New Roman"/>
                <w:sz w:val="21"/>
                <w:szCs w:val="21"/>
                <w:lang w:eastAsia="zh-CN"/>
              </w:rPr>
              <w:t>；</w:t>
            </w:r>
          </w:p>
          <w:p>
            <w:pPr>
              <w:spacing w:line="240" w:lineRule="auto"/>
              <w:ind w:firstLine="0" w:firstLineChars="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酱卤及蒸煮固废：全部集中收集后拉运至厂区现有的有机肥生产车间作为原料使用</w:t>
            </w:r>
            <w:r>
              <w:rPr>
                <w:rFonts w:hint="default" w:ascii="Times New Roman" w:hAnsi="Times New Roman" w:eastAsia="宋体" w:cs="Times New Roman"/>
                <w:sz w:val="21"/>
                <w:szCs w:val="21"/>
                <w:lang w:eastAsia="zh-CN"/>
              </w:rPr>
              <w:t>；</w:t>
            </w:r>
          </w:p>
          <w:p>
            <w:pPr>
              <w:spacing w:line="240" w:lineRule="auto"/>
              <w:ind w:firstLine="0" w:firstLineChars="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择菜固废：全部集中收集后拉运至厂区现有的有机肥生产车间作为原料使用</w:t>
            </w:r>
            <w:r>
              <w:rPr>
                <w:rFonts w:hint="default" w:ascii="Times New Roman" w:hAnsi="Times New Roman" w:eastAsia="宋体" w:cs="Times New Roman"/>
                <w:sz w:val="21"/>
                <w:szCs w:val="21"/>
                <w:lang w:eastAsia="zh-CN"/>
              </w:rPr>
              <w:t>；</w:t>
            </w:r>
          </w:p>
          <w:p>
            <w:pPr>
              <w:spacing w:line="240" w:lineRule="auto"/>
              <w:ind w:firstLine="0" w:firstLineChars="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废包装：废包装集中收集后外售废旧回收单位统一处置</w:t>
            </w:r>
            <w:r>
              <w:rPr>
                <w:rFonts w:hint="default" w:ascii="Times New Roman" w:hAnsi="Times New Roman" w:eastAsia="宋体" w:cs="Times New Roman"/>
                <w:sz w:val="21"/>
                <w:szCs w:val="21"/>
                <w:lang w:eastAsia="zh-CN"/>
              </w:rPr>
              <w:t>；</w:t>
            </w:r>
          </w:p>
          <w:p>
            <w:pPr>
              <w:spacing w:line="240" w:lineRule="auto"/>
              <w:ind w:firstLine="0" w:firstLineChars="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生活垃圾：生活垃圾集中收集后交由园区环卫部门统一处理</w:t>
            </w:r>
            <w:r>
              <w:rPr>
                <w:rFonts w:hint="default" w:ascii="Times New Roman" w:hAnsi="Times New Roman" w:eastAsia="宋体" w:cs="Times New Roman"/>
                <w:sz w:val="21"/>
                <w:szCs w:val="21"/>
                <w:lang w:eastAsia="zh-CN"/>
              </w:rPr>
              <w:t>；</w:t>
            </w:r>
          </w:p>
          <w:p>
            <w:pPr>
              <w:spacing w:line="240" w:lineRule="auto"/>
              <w:ind w:firstLine="0" w:firstLineChars="0"/>
              <w:jc w:val="both"/>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病死羊：全部委托张掖市宏金雁再生能源科技发展有限责任公司进行无害化处理，严禁随意丢弃，严禁出售或作为饲料再利用</w:t>
            </w:r>
            <w:r>
              <w:rPr>
                <w:rFonts w:hint="default" w:ascii="Times New Roman" w:hAnsi="Times New Roman" w:eastAsia="宋体" w:cs="Times New Roman"/>
                <w:sz w:val="21"/>
                <w:szCs w:val="21"/>
                <w:lang w:eastAsia="zh-CN"/>
              </w:rPr>
              <w:t>；</w:t>
            </w:r>
          </w:p>
          <w:p>
            <w:pPr>
              <w:spacing w:line="240" w:lineRule="auto"/>
              <w:ind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废活性炭：集中收集在危废暂存间后委托有资质的单位处置。</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厂区已建有机肥生产车间；新建危废暂存间和一般固废暂存间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restart"/>
            <w:tcBorders>
              <w:tl2br w:val="nil"/>
              <w:tr2bl w:val="nil"/>
            </w:tcBorders>
            <w:vAlign w:val="center"/>
          </w:tcPr>
          <w:p>
            <w:pPr>
              <w:pStyle w:val="2"/>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6</w:t>
            </w:r>
          </w:p>
        </w:tc>
        <w:tc>
          <w:tcPr>
            <w:tcW w:w="133" w:type="pct"/>
            <w:vMerge w:val="restart"/>
            <w:tcBorders>
              <w:tl2br w:val="nil"/>
              <w:tr2bl w:val="nil"/>
            </w:tcBorders>
            <w:vAlign w:val="center"/>
          </w:tcPr>
          <w:p>
            <w:pPr>
              <w:pStyle w:val="2"/>
              <w:ind w:left="0" w:leftChars="0" w:firstLine="0" w:firstLineChars="0"/>
              <w:jc w:val="both"/>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环境风险</w:t>
            </w: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风险事故</w:t>
            </w:r>
          </w:p>
        </w:tc>
        <w:tc>
          <w:tcPr>
            <w:tcW w:w="3404"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建设应急事故池1座，容积不得低于</w:t>
            </w:r>
            <w:r>
              <w:rPr>
                <w:rFonts w:hint="eastAsia" w:cs="Times New Roman"/>
                <w:sz w:val="21"/>
                <w:szCs w:val="21"/>
                <w:lang w:val="en-US" w:eastAsia="zh-CN"/>
              </w:rPr>
              <w:t>1500</w:t>
            </w:r>
            <w:r>
              <w:rPr>
                <w:rFonts w:hint="default" w:ascii="Times New Roman" w:hAnsi="Times New Roman" w:eastAsia="宋体" w:cs="Times New Roman"/>
                <w:sz w:val="21"/>
                <w:szCs w:val="21"/>
              </w:rPr>
              <w:t>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，建立地下水长期监测井</w:t>
            </w:r>
            <w:r>
              <w:rPr>
                <w:rFonts w:hint="eastAsia" w:ascii="Times New Roman" w:hAnsi="Times New Roman" w:eastAsia="宋体" w:cs="Times New Roman"/>
                <w:sz w:val="21"/>
                <w:szCs w:val="21"/>
                <w:lang w:eastAsia="zh-CN"/>
              </w:rPr>
              <w:t>。</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42" w:type="pct"/>
            <w:vMerge w:val="continue"/>
            <w:tcBorders>
              <w:tl2br w:val="nil"/>
              <w:tr2bl w:val="nil"/>
            </w:tcBorders>
            <w:vAlign w:val="center"/>
          </w:tcPr>
          <w:p>
            <w:pPr>
              <w:pStyle w:val="2"/>
              <w:jc w:val="center"/>
              <w:rPr>
                <w:rFonts w:hint="default" w:ascii="Times New Roman" w:hAnsi="Times New Roman" w:cs="Times New Roman"/>
                <w:color w:val="auto"/>
                <w:kern w:val="2"/>
                <w:sz w:val="21"/>
                <w:szCs w:val="21"/>
              </w:rPr>
            </w:pPr>
          </w:p>
        </w:tc>
        <w:tc>
          <w:tcPr>
            <w:tcW w:w="133" w:type="pct"/>
            <w:vMerge w:val="continue"/>
            <w:tcBorders>
              <w:tl2br w:val="nil"/>
              <w:tr2bl w:val="nil"/>
            </w:tcBorders>
            <w:vAlign w:val="center"/>
          </w:tcPr>
          <w:p>
            <w:pPr>
              <w:pStyle w:val="2"/>
              <w:jc w:val="center"/>
              <w:rPr>
                <w:rFonts w:hint="default" w:ascii="Times New Roman" w:hAnsi="Times New Roman" w:cs="Times New Roman"/>
                <w:color w:val="auto"/>
                <w:kern w:val="2"/>
                <w:sz w:val="21"/>
                <w:szCs w:val="21"/>
              </w:rPr>
            </w:pPr>
          </w:p>
        </w:tc>
        <w:tc>
          <w:tcPr>
            <w:tcW w:w="159" w:type="pct"/>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分区防渗</w:t>
            </w:r>
          </w:p>
        </w:tc>
        <w:tc>
          <w:tcPr>
            <w:tcW w:w="547" w:type="pct"/>
            <w:gridSpan w:val="2"/>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重点防渗区</w:t>
            </w:r>
          </w:p>
        </w:tc>
        <w:tc>
          <w:tcPr>
            <w:tcW w:w="340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污水处理系统（包括构筑物、阀门、管道、废水收集管网等）、达标废水暂存池</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新建</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、事故应急池</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依托现有</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、危废暂存间</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新建</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。防渗要求：等效粘土防渗层Mb≥6.0m，K≤1×10</w:t>
            </w:r>
            <w:r>
              <w:rPr>
                <w:rFonts w:hint="default" w:ascii="Times New Roman" w:hAnsi="Times New Roman" w:eastAsia="宋体" w:cs="Times New Roman"/>
                <w:sz w:val="21"/>
                <w:szCs w:val="21"/>
                <w:vertAlign w:val="superscript"/>
              </w:rPr>
              <w:t>-7</w:t>
            </w:r>
            <w:r>
              <w:rPr>
                <w:rFonts w:hint="default" w:ascii="Times New Roman" w:hAnsi="Times New Roman" w:eastAsia="宋体" w:cs="Times New Roman"/>
                <w:sz w:val="21"/>
                <w:szCs w:val="21"/>
              </w:rPr>
              <w:t>cm/s；</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污水处理系统依托现有，其他为新建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pStyle w:val="2"/>
              <w:jc w:val="center"/>
              <w:rPr>
                <w:rFonts w:hint="default" w:ascii="Times New Roman" w:hAnsi="Times New Roman" w:cs="Times New Roman"/>
                <w:color w:val="auto"/>
                <w:kern w:val="2"/>
                <w:sz w:val="21"/>
                <w:szCs w:val="21"/>
              </w:rPr>
            </w:pPr>
          </w:p>
        </w:tc>
        <w:tc>
          <w:tcPr>
            <w:tcW w:w="133" w:type="pct"/>
            <w:vMerge w:val="continue"/>
            <w:tcBorders>
              <w:tl2br w:val="nil"/>
              <w:tr2bl w:val="nil"/>
            </w:tcBorders>
            <w:vAlign w:val="center"/>
          </w:tcPr>
          <w:p>
            <w:pPr>
              <w:pStyle w:val="2"/>
              <w:jc w:val="center"/>
              <w:rPr>
                <w:rFonts w:hint="default" w:ascii="Times New Roman" w:hAnsi="Times New Roman" w:cs="Times New Roman"/>
                <w:color w:val="auto"/>
                <w:kern w:val="2"/>
                <w:sz w:val="21"/>
                <w:szCs w:val="21"/>
              </w:rPr>
            </w:pPr>
          </w:p>
        </w:tc>
        <w:tc>
          <w:tcPr>
            <w:tcW w:w="159" w:type="pct"/>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p>
        </w:tc>
        <w:tc>
          <w:tcPr>
            <w:tcW w:w="547" w:type="pct"/>
            <w:gridSpan w:val="2"/>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一般防渗区</w:t>
            </w:r>
          </w:p>
        </w:tc>
        <w:tc>
          <w:tcPr>
            <w:tcW w:w="340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综合生产车间、待宰圈、冷库、一般固废暂存间。防渗要求：等效粘土防渗层Mb≥1.5m，K≤1×10</w:t>
            </w:r>
            <w:r>
              <w:rPr>
                <w:rFonts w:hint="default" w:ascii="Times New Roman" w:hAnsi="Times New Roman" w:eastAsia="宋体" w:cs="Times New Roman"/>
                <w:sz w:val="21"/>
                <w:szCs w:val="21"/>
                <w:vertAlign w:val="superscript"/>
              </w:rPr>
              <w:t>-7</w:t>
            </w:r>
            <w:r>
              <w:rPr>
                <w:rFonts w:hint="default" w:ascii="Times New Roman" w:hAnsi="Times New Roman" w:eastAsia="宋体" w:cs="Times New Roman"/>
                <w:sz w:val="21"/>
                <w:szCs w:val="21"/>
              </w:rPr>
              <w:t>cm/s；；</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pStyle w:val="2"/>
              <w:jc w:val="center"/>
              <w:rPr>
                <w:rFonts w:hint="default" w:ascii="Times New Roman" w:hAnsi="Times New Roman" w:cs="Times New Roman"/>
                <w:color w:val="auto"/>
                <w:kern w:val="2"/>
                <w:sz w:val="21"/>
                <w:szCs w:val="21"/>
              </w:rPr>
            </w:pPr>
          </w:p>
        </w:tc>
        <w:tc>
          <w:tcPr>
            <w:tcW w:w="133" w:type="pct"/>
            <w:vMerge w:val="continue"/>
            <w:tcBorders>
              <w:tl2br w:val="nil"/>
              <w:tr2bl w:val="nil"/>
            </w:tcBorders>
            <w:vAlign w:val="center"/>
          </w:tcPr>
          <w:p>
            <w:pPr>
              <w:pStyle w:val="2"/>
              <w:jc w:val="center"/>
              <w:rPr>
                <w:rFonts w:hint="default" w:ascii="Times New Roman" w:hAnsi="Times New Roman" w:cs="Times New Roman"/>
                <w:color w:val="auto"/>
                <w:kern w:val="2"/>
                <w:sz w:val="21"/>
                <w:szCs w:val="21"/>
              </w:rPr>
            </w:pPr>
          </w:p>
        </w:tc>
        <w:tc>
          <w:tcPr>
            <w:tcW w:w="159" w:type="pct"/>
            <w:vMerge w:val="continue"/>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p>
        </w:tc>
        <w:tc>
          <w:tcPr>
            <w:tcW w:w="547" w:type="pct"/>
            <w:gridSpan w:val="2"/>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简单防渗区</w:t>
            </w:r>
          </w:p>
        </w:tc>
        <w:tc>
          <w:tcPr>
            <w:tcW w:w="340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办公区域。防渗要求：一般地面硬化</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133" w:type="pct"/>
            <w:vMerge w:val="continue"/>
            <w:tcBorders>
              <w:tl2br w:val="nil"/>
              <w:tr2bl w:val="nil"/>
            </w:tcBorders>
            <w:vAlign w:val="center"/>
          </w:tcPr>
          <w:p>
            <w:pPr>
              <w:spacing w:line="240" w:lineRule="auto"/>
              <w:ind w:firstLine="0" w:firstLineChars="0"/>
              <w:jc w:val="center"/>
              <w:rPr>
                <w:rFonts w:hint="default" w:ascii="Times New Roman" w:hAnsi="Times New Roman" w:cs="Times New Roman"/>
                <w:sz w:val="21"/>
                <w:szCs w:val="21"/>
              </w:rPr>
            </w:pPr>
          </w:p>
        </w:tc>
        <w:tc>
          <w:tcPr>
            <w:tcW w:w="706" w:type="pct"/>
            <w:gridSpan w:val="3"/>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应急预案</w:t>
            </w:r>
          </w:p>
        </w:tc>
        <w:tc>
          <w:tcPr>
            <w:tcW w:w="340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重新修订突发环境事件应急预案，并在张掖市经济技术开发区生态环境局完成备案</w:t>
            </w:r>
          </w:p>
        </w:tc>
        <w:tc>
          <w:tcPr>
            <w:tcW w:w="5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修编</w:t>
            </w:r>
          </w:p>
        </w:tc>
      </w:tr>
    </w:tbl>
    <w:p>
      <w:pPr>
        <w:ind w:firstLine="0" w:firstLineChars="0"/>
      </w:pPr>
    </w:p>
    <w:p>
      <w:pPr>
        <w:ind w:firstLine="480"/>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6"/>
        <w:ind w:firstLine="482"/>
      </w:pPr>
      <w:bookmarkStart w:id="481" w:name="_Toc538"/>
      <w:r>
        <w:rPr>
          <w:rFonts w:hint="eastAsia"/>
          <w:lang w:val="en-US" w:eastAsia="zh-CN"/>
        </w:rPr>
        <w:t>3</w:t>
      </w:r>
      <w:r>
        <w:rPr>
          <w:rFonts w:hint="eastAsia"/>
        </w:rPr>
        <w:t>.2.2、</w:t>
      </w:r>
      <w:r>
        <w:rPr>
          <w:rFonts w:hint="eastAsia"/>
          <w:lang w:val="en-US" w:eastAsia="zh-CN"/>
        </w:rPr>
        <w:t>拟建</w:t>
      </w:r>
      <w:r>
        <w:t>项目公用工程及辅助设施</w:t>
      </w:r>
      <w:bookmarkEnd w:id="481"/>
    </w:p>
    <w:p>
      <w:pPr>
        <w:ind w:firstLine="482"/>
        <w:rPr>
          <w:b/>
          <w:bCs/>
        </w:rPr>
      </w:pPr>
      <w:r>
        <w:rPr>
          <w:b/>
          <w:bCs/>
        </w:rPr>
        <w:t>（1）供水</w:t>
      </w:r>
    </w:p>
    <w:p>
      <w:pPr>
        <w:ind w:firstLine="480"/>
      </w:pPr>
      <w:r>
        <w:rPr>
          <w:rFonts w:hint="eastAsia"/>
        </w:rPr>
        <w:t>依托厂区现有的机井，</w:t>
      </w:r>
      <w:r>
        <w:t>项目厂区包含机井6座，年综合供水量</w:t>
      </w:r>
      <w:r>
        <w:rPr>
          <w:rFonts w:hint="eastAsia"/>
          <w:lang w:val="en-US" w:eastAsia="zh-CN"/>
        </w:rPr>
        <w:t>55</w:t>
      </w:r>
      <w:r>
        <w:t>万m</w:t>
      </w:r>
      <w:r>
        <w:rPr>
          <w:vertAlign w:val="superscript"/>
        </w:rPr>
        <w:t>3</w:t>
      </w:r>
      <w:r>
        <w:t>，水量水质满足本项目生产、生活需要。</w:t>
      </w:r>
      <w:r>
        <w:rPr>
          <w:rFonts w:hint="eastAsia"/>
        </w:rPr>
        <w:t>本项目肉羊在待宰圈暂存时不饮水，因此不涉及羊饮水。</w:t>
      </w:r>
    </w:p>
    <w:p>
      <w:pPr>
        <w:ind w:firstLine="482"/>
        <w:rPr>
          <w:b/>
          <w:bCs/>
        </w:rPr>
      </w:pPr>
      <w:r>
        <w:rPr>
          <w:b/>
          <w:bCs/>
        </w:rPr>
        <w:t>①</w:t>
      </w:r>
      <w:r>
        <w:rPr>
          <w:rFonts w:hint="eastAsia"/>
          <w:b/>
          <w:bCs/>
        </w:rPr>
        <w:t>生活用水</w:t>
      </w:r>
    </w:p>
    <w:p>
      <w:pPr>
        <w:ind w:firstLine="480"/>
      </w:pPr>
      <w:r>
        <w:rPr>
          <w:rFonts w:hint="eastAsia"/>
        </w:rPr>
        <w:t>生活用水主要是指劳动人员在日常的洗漱、食宿等过程中使用的自来水，根据建设单位提供的资料，本项目新增劳动职工100人，本环评生活用水参照</w:t>
      </w:r>
      <w:r>
        <w:rPr>
          <w:rFonts w:hint="eastAsia"/>
          <w:lang w:val="en-US" w:eastAsia="zh-CN"/>
        </w:rPr>
        <w:t>《甘肃省行业用水定额（2023版）》</w:t>
      </w:r>
      <w:r>
        <w:rPr>
          <w:rFonts w:hint="eastAsia"/>
        </w:rPr>
        <w:t>（</w:t>
      </w:r>
      <w:r>
        <w:rPr>
          <w:rFonts w:hint="eastAsia"/>
          <w:lang w:val="en-US" w:eastAsia="zh-CN"/>
        </w:rPr>
        <w:t>甘政发〔2023〕15号</w:t>
      </w:r>
      <w:r>
        <w:rPr>
          <w:rFonts w:hint="eastAsia"/>
        </w:rPr>
        <w:t>）中的推荐系数进行计算，</w:t>
      </w:r>
      <w:r>
        <w:rPr>
          <w:rFonts w:hint="eastAsia"/>
          <w:lang w:val="en-US" w:eastAsia="zh-CN"/>
        </w:rPr>
        <w:t>该标准中</w:t>
      </w:r>
      <w:r>
        <w:rPr>
          <w:rFonts w:hint="eastAsia"/>
        </w:rPr>
        <w:t>生活用水系数</w:t>
      </w:r>
      <w:r>
        <w:rPr>
          <w:rFonts w:hint="eastAsia"/>
          <w:lang w:val="en-US" w:eastAsia="zh-CN"/>
        </w:rPr>
        <w:t>120</w:t>
      </w:r>
      <w:r>
        <w:rPr>
          <w:rFonts w:hint="eastAsia"/>
        </w:rPr>
        <w:t>L/人·d，则本项目职工生活用水量为</w:t>
      </w:r>
      <w:r>
        <w:rPr>
          <w:rFonts w:hint="eastAsia"/>
          <w:lang w:val="en-US" w:eastAsia="zh-CN"/>
        </w:rPr>
        <w:t>12</w:t>
      </w:r>
      <w:r>
        <w:rPr>
          <w:rFonts w:hint="eastAsia"/>
        </w:rPr>
        <w:t>.0m</w:t>
      </w:r>
      <w:r>
        <w:rPr>
          <w:rFonts w:hint="eastAsia"/>
          <w:vertAlign w:val="superscript"/>
        </w:rPr>
        <w:t>3</w:t>
      </w:r>
      <w:r>
        <w:rPr>
          <w:rFonts w:hint="eastAsia"/>
        </w:rPr>
        <w:t>/d（</w:t>
      </w:r>
      <w:r>
        <w:rPr>
          <w:rFonts w:hint="eastAsia"/>
          <w:lang w:val="en-US" w:eastAsia="zh-CN"/>
        </w:rPr>
        <w:t>4380</w:t>
      </w:r>
      <w:r>
        <w:rPr>
          <w:rFonts w:hint="eastAsia"/>
        </w:rPr>
        <w:t>m</w:t>
      </w:r>
      <w:r>
        <w:rPr>
          <w:rFonts w:hint="eastAsia"/>
          <w:vertAlign w:val="superscript"/>
        </w:rPr>
        <w:t>3</w:t>
      </w:r>
      <w:r>
        <w:rPr>
          <w:rFonts w:hint="eastAsia"/>
        </w:rPr>
        <w:t>/a）。</w:t>
      </w:r>
    </w:p>
    <w:p>
      <w:pPr>
        <w:ind w:firstLine="482"/>
      </w:pPr>
      <w:r>
        <w:rPr>
          <w:b/>
          <w:bCs/>
        </w:rPr>
        <w:t>②肉</w:t>
      </w:r>
      <w:r>
        <w:rPr>
          <w:rFonts w:hint="eastAsia"/>
          <w:b/>
          <w:bCs/>
        </w:rPr>
        <w:t>羊精深加工生产线屠宰用水</w:t>
      </w:r>
    </w:p>
    <w:p>
      <w:pPr>
        <w:ind w:firstLine="480"/>
      </w:pPr>
      <w:r>
        <w:rPr>
          <w:rFonts w:hint="eastAsia"/>
        </w:rPr>
        <w:t>根据《屠宰与肉类加工废水治理工程技术规范》（HJ2004—2010）中对“屠宰过程”的解释可知，屠宰过程是指屠宰时进行的圈栏冲洗、宰前淋洗、宰后烫毛或剥皮、开腔、劈半、解体、内脏洗涤及车间冲洗等过程。</w:t>
      </w:r>
      <w:r>
        <w:rPr>
          <w:rFonts w:hint="eastAsia"/>
          <w:lang w:val="en-US" w:eastAsia="zh-CN"/>
        </w:rPr>
        <w:t>拟建项目</w:t>
      </w:r>
      <w:r>
        <w:rPr>
          <w:rFonts w:hint="eastAsia"/>
        </w:rPr>
        <w:t>屠宰用水参照</w:t>
      </w:r>
      <w:r>
        <w:rPr>
          <w:rFonts w:hint="eastAsia"/>
          <w:lang w:val="en-US" w:eastAsia="zh-CN"/>
        </w:rPr>
        <w:t>《甘肃省行业用水定额（2023版）》</w:t>
      </w:r>
      <w:r>
        <w:rPr>
          <w:rFonts w:hint="eastAsia"/>
        </w:rPr>
        <w:t>（</w:t>
      </w:r>
      <w:r>
        <w:rPr>
          <w:rFonts w:hint="eastAsia"/>
          <w:lang w:val="en-US" w:eastAsia="zh-CN"/>
        </w:rPr>
        <w:t>甘政发〔2023〕15号</w:t>
      </w:r>
      <w:r>
        <w:rPr>
          <w:rFonts w:hint="eastAsia"/>
        </w:rPr>
        <w:t>）中推荐的用水系数</w:t>
      </w:r>
      <w:r>
        <w:rPr>
          <w:rFonts w:hint="eastAsia"/>
          <w:lang w:val="en-US" w:eastAsia="zh-CN"/>
        </w:rPr>
        <w:t>进行计算</w:t>
      </w:r>
      <w:r>
        <w:rPr>
          <w:rFonts w:hint="eastAsia"/>
        </w:rPr>
        <w:t>，</w:t>
      </w:r>
      <w:r>
        <w:rPr>
          <w:rFonts w:hint="eastAsia"/>
          <w:lang w:val="en-US" w:eastAsia="zh-CN"/>
        </w:rPr>
        <w:t>该标准中肉羊屠宰用水系数为“羊—0.35</w:t>
      </w:r>
      <w:r>
        <w:rPr>
          <w:rFonts w:hint="eastAsia"/>
        </w:rPr>
        <w:t>m</w:t>
      </w:r>
      <w:r>
        <w:rPr>
          <w:rFonts w:hint="eastAsia"/>
          <w:vertAlign w:val="superscript"/>
        </w:rPr>
        <w:t>3</w:t>
      </w:r>
      <w:r>
        <w:rPr>
          <w:rFonts w:hint="eastAsia"/>
        </w:rPr>
        <w:t>/只</w:t>
      </w:r>
      <w:r>
        <w:rPr>
          <w:rFonts w:hint="eastAsia"/>
          <w:lang w:val="en-US" w:eastAsia="zh-CN"/>
        </w:rPr>
        <w:t>”</w:t>
      </w:r>
      <w:r>
        <w:rPr>
          <w:rFonts w:hint="eastAsia"/>
        </w:rPr>
        <w:t>，本项目年屠宰肉羊60万只，则屠宰用水量为575.34m</w:t>
      </w:r>
      <w:r>
        <w:rPr>
          <w:rFonts w:hint="eastAsia"/>
          <w:vertAlign w:val="superscript"/>
        </w:rPr>
        <w:t>3</w:t>
      </w:r>
      <w:r>
        <w:rPr>
          <w:rFonts w:hint="eastAsia"/>
        </w:rPr>
        <w:t>/d（210000m</w:t>
      </w:r>
      <w:r>
        <w:rPr>
          <w:rFonts w:hint="eastAsia"/>
          <w:vertAlign w:val="superscript"/>
        </w:rPr>
        <w:t>3</w:t>
      </w:r>
      <w:r>
        <w:rPr>
          <w:rFonts w:hint="eastAsia"/>
        </w:rPr>
        <w:t>/a）。</w:t>
      </w:r>
    </w:p>
    <w:p>
      <w:pPr>
        <w:ind w:firstLine="482"/>
        <w:rPr>
          <w:b/>
          <w:bCs/>
        </w:rPr>
      </w:pPr>
      <w:r>
        <w:rPr>
          <w:b/>
          <w:bCs/>
        </w:rPr>
        <w:t>③牛</w:t>
      </w:r>
      <w:r>
        <w:rPr>
          <w:rFonts w:hint="eastAsia"/>
          <w:b/>
          <w:bCs/>
        </w:rPr>
        <w:t>羊预制品生产线用水</w:t>
      </w:r>
    </w:p>
    <w:p>
      <w:pPr>
        <w:ind w:firstLine="480"/>
      </w:pPr>
      <w:r>
        <w:rPr>
          <w:rFonts w:hint="eastAsia"/>
        </w:rPr>
        <w:t>牛羊预制品生产线用水是指牛羊预制品生产线生产设备清洗用水、牛羊肉清洗用水、蔬菜清洗用水、牛羊肉焯水用水、牛肉卤制用水、牛羊肉蒸煮用水</w:t>
      </w:r>
      <w:r>
        <w:rPr>
          <w:rFonts w:hint="eastAsia"/>
          <w:lang w:val="en-US" w:eastAsia="zh-CN"/>
        </w:rPr>
        <w:t>等</w:t>
      </w:r>
      <w:r>
        <w:rPr>
          <w:rFonts w:hint="eastAsia"/>
        </w:rPr>
        <w:t>。牛羊预制品生产线</w:t>
      </w:r>
      <w:r>
        <w:rPr>
          <w:rFonts w:hint="eastAsia"/>
          <w:lang w:val="en-US" w:eastAsia="zh-CN"/>
        </w:rPr>
        <w:t>用水参照《甘肃省行业用水定额（2023版）》</w:t>
      </w:r>
      <w:r>
        <w:rPr>
          <w:rFonts w:hint="eastAsia"/>
        </w:rPr>
        <w:t>（</w:t>
      </w:r>
      <w:r>
        <w:rPr>
          <w:rFonts w:hint="eastAsia"/>
          <w:lang w:val="en-US" w:eastAsia="zh-CN"/>
        </w:rPr>
        <w:t>甘政发〔2023〕15号</w:t>
      </w:r>
      <w:r>
        <w:rPr>
          <w:rFonts w:hint="eastAsia"/>
        </w:rPr>
        <w:t>）中推荐的用水系数</w:t>
      </w:r>
      <w:r>
        <w:rPr>
          <w:rFonts w:hint="eastAsia"/>
          <w:lang w:val="en-US" w:eastAsia="zh-CN"/>
        </w:rPr>
        <w:t>进行计算</w:t>
      </w:r>
      <w:r>
        <w:rPr>
          <w:rFonts w:hint="eastAsia"/>
        </w:rPr>
        <w:t>，</w:t>
      </w:r>
      <w:r>
        <w:rPr>
          <w:rFonts w:hint="eastAsia"/>
          <w:lang w:val="en-US" w:eastAsia="zh-CN"/>
        </w:rPr>
        <w:t>该标准中肉制品加工（原料为牛羊鸡鸭等）系数为“9</w:t>
      </w:r>
      <w:r>
        <w:rPr>
          <w:rFonts w:hint="eastAsia"/>
        </w:rPr>
        <w:t>m</w:t>
      </w:r>
      <w:r>
        <w:rPr>
          <w:rFonts w:hint="eastAsia"/>
          <w:vertAlign w:val="superscript"/>
        </w:rPr>
        <w:t>3</w:t>
      </w:r>
      <w:r>
        <w:rPr>
          <w:rFonts w:hint="eastAsia"/>
        </w:rPr>
        <w:t>/</w:t>
      </w:r>
      <w:r>
        <w:rPr>
          <w:rFonts w:hint="eastAsia"/>
          <w:lang w:val="en-US" w:eastAsia="zh-CN"/>
        </w:rPr>
        <w:t>t”</w:t>
      </w:r>
      <w:r>
        <w:rPr>
          <w:rFonts w:hint="eastAsia"/>
        </w:rPr>
        <w:t>，</w:t>
      </w:r>
      <w:r>
        <w:rPr>
          <w:rFonts w:hint="eastAsia"/>
          <w:lang w:val="en-US" w:eastAsia="zh-CN"/>
        </w:rPr>
        <w:t>本项目牛羊预制品年产量为10000t/a，则牛羊预制品生产线用水量为246.58m</w:t>
      </w:r>
      <w:r>
        <w:rPr>
          <w:rFonts w:hint="eastAsia"/>
          <w:vertAlign w:val="superscript"/>
          <w:lang w:val="en-US" w:eastAsia="zh-CN"/>
        </w:rPr>
        <w:t>3</w:t>
      </w:r>
      <w:r>
        <w:rPr>
          <w:rFonts w:hint="eastAsia"/>
          <w:lang w:val="en-US" w:eastAsia="zh-CN"/>
        </w:rPr>
        <w:t>/d（90000m</w:t>
      </w:r>
      <w:r>
        <w:rPr>
          <w:rFonts w:hint="eastAsia"/>
          <w:vertAlign w:val="superscript"/>
          <w:lang w:val="en-US" w:eastAsia="zh-CN"/>
        </w:rPr>
        <w:t>3</w:t>
      </w:r>
      <w:r>
        <w:rPr>
          <w:rFonts w:hint="eastAsia"/>
          <w:lang w:val="en-US" w:eastAsia="zh-CN"/>
        </w:rPr>
        <w:t>/a）。</w:t>
      </w:r>
    </w:p>
    <w:p>
      <w:pPr>
        <w:ind w:firstLine="482"/>
      </w:pPr>
      <w:r>
        <w:rPr>
          <w:b/>
          <w:bCs/>
        </w:rPr>
        <w:t>④</w:t>
      </w:r>
      <w:r>
        <w:rPr>
          <w:rFonts w:hint="eastAsia"/>
          <w:b/>
          <w:bCs/>
        </w:rPr>
        <w:t>羊杂预制品生产线用水</w:t>
      </w:r>
    </w:p>
    <w:p>
      <w:pPr>
        <w:ind w:firstLine="480"/>
      </w:pPr>
      <w:r>
        <w:rPr>
          <w:rFonts w:hint="eastAsia"/>
        </w:rPr>
        <w:t>羊杂预制品主要为蒸煮类制品，羊杂预制品生产线废水主要包括羊杂原料清洗废水、生产设备清洗废水以及蒸煮完成后的清洗废水，</w:t>
      </w:r>
      <w:r>
        <w:rPr>
          <w:rFonts w:hint="eastAsia"/>
          <w:lang w:val="en-US" w:eastAsia="zh-CN"/>
        </w:rPr>
        <w:t>由于《甘肃省行业用水定额（2023版）》</w:t>
      </w:r>
      <w:r>
        <w:rPr>
          <w:rFonts w:hint="eastAsia"/>
        </w:rPr>
        <w:t>（</w:t>
      </w:r>
      <w:r>
        <w:rPr>
          <w:rFonts w:hint="eastAsia"/>
          <w:lang w:val="en-US" w:eastAsia="zh-CN"/>
        </w:rPr>
        <w:t>甘政发〔2023〕15号</w:t>
      </w:r>
      <w:r>
        <w:rPr>
          <w:rFonts w:hint="eastAsia"/>
        </w:rPr>
        <w:t>）</w:t>
      </w:r>
      <w:r>
        <w:rPr>
          <w:rFonts w:hint="eastAsia"/>
          <w:lang w:val="en-US" w:eastAsia="zh-CN"/>
        </w:rPr>
        <w:t>未涉及羊杂熟食制品用水系数，故本项目</w:t>
      </w:r>
      <w:r>
        <w:rPr>
          <w:rFonts w:hint="eastAsia"/>
        </w:rPr>
        <w:t>羊杂预制品生产线用水</w:t>
      </w:r>
      <w:r>
        <w:rPr>
          <w:rFonts w:hint="eastAsia"/>
          <w:lang w:val="en-US" w:eastAsia="zh-CN"/>
        </w:rPr>
        <w:t>参照《甘肃省行业用水定额（2023版）》</w:t>
      </w:r>
      <w:r>
        <w:rPr>
          <w:rFonts w:hint="eastAsia"/>
        </w:rPr>
        <w:t>（</w:t>
      </w:r>
      <w:r>
        <w:rPr>
          <w:rFonts w:hint="eastAsia"/>
          <w:lang w:val="en-US" w:eastAsia="zh-CN"/>
        </w:rPr>
        <w:t>甘政发〔2023〕15号</w:t>
      </w:r>
      <w:r>
        <w:rPr>
          <w:rFonts w:hint="eastAsia"/>
        </w:rPr>
        <w:t>）中推荐的用水系数</w:t>
      </w:r>
      <w:r>
        <w:rPr>
          <w:rFonts w:hint="eastAsia"/>
          <w:lang w:val="en-US" w:eastAsia="zh-CN"/>
        </w:rPr>
        <w:t>进行计算</w:t>
      </w:r>
      <w:r>
        <w:rPr>
          <w:rFonts w:hint="eastAsia"/>
        </w:rPr>
        <w:t>，</w:t>
      </w:r>
      <w:r>
        <w:rPr>
          <w:rFonts w:hint="eastAsia"/>
          <w:lang w:val="en-US" w:eastAsia="zh-CN"/>
        </w:rPr>
        <w:t>该标准中</w:t>
      </w:r>
      <w:r>
        <w:rPr>
          <w:rFonts w:hint="eastAsia"/>
        </w:rPr>
        <w:t>羊杂预制品</w:t>
      </w:r>
      <w:r>
        <w:rPr>
          <w:rFonts w:hint="eastAsia"/>
          <w:lang w:val="en-US" w:eastAsia="zh-CN"/>
        </w:rPr>
        <w:t>用水系数为“1353/肉制品及副产品加工/熟肉制品/6</w:t>
      </w:r>
      <w:r>
        <w:rPr>
          <w:rFonts w:hint="eastAsia"/>
        </w:rPr>
        <w:t>m</w:t>
      </w:r>
      <w:r>
        <w:rPr>
          <w:rFonts w:hint="eastAsia"/>
          <w:vertAlign w:val="superscript"/>
        </w:rPr>
        <w:t>3</w:t>
      </w:r>
      <w:r>
        <w:rPr>
          <w:rFonts w:hint="eastAsia"/>
        </w:rPr>
        <w:t>/</w:t>
      </w:r>
      <w:r>
        <w:rPr>
          <w:rFonts w:hint="eastAsia"/>
          <w:lang w:val="en-US" w:eastAsia="zh-CN"/>
        </w:rPr>
        <w:t>t”</w:t>
      </w:r>
      <w:r>
        <w:rPr>
          <w:rFonts w:hint="eastAsia"/>
        </w:rPr>
        <w:t>，</w:t>
      </w:r>
      <w:r>
        <w:rPr>
          <w:rFonts w:hint="eastAsia"/>
          <w:lang w:val="en-US" w:eastAsia="zh-CN"/>
        </w:rPr>
        <w:t>拟建项目</w:t>
      </w:r>
      <w:r>
        <w:rPr>
          <w:rFonts w:hint="eastAsia"/>
        </w:rPr>
        <w:t>年生产羊杂</w:t>
      </w:r>
      <w:r>
        <w:rPr>
          <w:rFonts w:hint="eastAsia"/>
          <w:lang w:val="en-US" w:eastAsia="zh-CN"/>
        </w:rPr>
        <w:t>预制品</w:t>
      </w:r>
      <w:r>
        <w:rPr>
          <w:rFonts w:hint="eastAsia"/>
        </w:rPr>
        <w:t>2000t，则用水量为</w:t>
      </w:r>
      <w:r>
        <w:rPr>
          <w:rFonts w:hint="eastAsia"/>
          <w:lang w:val="en-US" w:eastAsia="zh-CN"/>
        </w:rPr>
        <w:t>32.88</w:t>
      </w:r>
      <w:r>
        <w:rPr>
          <w:rFonts w:hint="eastAsia"/>
        </w:rPr>
        <w:t>m</w:t>
      </w:r>
      <w:r>
        <w:rPr>
          <w:rFonts w:hint="eastAsia"/>
          <w:vertAlign w:val="superscript"/>
        </w:rPr>
        <w:t>3</w:t>
      </w:r>
      <w:r>
        <w:rPr>
          <w:rFonts w:hint="eastAsia"/>
        </w:rPr>
        <w:t>/d（</w:t>
      </w:r>
      <w:r>
        <w:rPr>
          <w:rFonts w:hint="eastAsia"/>
          <w:lang w:val="en-US" w:eastAsia="zh-CN"/>
        </w:rPr>
        <w:t>12000</w:t>
      </w:r>
      <w:r>
        <w:rPr>
          <w:rFonts w:hint="eastAsia"/>
        </w:rPr>
        <w:t>m</w:t>
      </w:r>
      <w:r>
        <w:rPr>
          <w:rFonts w:hint="eastAsia"/>
          <w:vertAlign w:val="superscript"/>
        </w:rPr>
        <w:t>3</w:t>
      </w:r>
      <w:r>
        <w:rPr>
          <w:rFonts w:hint="eastAsia"/>
        </w:rPr>
        <w:t>/a）。</w:t>
      </w:r>
    </w:p>
    <w:p>
      <w:pPr>
        <w:ind w:firstLine="482"/>
        <w:rPr>
          <w:b/>
          <w:bCs/>
        </w:rPr>
      </w:pPr>
      <w:r>
        <w:rPr>
          <w:b/>
          <w:bCs/>
        </w:rPr>
        <w:t>⑤</w:t>
      </w:r>
      <w:r>
        <w:rPr>
          <w:rFonts w:hint="eastAsia"/>
          <w:b/>
          <w:bCs/>
        </w:rPr>
        <w:t>冷却用水</w:t>
      </w:r>
    </w:p>
    <w:p>
      <w:pPr>
        <w:ind w:firstLine="480"/>
      </w:pPr>
      <w:r>
        <w:rPr>
          <w:rFonts w:hint="eastAsia"/>
        </w:rPr>
        <w:t>根据建设单位提供的《60万只肉羊精深分割及牛羊预制品加工项目可行性研究报告》（甘肃昌汇咨询服务有限公司）可知，本项目冷库制冷机用冷却水全部经循环冷却水池降温后循环使用，不外排，循环给水系统采用敞开式循环冷却系统。循环水平均用量为60m</w:t>
      </w:r>
      <w:r>
        <w:rPr>
          <w:rFonts w:hint="eastAsia"/>
          <w:vertAlign w:val="superscript"/>
        </w:rPr>
        <w:t>3</w:t>
      </w:r>
      <w:r>
        <w:rPr>
          <w:rFonts w:hint="eastAsia"/>
        </w:rPr>
        <w:t>/d，在冷却过程中自然蒸发损失量按照冷却用水量的10%计算，则冷库在运行过程中需要补充新鲜水量为6m</w:t>
      </w:r>
      <w:r>
        <w:rPr>
          <w:rFonts w:hint="eastAsia"/>
          <w:vertAlign w:val="superscript"/>
        </w:rPr>
        <w:t>3</w:t>
      </w:r>
      <w:r>
        <w:rPr>
          <w:rFonts w:hint="eastAsia"/>
        </w:rPr>
        <w:t>/d（2190m</w:t>
      </w:r>
      <w:r>
        <w:rPr>
          <w:rFonts w:hint="eastAsia"/>
          <w:vertAlign w:val="superscript"/>
        </w:rPr>
        <w:t>3</w:t>
      </w:r>
      <w:r>
        <w:rPr>
          <w:rFonts w:hint="eastAsia"/>
        </w:rPr>
        <w:t>/a），总用水量为66m</w:t>
      </w:r>
      <w:r>
        <w:rPr>
          <w:rFonts w:hint="eastAsia"/>
          <w:vertAlign w:val="superscript"/>
        </w:rPr>
        <w:t>3</w:t>
      </w:r>
      <w:r>
        <w:rPr>
          <w:rFonts w:hint="eastAsia"/>
        </w:rPr>
        <w:t>/d（24090m</w:t>
      </w:r>
      <w:r>
        <w:rPr>
          <w:rFonts w:hint="eastAsia"/>
          <w:vertAlign w:val="superscript"/>
        </w:rPr>
        <w:t>3</w:t>
      </w:r>
      <w:r>
        <w:rPr>
          <w:rFonts w:hint="eastAsia"/>
        </w:rPr>
        <w:t>/a）。</w:t>
      </w:r>
    </w:p>
    <w:p>
      <w:pPr>
        <w:ind w:firstLine="482"/>
        <w:rPr>
          <w:b/>
          <w:bCs/>
        </w:rPr>
      </w:pPr>
      <w:r>
        <w:rPr>
          <w:b/>
          <w:bCs/>
        </w:rPr>
        <w:t>⑥</w:t>
      </w:r>
      <w:r>
        <w:rPr>
          <w:rFonts w:hint="eastAsia"/>
          <w:b/>
          <w:bCs/>
        </w:rPr>
        <w:t>不可预见用水</w:t>
      </w:r>
    </w:p>
    <w:p>
      <w:pPr>
        <w:ind w:firstLine="480"/>
      </w:pPr>
      <w:r>
        <w:rPr>
          <w:rFonts w:hint="eastAsia"/>
        </w:rPr>
        <w:t>不可预见用水量按照总用水量的10%计算，则不可预见用水量为</w:t>
      </w:r>
      <w:r>
        <w:rPr>
          <w:rFonts w:hint="eastAsia"/>
          <w:lang w:val="en-US" w:eastAsia="zh-CN"/>
        </w:rPr>
        <w:t>86.70</w:t>
      </w:r>
      <w:r>
        <w:rPr>
          <w:rFonts w:hint="eastAsia"/>
        </w:rPr>
        <w:t>m</w:t>
      </w:r>
      <w:r>
        <w:rPr>
          <w:rFonts w:hint="eastAsia"/>
          <w:vertAlign w:val="superscript"/>
        </w:rPr>
        <w:t>3</w:t>
      </w:r>
      <w:r>
        <w:rPr>
          <w:rFonts w:hint="eastAsia"/>
        </w:rPr>
        <w:t>/d（</w:t>
      </w:r>
      <w:r>
        <w:rPr>
          <w:rFonts w:hint="eastAsia"/>
          <w:lang w:val="en-US" w:eastAsia="zh-CN"/>
        </w:rPr>
        <w:t>31645</w:t>
      </w:r>
      <w:r>
        <w:rPr>
          <w:rFonts w:hint="eastAsia"/>
        </w:rPr>
        <w:t>m</w:t>
      </w:r>
      <w:r>
        <w:rPr>
          <w:rFonts w:hint="eastAsia"/>
          <w:vertAlign w:val="superscript"/>
        </w:rPr>
        <w:t>3</w:t>
      </w:r>
      <w:r>
        <w:rPr>
          <w:rFonts w:hint="eastAsia"/>
        </w:rPr>
        <w:t>/a）。</w:t>
      </w:r>
    </w:p>
    <w:p>
      <w:pPr>
        <w:ind w:firstLine="482"/>
        <w:rPr>
          <w:b/>
          <w:bCs/>
        </w:rPr>
      </w:pPr>
      <w:r>
        <w:rPr>
          <w:rFonts w:hint="eastAsia"/>
          <w:b/>
          <w:bCs/>
        </w:rPr>
        <w:t>（2）排水</w:t>
      </w:r>
    </w:p>
    <w:p>
      <w:pPr>
        <w:ind w:firstLine="482"/>
        <w:rPr>
          <w:b/>
          <w:bCs/>
        </w:rPr>
      </w:pPr>
      <w:r>
        <w:rPr>
          <w:b/>
          <w:bCs/>
        </w:rPr>
        <w:t>①羊尿</w:t>
      </w:r>
      <w:r>
        <w:rPr>
          <w:rFonts w:hint="eastAsia"/>
          <w:b/>
          <w:bCs/>
        </w:rPr>
        <w:t>液</w:t>
      </w:r>
    </w:p>
    <w:p>
      <w:pPr>
        <w:ind w:firstLine="480"/>
        <w:rPr>
          <w:b/>
          <w:bCs/>
        </w:rPr>
      </w:pPr>
      <w:r>
        <w:rPr>
          <w:rFonts w:hint="eastAsia"/>
        </w:rPr>
        <w:t>肉羊在待宰圈待宰过程中会产生一定量的羊尿液，羊尿液的产生量参照《第一次全国污染源普查畜禽养殖业源产排污系数手册》中的产物系数进行核算，该手册中西北地区65kg的生猪每天的尿液产生量为2.44L/头·d，同时结合《畜禽养殖业污染物排放标准》（GB18596-2001），每3只羊换算成1头猪，则每只羊每天尿液产生量为0.81L/只·d，本项目年屠宰肉羊60万只，则羊尿液产生量为1.33t/d（48</w:t>
      </w:r>
      <w:r>
        <w:rPr>
          <w:rFonts w:hint="eastAsia"/>
          <w:lang w:val="en-US" w:eastAsia="zh-CN"/>
        </w:rPr>
        <w:t>6</w:t>
      </w:r>
      <w:r>
        <w:rPr>
          <w:rFonts w:hint="eastAsia"/>
        </w:rPr>
        <w:t>t/a）。羊尿液集中收集后经污水处理站达标处理后用于厂区饲草区灌溉。</w:t>
      </w:r>
    </w:p>
    <w:p>
      <w:pPr>
        <w:ind w:firstLine="482"/>
        <w:rPr>
          <w:b/>
          <w:bCs/>
        </w:rPr>
      </w:pPr>
      <w:r>
        <w:rPr>
          <w:b/>
          <w:bCs/>
        </w:rPr>
        <w:t>②</w:t>
      </w:r>
      <w:r>
        <w:rPr>
          <w:rFonts w:hint="eastAsia"/>
          <w:b/>
          <w:bCs/>
        </w:rPr>
        <w:t>生活污水</w:t>
      </w:r>
    </w:p>
    <w:p>
      <w:pPr>
        <w:ind w:firstLine="480"/>
      </w:pPr>
      <w:r>
        <w:rPr>
          <w:rFonts w:hint="eastAsia"/>
        </w:rPr>
        <w:t>根据《排放源统计调查产排污核算方法和系数手册》（环境部，2021年第24号）中的“生活污染源产排污系数手册”可知，人均日生活用水量≤150升/人·天时，折污系数取0.8；则本项目生活污水产生量为</w:t>
      </w:r>
      <w:r>
        <w:rPr>
          <w:rFonts w:hint="eastAsia"/>
          <w:lang w:val="en-US" w:eastAsia="zh-CN"/>
        </w:rPr>
        <w:t>9.6</w:t>
      </w:r>
      <w:r>
        <w:t>m</w:t>
      </w:r>
      <w:r>
        <w:rPr>
          <w:vertAlign w:val="superscript"/>
        </w:rPr>
        <w:t>3</w:t>
      </w:r>
      <w:r>
        <w:t>/d（</w:t>
      </w:r>
      <w:r>
        <w:rPr>
          <w:rFonts w:hint="eastAsia"/>
          <w:lang w:val="en-US" w:eastAsia="zh-CN"/>
        </w:rPr>
        <w:t>3504</w:t>
      </w:r>
      <w:r>
        <w:t>m</w:t>
      </w:r>
      <w:r>
        <w:rPr>
          <w:vertAlign w:val="superscript"/>
        </w:rPr>
        <w:t>3</w:t>
      </w:r>
      <w:r>
        <w:t>/a）</w:t>
      </w:r>
      <w:r>
        <w:rPr>
          <w:rFonts w:hint="eastAsia"/>
        </w:rPr>
        <w:t>。生活污水经厂区化粪池处理后排入现有的污水处理站处理，经污水处理站达标处理后用于厂区饲草区灌溉。</w:t>
      </w:r>
    </w:p>
    <w:p>
      <w:pPr>
        <w:ind w:firstLine="482"/>
      </w:pPr>
      <w:r>
        <w:rPr>
          <w:b/>
          <w:bCs/>
        </w:rPr>
        <w:t>③肉</w:t>
      </w:r>
      <w:r>
        <w:rPr>
          <w:rFonts w:hint="eastAsia"/>
          <w:b/>
          <w:bCs/>
        </w:rPr>
        <w:t>羊精深加工生产线屠宰废水</w:t>
      </w:r>
    </w:p>
    <w:p>
      <w:pPr>
        <w:ind w:firstLine="480"/>
      </w:pPr>
      <w:r>
        <w:rPr>
          <w:rFonts w:hint="eastAsia"/>
        </w:rPr>
        <w:t>屠宰废水产生量参照《排放源统计调查产排污核算方法和系数手册》中的“135屠宰及肉类加工行业系数手册”可知，肉羊在屠宰过程中屠宰废水的产生系数为“机械化屠宰/＞1500只/天”，取0.24吨/只，本项目年屠宰肉羊60万只，则本项目屠宰废水的产生量为394.52m</w:t>
      </w:r>
      <w:r>
        <w:rPr>
          <w:rFonts w:hint="eastAsia"/>
          <w:vertAlign w:val="superscript"/>
        </w:rPr>
        <w:t>3</w:t>
      </w:r>
      <w:r>
        <w:rPr>
          <w:rFonts w:hint="eastAsia"/>
        </w:rPr>
        <w:t>/d（144000</w:t>
      </w:r>
      <w:r>
        <w:t>m</w:t>
      </w:r>
      <w:r>
        <w:rPr>
          <w:vertAlign w:val="superscript"/>
        </w:rPr>
        <w:t>3</w:t>
      </w:r>
      <w:r>
        <w:t>/a</w:t>
      </w:r>
      <w:r>
        <w:rPr>
          <w:rFonts w:hint="eastAsia"/>
        </w:rPr>
        <w:t>）。屠宰废水集中收集后经污水处理站达标处理后用于厂区饲草区灌溉。</w:t>
      </w:r>
    </w:p>
    <w:p>
      <w:pPr>
        <w:ind w:firstLine="482"/>
        <w:rPr>
          <w:b/>
          <w:bCs/>
        </w:rPr>
      </w:pPr>
      <w:r>
        <w:rPr>
          <w:b/>
          <w:bCs/>
        </w:rPr>
        <w:t>④</w:t>
      </w:r>
      <w:r>
        <w:rPr>
          <w:rFonts w:hint="eastAsia"/>
          <w:b/>
          <w:bCs/>
        </w:rPr>
        <w:t>牛羊预制品生产线生产废水</w:t>
      </w:r>
    </w:p>
    <w:p>
      <w:pPr>
        <w:ind w:firstLine="480"/>
      </w:pPr>
      <w:r>
        <w:rPr>
          <w:rFonts w:hint="eastAsia"/>
        </w:rPr>
        <w:t>牛羊预制品生产线废水</w:t>
      </w:r>
      <w:r>
        <w:rPr>
          <w:rFonts w:hint="eastAsia"/>
          <w:lang w:val="en-US" w:eastAsia="zh-CN"/>
        </w:rPr>
        <w:t>产生量</w:t>
      </w:r>
      <w:r>
        <w:rPr>
          <w:rFonts w:hint="eastAsia"/>
        </w:rPr>
        <w:t>按用水量的80%计算，则废水产生量为</w:t>
      </w:r>
      <w:r>
        <w:rPr>
          <w:rFonts w:hint="eastAsia"/>
          <w:lang w:val="en-US" w:eastAsia="zh-CN"/>
        </w:rPr>
        <w:t>197.26</w:t>
      </w:r>
      <w:r>
        <w:rPr>
          <w:rFonts w:hint="eastAsia"/>
        </w:rPr>
        <w:t>m</w:t>
      </w:r>
      <w:r>
        <w:rPr>
          <w:rFonts w:hint="eastAsia"/>
          <w:vertAlign w:val="superscript"/>
        </w:rPr>
        <w:t>3</w:t>
      </w:r>
      <w:r>
        <w:rPr>
          <w:rFonts w:hint="eastAsia"/>
        </w:rPr>
        <w:t>/d（</w:t>
      </w:r>
      <w:r>
        <w:rPr>
          <w:rFonts w:hint="eastAsia"/>
          <w:lang w:val="en-US" w:eastAsia="zh-CN"/>
        </w:rPr>
        <w:t>72000</w:t>
      </w:r>
      <w:r>
        <w:rPr>
          <w:rFonts w:hint="eastAsia"/>
        </w:rPr>
        <w:t>m</w:t>
      </w:r>
      <w:r>
        <w:rPr>
          <w:rFonts w:hint="eastAsia"/>
          <w:vertAlign w:val="superscript"/>
        </w:rPr>
        <w:t>3</w:t>
      </w:r>
      <w:r>
        <w:rPr>
          <w:rFonts w:hint="eastAsia"/>
        </w:rPr>
        <w:t>/a）。牛羊预制品菜生产线生产废水集中收集后经污水处理站达标处理后用于厂区饲草区灌溉。</w:t>
      </w:r>
    </w:p>
    <w:p>
      <w:pPr>
        <w:ind w:firstLine="482"/>
      </w:pPr>
      <w:r>
        <w:rPr>
          <w:b/>
          <w:bCs/>
        </w:rPr>
        <w:t>⑤</w:t>
      </w:r>
      <w:r>
        <w:rPr>
          <w:rFonts w:hint="eastAsia"/>
          <w:b/>
          <w:bCs/>
        </w:rPr>
        <w:t>羊杂预制品生产线废水</w:t>
      </w:r>
    </w:p>
    <w:p>
      <w:pPr>
        <w:ind w:firstLine="480"/>
      </w:pPr>
      <w:r>
        <w:rPr>
          <w:rFonts w:hint="eastAsia"/>
        </w:rPr>
        <w:t>羊杂预制品生产线废水主要包括羊杂原料清洗废水、生产设备清洗废水以及卤制完成后的清洗废水，废水产生量</w:t>
      </w:r>
      <w:r>
        <w:rPr>
          <w:rFonts w:hint="eastAsia"/>
          <w:lang w:val="en-US" w:eastAsia="zh-CN"/>
        </w:rPr>
        <w:t>总用水量的80%计算，则废水产生量为26.30</w:t>
      </w:r>
      <w:r>
        <w:rPr>
          <w:rFonts w:hint="eastAsia"/>
        </w:rPr>
        <w:t>m</w:t>
      </w:r>
      <w:r>
        <w:rPr>
          <w:rFonts w:hint="eastAsia"/>
          <w:vertAlign w:val="superscript"/>
        </w:rPr>
        <w:t>3</w:t>
      </w:r>
      <w:r>
        <w:rPr>
          <w:rFonts w:hint="eastAsia"/>
        </w:rPr>
        <w:t>/d（</w:t>
      </w:r>
      <w:r>
        <w:rPr>
          <w:rFonts w:hint="eastAsia"/>
          <w:lang w:val="en-US" w:eastAsia="zh-CN"/>
        </w:rPr>
        <w:t>9600</w:t>
      </w:r>
      <w:r>
        <w:rPr>
          <w:rFonts w:hint="eastAsia"/>
        </w:rPr>
        <w:t>m</w:t>
      </w:r>
      <w:r>
        <w:rPr>
          <w:rFonts w:hint="eastAsia"/>
          <w:vertAlign w:val="superscript"/>
        </w:rPr>
        <w:t>3</w:t>
      </w:r>
      <w:r>
        <w:rPr>
          <w:rFonts w:hint="eastAsia"/>
        </w:rPr>
        <w:t>/a）。羊杂预制品生产线废水集中收集后经污水处理站达标处理后用于厂区饲草区灌溉。</w:t>
      </w:r>
    </w:p>
    <w:p>
      <w:pPr>
        <w:ind w:firstLine="482"/>
        <w:rPr>
          <w:b/>
          <w:bCs/>
        </w:rPr>
      </w:pPr>
      <w:r>
        <w:rPr>
          <w:b/>
          <w:bCs/>
        </w:rPr>
        <w:t>⑥</w:t>
      </w:r>
      <w:r>
        <w:rPr>
          <w:rFonts w:hint="eastAsia"/>
          <w:b/>
          <w:bCs/>
        </w:rPr>
        <w:t>冷却废水</w:t>
      </w:r>
    </w:p>
    <w:p>
      <w:pPr>
        <w:ind w:firstLine="480"/>
      </w:pPr>
      <w:r>
        <w:rPr>
          <w:rFonts w:hint="eastAsia"/>
        </w:rPr>
        <w:t>本项目冷库制冷机用冷却水全部经循环冷却水池降温后循环使用，不外排。</w:t>
      </w:r>
    </w:p>
    <w:p>
      <w:pPr>
        <w:ind w:firstLine="482"/>
      </w:pPr>
      <w:r>
        <w:rPr>
          <w:b/>
          <w:bCs/>
        </w:rPr>
        <w:t>⑦不</w:t>
      </w:r>
      <w:r>
        <w:rPr>
          <w:rFonts w:hint="eastAsia"/>
          <w:b/>
          <w:bCs/>
        </w:rPr>
        <w:t>可预见废水</w:t>
      </w:r>
    </w:p>
    <w:p>
      <w:pPr>
        <w:ind w:firstLine="480"/>
      </w:pPr>
      <w:r>
        <w:rPr>
          <w:rFonts w:hint="eastAsia"/>
        </w:rPr>
        <w:t>不可预见废水产生量按照用水量的80%计算，则不可预见废水产生量为</w:t>
      </w:r>
      <w:r>
        <w:rPr>
          <w:rFonts w:hint="eastAsia"/>
          <w:lang w:val="en-US" w:eastAsia="zh-CN"/>
        </w:rPr>
        <w:t>69.36</w:t>
      </w:r>
      <w:r>
        <w:rPr>
          <w:rFonts w:hint="eastAsia"/>
        </w:rPr>
        <w:t>m</w:t>
      </w:r>
      <w:r>
        <w:rPr>
          <w:rFonts w:hint="eastAsia"/>
          <w:vertAlign w:val="superscript"/>
        </w:rPr>
        <w:t>3</w:t>
      </w:r>
      <w:r>
        <w:rPr>
          <w:rFonts w:hint="eastAsia"/>
        </w:rPr>
        <w:t>/d（</w:t>
      </w:r>
      <w:r>
        <w:rPr>
          <w:rFonts w:hint="eastAsia"/>
          <w:lang w:val="en-US" w:eastAsia="zh-CN"/>
        </w:rPr>
        <w:t>25316</w:t>
      </w:r>
      <w:r>
        <w:t>m</w:t>
      </w:r>
      <w:r>
        <w:rPr>
          <w:vertAlign w:val="superscript"/>
        </w:rPr>
        <w:t>3</w:t>
      </w:r>
      <w:r>
        <w:t>/a</w:t>
      </w:r>
      <w:r>
        <w:rPr>
          <w:rFonts w:hint="eastAsia"/>
        </w:rPr>
        <w:t>）。不可预见废水经污水处理站达标处理后废水用于厂区饲草区灌溉。</w:t>
      </w:r>
      <w:r>
        <w:t>本项目供排水平衡表见表</w:t>
      </w:r>
      <w:r>
        <w:rPr>
          <w:rFonts w:hint="eastAsia"/>
          <w:lang w:val="en-US" w:eastAsia="zh-CN"/>
        </w:rPr>
        <w:t>3</w:t>
      </w:r>
      <w:r>
        <w:rPr>
          <w:rFonts w:hint="eastAsia"/>
        </w:rPr>
        <w:t>.2</w:t>
      </w:r>
      <w:r>
        <w:t>。水平衡图见图</w:t>
      </w:r>
      <w:r>
        <w:rPr>
          <w:rFonts w:hint="eastAsia"/>
          <w:lang w:val="en-US" w:eastAsia="zh-CN"/>
        </w:rPr>
        <w:t>3</w:t>
      </w:r>
      <w:r>
        <w:t>-</w:t>
      </w:r>
      <w:r>
        <w:rPr>
          <w:rFonts w:hint="eastAsia"/>
        </w:rPr>
        <w:t>1</w:t>
      </w:r>
      <w:r>
        <w:t>。</w:t>
      </w:r>
    </w:p>
    <w:p>
      <w:pPr>
        <w:spacing w:line="240" w:lineRule="auto"/>
        <w:ind w:firstLine="482"/>
        <w:jc w:val="center"/>
        <w:rPr>
          <w:b/>
          <w:bCs/>
        </w:rPr>
      </w:pPr>
      <w:r>
        <w:rPr>
          <w:b/>
          <w:bCs/>
        </w:rPr>
        <w:t>表</w:t>
      </w:r>
      <w:r>
        <w:rPr>
          <w:rFonts w:hint="eastAsia"/>
          <w:b/>
          <w:bCs/>
          <w:lang w:val="en-US" w:eastAsia="zh-CN"/>
        </w:rPr>
        <w:t>3</w:t>
      </w:r>
      <w:r>
        <w:rPr>
          <w:rFonts w:hint="eastAsia"/>
          <w:b/>
          <w:bCs/>
        </w:rPr>
        <w:t>.2</w:t>
      </w:r>
      <w:r>
        <w:rPr>
          <w:b/>
          <w:bCs/>
        </w:rPr>
        <w:t xml:space="preserve">    供排水平衡  单位：m</w:t>
      </w:r>
      <w:r>
        <w:rPr>
          <w:b/>
          <w:bCs/>
          <w:vertAlign w:val="superscript"/>
        </w:rPr>
        <w:t>3</w:t>
      </w:r>
      <w:r>
        <w:rPr>
          <w:b/>
          <w:bCs/>
        </w:rPr>
        <w:t>/</w:t>
      </w:r>
      <w:r>
        <w:rPr>
          <w:rFonts w:hint="eastAsia"/>
          <w:b/>
          <w:bCs/>
        </w:rPr>
        <w:t>a</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6"/>
        <w:gridCol w:w="1265"/>
        <w:gridCol w:w="1216"/>
        <w:gridCol w:w="1114"/>
        <w:gridCol w:w="1227"/>
        <w:gridCol w:w="1315"/>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07" w:type="pct"/>
            <w:tcBorders>
              <w:tl2br w:val="nil"/>
              <w:tr2bl w:val="nil"/>
            </w:tcBorders>
            <w:vAlign w:val="center"/>
          </w:tcPr>
          <w:p>
            <w:pPr>
              <w:spacing w:line="240" w:lineRule="auto"/>
              <w:ind w:firstLine="0" w:firstLineChars="0"/>
              <w:jc w:val="center"/>
              <w:rPr>
                <w:b/>
                <w:bCs/>
                <w:sz w:val="21"/>
                <w:szCs w:val="21"/>
              </w:rPr>
            </w:pPr>
            <w:r>
              <w:rPr>
                <w:b/>
                <w:bCs/>
                <w:sz w:val="21"/>
                <w:szCs w:val="21"/>
              </w:rPr>
              <w:t>项目</w:t>
            </w:r>
          </w:p>
        </w:tc>
        <w:tc>
          <w:tcPr>
            <w:tcW w:w="635" w:type="pct"/>
            <w:tcBorders>
              <w:tl2br w:val="nil"/>
              <w:tr2bl w:val="nil"/>
            </w:tcBorders>
            <w:vAlign w:val="center"/>
          </w:tcPr>
          <w:p>
            <w:pPr>
              <w:spacing w:line="240" w:lineRule="auto"/>
              <w:ind w:firstLine="0" w:firstLineChars="0"/>
              <w:jc w:val="center"/>
              <w:rPr>
                <w:b/>
                <w:bCs/>
                <w:sz w:val="21"/>
                <w:szCs w:val="21"/>
              </w:rPr>
            </w:pPr>
            <w:r>
              <w:rPr>
                <w:b/>
                <w:bCs/>
                <w:sz w:val="21"/>
                <w:szCs w:val="21"/>
              </w:rPr>
              <w:t>总用水量</w:t>
            </w:r>
          </w:p>
        </w:tc>
        <w:tc>
          <w:tcPr>
            <w:tcW w:w="610" w:type="pct"/>
            <w:tcBorders>
              <w:tl2br w:val="nil"/>
              <w:tr2bl w:val="nil"/>
            </w:tcBorders>
            <w:vAlign w:val="center"/>
          </w:tcPr>
          <w:p>
            <w:pPr>
              <w:spacing w:line="240" w:lineRule="auto"/>
              <w:ind w:firstLine="0" w:firstLineChars="0"/>
              <w:jc w:val="center"/>
              <w:rPr>
                <w:b/>
                <w:bCs/>
                <w:sz w:val="21"/>
                <w:szCs w:val="21"/>
              </w:rPr>
            </w:pPr>
            <w:r>
              <w:rPr>
                <w:b/>
                <w:bCs/>
                <w:sz w:val="21"/>
                <w:szCs w:val="21"/>
              </w:rPr>
              <w:t>新鲜水</w:t>
            </w:r>
          </w:p>
        </w:tc>
        <w:tc>
          <w:tcPr>
            <w:tcW w:w="559" w:type="pct"/>
            <w:tcBorders>
              <w:tl2br w:val="nil"/>
              <w:tr2bl w:val="nil"/>
            </w:tcBorders>
            <w:vAlign w:val="center"/>
          </w:tcPr>
          <w:p>
            <w:pPr>
              <w:spacing w:line="240" w:lineRule="auto"/>
              <w:ind w:firstLine="0" w:firstLineChars="0"/>
              <w:jc w:val="center"/>
              <w:rPr>
                <w:b/>
                <w:bCs/>
                <w:sz w:val="21"/>
                <w:szCs w:val="21"/>
              </w:rPr>
            </w:pPr>
            <w:r>
              <w:rPr>
                <w:b/>
                <w:bCs/>
                <w:sz w:val="21"/>
                <w:szCs w:val="21"/>
              </w:rPr>
              <w:t>消耗量</w:t>
            </w:r>
          </w:p>
        </w:tc>
        <w:tc>
          <w:tcPr>
            <w:tcW w:w="616" w:type="pct"/>
            <w:tcBorders>
              <w:tl2br w:val="nil"/>
              <w:tr2bl w:val="nil"/>
            </w:tcBorders>
            <w:vAlign w:val="center"/>
          </w:tcPr>
          <w:p>
            <w:pPr>
              <w:spacing w:line="240" w:lineRule="auto"/>
              <w:ind w:firstLine="0" w:firstLineChars="0"/>
              <w:jc w:val="center"/>
              <w:rPr>
                <w:b/>
                <w:bCs/>
                <w:sz w:val="21"/>
                <w:szCs w:val="21"/>
              </w:rPr>
            </w:pPr>
            <w:r>
              <w:rPr>
                <w:b/>
                <w:bCs/>
                <w:sz w:val="21"/>
                <w:szCs w:val="21"/>
              </w:rPr>
              <w:t>循环水量</w:t>
            </w:r>
          </w:p>
        </w:tc>
        <w:tc>
          <w:tcPr>
            <w:tcW w:w="660" w:type="pct"/>
            <w:tcBorders>
              <w:tl2br w:val="nil"/>
              <w:tr2bl w:val="nil"/>
            </w:tcBorders>
            <w:vAlign w:val="center"/>
          </w:tcPr>
          <w:p>
            <w:pPr>
              <w:spacing w:line="240" w:lineRule="auto"/>
              <w:ind w:firstLine="0" w:firstLineChars="0"/>
              <w:jc w:val="center"/>
              <w:rPr>
                <w:b/>
                <w:bCs/>
                <w:sz w:val="21"/>
                <w:szCs w:val="21"/>
              </w:rPr>
            </w:pPr>
            <w:r>
              <w:rPr>
                <w:b/>
                <w:bCs/>
                <w:sz w:val="21"/>
                <w:szCs w:val="21"/>
              </w:rPr>
              <w:t>外排水量</w:t>
            </w:r>
          </w:p>
        </w:tc>
        <w:tc>
          <w:tcPr>
            <w:tcW w:w="910" w:type="pct"/>
            <w:tcBorders>
              <w:tl2br w:val="nil"/>
              <w:tr2bl w:val="nil"/>
            </w:tcBorders>
            <w:vAlign w:val="center"/>
          </w:tcPr>
          <w:p>
            <w:pPr>
              <w:spacing w:line="240" w:lineRule="auto"/>
              <w:ind w:firstLine="0" w:firstLineChars="0"/>
              <w:jc w:val="center"/>
              <w:rPr>
                <w:b/>
                <w:bCs/>
                <w:sz w:val="21"/>
                <w:szCs w:val="21"/>
              </w:rPr>
            </w:pPr>
            <w:r>
              <w:rPr>
                <w:b/>
                <w:bCs/>
                <w:sz w:val="21"/>
                <w:szCs w:val="21"/>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pct"/>
            <w:tcBorders>
              <w:tl2br w:val="nil"/>
              <w:tr2bl w:val="nil"/>
            </w:tcBorders>
            <w:vAlign w:val="center"/>
          </w:tcPr>
          <w:p>
            <w:pPr>
              <w:spacing w:line="240" w:lineRule="auto"/>
              <w:ind w:firstLine="0" w:firstLineChars="0"/>
              <w:jc w:val="center"/>
              <w:rPr>
                <w:sz w:val="21"/>
                <w:szCs w:val="21"/>
              </w:rPr>
            </w:pPr>
            <w:r>
              <w:rPr>
                <w:sz w:val="21"/>
                <w:szCs w:val="21"/>
              </w:rPr>
              <w:t>生活用水</w:t>
            </w:r>
          </w:p>
        </w:tc>
        <w:tc>
          <w:tcPr>
            <w:tcW w:w="635"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4380</w:t>
            </w:r>
          </w:p>
        </w:tc>
        <w:tc>
          <w:tcPr>
            <w:tcW w:w="61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4380</w:t>
            </w:r>
          </w:p>
        </w:tc>
        <w:tc>
          <w:tcPr>
            <w:tcW w:w="559"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876</w:t>
            </w:r>
          </w:p>
        </w:tc>
        <w:tc>
          <w:tcPr>
            <w:tcW w:w="616"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60"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default" w:eastAsia="宋体"/>
                <w:sz w:val="21"/>
                <w:szCs w:val="21"/>
                <w:lang w:val="en-US" w:eastAsia="zh-CN"/>
              </w:rPr>
              <w:t>3504</w:t>
            </w:r>
          </w:p>
        </w:tc>
        <w:tc>
          <w:tcPr>
            <w:tcW w:w="910"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生活污水经化粪池、隔油池处理后与生产废水一起集中收集后经</w:t>
            </w:r>
            <w:r>
              <w:rPr>
                <w:sz w:val="21"/>
                <w:szCs w:val="21"/>
              </w:rPr>
              <w:t>厂区污水处理站处理，处理后达标废水用于厂区饲草区灌溉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pct"/>
            <w:tcBorders>
              <w:tl2br w:val="nil"/>
              <w:tr2bl w:val="nil"/>
            </w:tcBorders>
            <w:vAlign w:val="center"/>
          </w:tcPr>
          <w:p>
            <w:pPr>
              <w:spacing w:line="240" w:lineRule="auto"/>
              <w:ind w:firstLine="0" w:firstLineChars="0"/>
              <w:jc w:val="center"/>
              <w:rPr>
                <w:sz w:val="21"/>
                <w:szCs w:val="21"/>
              </w:rPr>
            </w:pPr>
            <w:r>
              <w:rPr>
                <w:sz w:val="21"/>
                <w:szCs w:val="21"/>
              </w:rPr>
              <w:t>肉羊精深加工生产线屠宰用水</w:t>
            </w:r>
          </w:p>
        </w:tc>
        <w:tc>
          <w:tcPr>
            <w:tcW w:w="635"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default" w:eastAsia="宋体"/>
                <w:sz w:val="21"/>
                <w:szCs w:val="21"/>
                <w:lang w:val="en-US" w:eastAsia="zh-CN"/>
              </w:rPr>
              <w:t>210000</w:t>
            </w:r>
          </w:p>
        </w:tc>
        <w:tc>
          <w:tcPr>
            <w:tcW w:w="61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210000</w:t>
            </w:r>
          </w:p>
        </w:tc>
        <w:tc>
          <w:tcPr>
            <w:tcW w:w="559"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66000</w:t>
            </w:r>
          </w:p>
        </w:tc>
        <w:tc>
          <w:tcPr>
            <w:tcW w:w="616"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60"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144000</w:t>
            </w:r>
          </w:p>
        </w:tc>
        <w:tc>
          <w:tcPr>
            <w:tcW w:w="910"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pct"/>
            <w:tcBorders>
              <w:tl2br w:val="nil"/>
              <w:tr2bl w:val="nil"/>
            </w:tcBorders>
            <w:vAlign w:val="center"/>
          </w:tcPr>
          <w:p>
            <w:pPr>
              <w:spacing w:line="240" w:lineRule="auto"/>
              <w:ind w:firstLine="0" w:firstLineChars="0"/>
              <w:jc w:val="center"/>
              <w:rPr>
                <w:sz w:val="21"/>
                <w:szCs w:val="21"/>
              </w:rPr>
            </w:pPr>
            <w:r>
              <w:rPr>
                <w:sz w:val="21"/>
                <w:szCs w:val="21"/>
              </w:rPr>
              <w:t>牛羊预制品生产线生产用水</w:t>
            </w:r>
          </w:p>
        </w:tc>
        <w:tc>
          <w:tcPr>
            <w:tcW w:w="635"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default" w:eastAsia="宋体"/>
                <w:sz w:val="21"/>
                <w:szCs w:val="21"/>
                <w:lang w:val="en-US" w:eastAsia="zh-CN"/>
              </w:rPr>
              <w:t>90000</w:t>
            </w:r>
          </w:p>
        </w:tc>
        <w:tc>
          <w:tcPr>
            <w:tcW w:w="61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90000</w:t>
            </w:r>
          </w:p>
        </w:tc>
        <w:tc>
          <w:tcPr>
            <w:tcW w:w="559"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18000</w:t>
            </w:r>
          </w:p>
        </w:tc>
        <w:tc>
          <w:tcPr>
            <w:tcW w:w="616"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60"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72000</w:t>
            </w:r>
          </w:p>
        </w:tc>
        <w:tc>
          <w:tcPr>
            <w:tcW w:w="910"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007" w:type="pct"/>
            <w:tcBorders>
              <w:tl2br w:val="nil"/>
              <w:tr2bl w:val="nil"/>
            </w:tcBorders>
            <w:vAlign w:val="center"/>
          </w:tcPr>
          <w:p>
            <w:pPr>
              <w:spacing w:line="240" w:lineRule="auto"/>
              <w:ind w:firstLine="0" w:firstLineChars="0"/>
              <w:jc w:val="center"/>
              <w:rPr>
                <w:sz w:val="21"/>
                <w:szCs w:val="21"/>
              </w:rPr>
            </w:pPr>
            <w:r>
              <w:rPr>
                <w:sz w:val="21"/>
                <w:szCs w:val="21"/>
              </w:rPr>
              <w:t>羊杂预制品生产线用水</w:t>
            </w:r>
          </w:p>
        </w:tc>
        <w:tc>
          <w:tcPr>
            <w:tcW w:w="635"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default" w:eastAsia="宋体"/>
                <w:sz w:val="21"/>
                <w:szCs w:val="21"/>
                <w:lang w:val="en-US" w:eastAsia="zh-CN"/>
              </w:rPr>
              <w:t>12000</w:t>
            </w:r>
          </w:p>
        </w:tc>
        <w:tc>
          <w:tcPr>
            <w:tcW w:w="61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12000</w:t>
            </w:r>
          </w:p>
        </w:tc>
        <w:tc>
          <w:tcPr>
            <w:tcW w:w="559"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2400</w:t>
            </w:r>
          </w:p>
        </w:tc>
        <w:tc>
          <w:tcPr>
            <w:tcW w:w="616"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60"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9600</w:t>
            </w:r>
          </w:p>
        </w:tc>
        <w:tc>
          <w:tcPr>
            <w:tcW w:w="910"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pct"/>
            <w:tcBorders>
              <w:tl2br w:val="nil"/>
              <w:tr2bl w:val="nil"/>
            </w:tcBorders>
            <w:vAlign w:val="center"/>
          </w:tcPr>
          <w:p>
            <w:pPr>
              <w:pStyle w:val="40"/>
              <w:spacing w:line="240" w:lineRule="auto"/>
              <w:ind w:firstLine="0" w:firstLineChars="0"/>
              <w:jc w:val="center"/>
              <w:rPr>
                <w:sz w:val="21"/>
                <w:szCs w:val="21"/>
              </w:rPr>
            </w:pPr>
            <w:r>
              <w:rPr>
                <w:sz w:val="21"/>
                <w:szCs w:val="21"/>
              </w:rPr>
              <w:t>不可预见用水</w:t>
            </w:r>
          </w:p>
        </w:tc>
        <w:tc>
          <w:tcPr>
            <w:tcW w:w="635"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default" w:ascii="Times New Roman" w:hAnsi="Times New Roman" w:eastAsia="宋体" w:cs="Times New Roman"/>
                <w:kern w:val="2"/>
                <w:sz w:val="21"/>
                <w:szCs w:val="21"/>
                <w:lang w:val="en-US" w:eastAsia="zh-CN" w:bidi="ar-SA"/>
              </w:rPr>
              <w:t>31645</w:t>
            </w:r>
          </w:p>
        </w:tc>
        <w:tc>
          <w:tcPr>
            <w:tcW w:w="61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31645</w:t>
            </w:r>
          </w:p>
        </w:tc>
        <w:tc>
          <w:tcPr>
            <w:tcW w:w="559"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6329</w:t>
            </w:r>
          </w:p>
        </w:tc>
        <w:tc>
          <w:tcPr>
            <w:tcW w:w="616"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60"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25316</w:t>
            </w:r>
          </w:p>
        </w:tc>
        <w:tc>
          <w:tcPr>
            <w:tcW w:w="910"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pct"/>
            <w:tcBorders>
              <w:tl2br w:val="nil"/>
              <w:tr2bl w:val="nil"/>
            </w:tcBorders>
            <w:vAlign w:val="center"/>
          </w:tcPr>
          <w:p>
            <w:pPr>
              <w:pStyle w:val="40"/>
              <w:spacing w:line="240" w:lineRule="auto"/>
              <w:ind w:firstLine="0" w:firstLineChars="0"/>
              <w:jc w:val="center"/>
              <w:rPr>
                <w:sz w:val="21"/>
                <w:szCs w:val="21"/>
              </w:rPr>
            </w:pPr>
            <w:r>
              <w:rPr>
                <w:rFonts w:hint="eastAsia"/>
                <w:sz w:val="21"/>
                <w:szCs w:val="21"/>
              </w:rPr>
              <w:t>羊尿液</w:t>
            </w:r>
          </w:p>
        </w:tc>
        <w:tc>
          <w:tcPr>
            <w:tcW w:w="635"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1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0</w:t>
            </w:r>
          </w:p>
        </w:tc>
        <w:tc>
          <w:tcPr>
            <w:tcW w:w="559"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w:t>
            </w:r>
          </w:p>
        </w:tc>
        <w:tc>
          <w:tcPr>
            <w:tcW w:w="616"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w:t>
            </w:r>
          </w:p>
        </w:tc>
        <w:tc>
          <w:tcPr>
            <w:tcW w:w="66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486</w:t>
            </w:r>
          </w:p>
        </w:tc>
        <w:tc>
          <w:tcPr>
            <w:tcW w:w="910"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007"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冷却</w:t>
            </w:r>
            <w:r>
              <w:rPr>
                <w:rFonts w:hint="eastAsia"/>
                <w:sz w:val="21"/>
                <w:szCs w:val="21"/>
              </w:rPr>
              <w:t>用水</w:t>
            </w:r>
          </w:p>
        </w:tc>
        <w:tc>
          <w:tcPr>
            <w:tcW w:w="6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24090</w:t>
            </w:r>
          </w:p>
        </w:tc>
        <w:tc>
          <w:tcPr>
            <w:tcW w:w="61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2190</w:t>
            </w:r>
          </w:p>
        </w:tc>
        <w:tc>
          <w:tcPr>
            <w:tcW w:w="55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2190</w:t>
            </w:r>
          </w:p>
        </w:tc>
        <w:tc>
          <w:tcPr>
            <w:tcW w:w="616"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21900</w:t>
            </w:r>
          </w:p>
        </w:tc>
        <w:tc>
          <w:tcPr>
            <w:tcW w:w="66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sz w:val="21"/>
                <w:szCs w:val="21"/>
                <w:lang w:val="en-US" w:eastAsia="zh-CN"/>
              </w:rPr>
              <w:t>0</w:t>
            </w:r>
          </w:p>
        </w:tc>
        <w:tc>
          <w:tcPr>
            <w:tcW w:w="910" w:type="pc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tcBorders>
              <w:tl2br w:val="nil"/>
              <w:tr2bl w:val="nil"/>
            </w:tcBorders>
            <w:vAlign w:val="center"/>
          </w:tcPr>
          <w:p>
            <w:pPr>
              <w:spacing w:line="240" w:lineRule="auto"/>
              <w:ind w:firstLine="0" w:firstLineChars="0"/>
              <w:jc w:val="center"/>
              <w:rPr>
                <w:sz w:val="21"/>
                <w:szCs w:val="21"/>
              </w:rPr>
            </w:pPr>
            <w:r>
              <w:rPr>
                <w:sz w:val="21"/>
                <w:szCs w:val="21"/>
              </w:rPr>
              <w:t>合计</w:t>
            </w:r>
          </w:p>
        </w:tc>
        <w:tc>
          <w:tcPr>
            <w:tcW w:w="126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372115</w:t>
            </w:r>
          </w:p>
        </w:tc>
        <w:tc>
          <w:tcPr>
            <w:tcW w:w="121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350215</w:t>
            </w:r>
          </w:p>
        </w:tc>
        <w:tc>
          <w:tcPr>
            <w:tcW w:w="1114"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95795</w:t>
            </w:r>
          </w:p>
        </w:tc>
        <w:tc>
          <w:tcPr>
            <w:tcW w:w="1227"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21900</w:t>
            </w:r>
          </w:p>
        </w:tc>
        <w:tc>
          <w:tcPr>
            <w:tcW w:w="1315"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254906</w:t>
            </w:r>
          </w:p>
        </w:tc>
        <w:tc>
          <w:tcPr>
            <w:tcW w:w="910" w:type="pct"/>
            <w:tcBorders>
              <w:tl2br w:val="nil"/>
              <w:tr2bl w:val="nil"/>
            </w:tcBorders>
            <w:vAlign w:val="center"/>
          </w:tcPr>
          <w:p>
            <w:pPr>
              <w:spacing w:line="240" w:lineRule="auto"/>
              <w:ind w:firstLine="0" w:firstLineChars="0"/>
              <w:jc w:val="center"/>
              <w:rPr>
                <w:sz w:val="21"/>
                <w:szCs w:val="21"/>
              </w:rPr>
            </w:pPr>
            <w:r>
              <w:rPr>
                <w:sz w:val="21"/>
                <w:szCs w:val="21"/>
              </w:rPr>
              <w:t>/</w:t>
            </w:r>
          </w:p>
        </w:tc>
      </w:tr>
    </w:tbl>
    <w:p>
      <w:pPr>
        <w:bidi w:val="0"/>
      </w:pPr>
    </w:p>
    <w:p>
      <w:pPr>
        <w:bidi w:val="0"/>
      </w:pPr>
    </w:p>
    <w:p>
      <w:pPr>
        <w:bidi w:val="0"/>
      </w:pPr>
    </w:p>
    <w:p>
      <w:pPr>
        <w:bidi w:val="0"/>
      </w:pPr>
    </w:p>
    <w:p>
      <w:pPr>
        <w:bidi w:val="0"/>
      </w:pPr>
    </w:p>
    <w:p>
      <w:pPr>
        <w:bidi w:val="0"/>
      </w:pPr>
    </w:p>
    <w:p>
      <w:pPr>
        <w:bidi w:val="0"/>
      </w:pPr>
    </w:p>
    <w:p>
      <w:pPr>
        <w:bidi w:val="0"/>
      </w:pPr>
    </w:p>
    <w:p>
      <w:pPr>
        <w:ind w:firstLine="0" w:firstLineChars="0"/>
        <w:jc w:val="center"/>
        <w:rPr>
          <w:rFonts w:hint="eastAsia"/>
          <w:b/>
          <w:bCs/>
        </w:rPr>
      </w:pPr>
      <w:r>
        <w:rPr>
          <w:rFonts w:hint="eastAsia"/>
          <w:b/>
          <w:bCs/>
        </w:rPr>
        <w:object>
          <v:shape id="_x0000_i1033" o:spt="75" type="#_x0000_t75" style="height:471.1pt;width:470pt;" o:ole="t" filled="f" o:preferrelative="t" stroked="f" coordsize="21600,21600">
            <v:path/>
            <v:fill on="f" focussize="0,0"/>
            <v:stroke on="f"/>
            <v:imagedata r:id="rId37" o:title=""/>
            <o:lock v:ext="edit" aspectratio="f"/>
            <w10:wrap type="none"/>
            <w10:anchorlock/>
          </v:shape>
          <o:OLEObject Type="Embed" ProgID="Visio.Drawing.15" ShapeID="_x0000_i1033" DrawAspect="Content" ObjectID="_1468075733" r:id="rId36">
            <o:LockedField>false</o:LockedField>
          </o:OLEObject>
        </w:object>
      </w:r>
    </w:p>
    <w:p>
      <w:pPr>
        <w:ind w:firstLine="0" w:firstLineChars="0"/>
        <w:jc w:val="center"/>
        <w:rPr>
          <w:b/>
          <w:bCs/>
        </w:rPr>
      </w:pPr>
      <w:r>
        <w:rPr>
          <w:rFonts w:hint="eastAsia"/>
          <w:b/>
          <w:bCs/>
        </w:rPr>
        <w:t>图</w:t>
      </w:r>
      <w:r>
        <w:rPr>
          <w:rFonts w:hint="eastAsia"/>
          <w:b/>
          <w:bCs/>
          <w:lang w:val="en-US" w:eastAsia="zh-CN"/>
        </w:rPr>
        <w:t>3</w:t>
      </w:r>
      <w:r>
        <w:rPr>
          <w:rFonts w:hint="eastAsia"/>
          <w:b/>
          <w:bCs/>
        </w:rPr>
        <w:t>-1    本项目水平衡图    单位：m</w:t>
      </w:r>
      <w:r>
        <w:rPr>
          <w:rFonts w:hint="eastAsia"/>
          <w:b/>
          <w:bCs/>
          <w:vertAlign w:val="superscript"/>
        </w:rPr>
        <w:t>3</w:t>
      </w:r>
      <w:r>
        <w:rPr>
          <w:rFonts w:hint="eastAsia"/>
          <w:b/>
          <w:bCs/>
        </w:rPr>
        <w:t>/a</w:t>
      </w:r>
    </w:p>
    <w:p>
      <w:pPr>
        <w:ind w:firstLine="482"/>
        <w:rPr>
          <w:b/>
          <w:bCs/>
        </w:rPr>
      </w:pPr>
      <w:r>
        <w:rPr>
          <w:b/>
          <w:bCs/>
        </w:rPr>
        <w:t>（3）供电</w:t>
      </w:r>
    </w:p>
    <w:p>
      <w:pPr>
        <w:ind w:firstLine="480"/>
      </w:pPr>
      <w:r>
        <w:t>本项目由</w:t>
      </w:r>
      <w:r>
        <w:rPr>
          <w:rFonts w:hint="eastAsia"/>
        </w:rPr>
        <w:t>园区</w:t>
      </w:r>
      <w:r>
        <w:t>电网供电，通过安装1台110kVA变压器降压至380V和220V供电。</w:t>
      </w:r>
    </w:p>
    <w:p>
      <w:pPr>
        <w:ind w:firstLine="482"/>
        <w:rPr>
          <w:b/>
          <w:bCs/>
        </w:rPr>
      </w:pPr>
      <w:r>
        <w:rPr>
          <w:b/>
          <w:bCs/>
        </w:rPr>
        <w:t>（4）采暖</w:t>
      </w:r>
    </w:p>
    <w:p>
      <w:pPr>
        <w:ind w:firstLine="480"/>
      </w:pPr>
      <w:r>
        <w:rPr>
          <w:rFonts w:hint="eastAsia"/>
        </w:rPr>
        <w:t>本项目冬季生产加工区不供暖，生活办公区供暖全部依托厂区现有的供热锅炉（电锅炉），生产车间蒸煮锅、炒锅也全部使用电作为能源</w:t>
      </w:r>
      <w:r>
        <w:t>。</w:t>
      </w:r>
    </w:p>
    <w:p>
      <w:pPr>
        <w:ind w:firstLine="482"/>
      </w:pPr>
      <w:r>
        <w:rPr>
          <w:rFonts w:hint="eastAsia"/>
          <w:b/>
          <w:bCs/>
        </w:rPr>
        <w:t>（5）制冷</w:t>
      </w:r>
    </w:p>
    <w:p>
      <w:pPr>
        <w:ind w:firstLine="480"/>
      </w:pPr>
      <w:r>
        <w:rPr>
          <w:rFonts w:hint="eastAsia"/>
        </w:rPr>
        <w:t>本项目制冷系统采用环保制冷剂R404A作为制冷工质，</w:t>
      </w:r>
      <w:r>
        <w:t>库内冷却设备采用吊顶式冷风机，压缩机采用螺杆式压缩机，</w:t>
      </w:r>
      <w:r>
        <w:rPr>
          <w:rFonts w:hint="eastAsia"/>
        </w:rPr>
        <w:t>制冷系统为全封闭自动化，制冷剂损耗量较少，定期</w:t>
      </w:r>
      <w:r>
        <w:rPr>
          <w:rFonts w:hint="eastAsia"/>
          <w:lang w:val="en-US" w:eastAsia="zh-CN"/>
        </w:rPr>
        <w:t>外购</w:t>
      </w:r>
      <w:r>
        <w:rPr>
          <w:rFonts w:hint="eastAsia"/>
        </w:rPr>
        <w:t>进行补充。项目制冷系统主要由4大部分组成，分别为制冷压缩机、节流膨胀阀、蒸发器、冷凝器，由无缝钢管将各部分连接形成一个密闭系统。制冷剂在系统压力下通过节流膨胀阀进入冷库内蒸发器吸收库内热量，吸收热量的制冷剂又经制冷压缩机吸入冷凝器进行降温、冷凝处理，经降温、冷凝处理后制冷剂在制冷系统中循环使用，以达到所需要的温度和目的。降温、冷凝处理介质采用水冷，冷凝水经风冷水塔、循环冷却水池处理后循环使用。</w:t>
      </w:r>
    </w:p>
    <w:p>
      <w:pPr>
        <w:ind w:firstLine="480"/>
      </w:pPr>
      <w:r>
        <w:rPr>
          <w:rFonts w:hint="eastAsia"/>
        </w:rPr>
        <w:t>制冷剂R404A在《蒙特利尔议定书》中没有规定其使用期限，且该类制冷剂不属于环境保护部办公厅文件《关于严格控制新建使用含氢氯氟烃生产设施的通知》（环办〔2009〕121号）中禁止新建的使用含氢氯氟烃的生产设施。因此，本项目使用的制冷剂符合环保要求。</w:t>
      </w:r>
    </w:p>
    <w:p>
      <w:pPr>
        <w:pStyle w:val="6"/>
        <w:ind w:firstLine="482"/>
      </w:pPr>
      <w:bookmarkStart w:id="482" w:name="_Toc30576"/>
      <w:r>
        <w:rPr>
          <w:rFonts w:hint="eastAsia"/>
          <w:lang w:val="en-US" w:eastAsia="zh-CN"/>
        </w:rPr>
        <w:t>3</w:t>
      </w:r>
      <w:r>
        <w:rPr>
          <w:rFonts w:hint="eastAsia"/>
        </w:rPr>
        <w:t>.2.3、</w:t>
      </w:r>
      <w:r>
        <w:rPr>
          <w:rFonts w:hint="eastAsia"/>
          <w:lang w:val="en-US" w:eastAsia="zh-CN"/>
        </w:rPr>
        <w:t>拟建</w:t>
      </w:r>
      <w:r>
        <w:t>项目</w:t>
      </w:r>
      <w:r>
        <w:rPr>
          <w:rFonts w:hint="eastAsia"/>
        </w:rPr>
        <w:t>主要的生产设备</w:t>
      </w:r>
      <w:bookmarkEnd w:id="482"/>
    </w:p>
    <w:p>
      <w:pPr>
        <w:ind w:firstLine="480"/>
      </w:pPr>
      <w:r>
        <w:rPr>
          <w:rFonts w:hint="eastAsia"/>
        </w:rPr>
        <w:t>本项目生产线主要有肉羊屠宰精深加工生产线、牛羊预制品加工生产线以及冷库在运行过程中需要的设备，主要涉及的生产设备详见下表。</w:t>
      </w:r>
    </w:p>
    <w:p>
      <w:pPr>
        <w:spacing w:line="240" w:lineRule="auto"/>
        <w:ind w:firstLine="482"/>
        <w:jc w:val="center"/>
        <w:rPr>
          <w:b/>
        </w:rPr>
      </w:pPr>
      <w:r>
        <w:rPr>
          <w:rFonts w:hint="eastAsia"/>
          <w:b/>
        </w:rPr>
        <w:t>表</w:t>
      </w:r>
      <w:r>
        <w:rPr>
          <w:rFonts w:hint="eastAsia"/>
          <w:b/>
          <w:lang w:val="en-US" w:eastAsia="zh-CN"/>
        </w:rPr>
        <w:t>3</w:t>
      </w:r>
      <w:r>
        <w:rPr>
          <w:rFonts w:hint="eastAsia"/>
          <w:b/>
        </w:rPr>
        <w:t>.3    本项目主要的生产设备一览表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8"/>
        <w:gridCol w:w="4988"/>
        <w:gridCol w:w="2772"/>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
                <w:sz w:val="21"/>
                <w:szCs w:val="21"/>
              </w:rPr>
            </w:pPr>
            <w:r>
              <w:rPr>
                <w:b/>
                <w:sz w:val="21"/>
                <w:szCs w:val="21"/>
              </w:rPr>
              <w:t>序号</w:t>
            </w:r>
          </w:p>
        </w:tc>
        <w:tc>
          <w:tcPr>
            <w:tcW w:w="2522" w:type="pct"/>
            <w:tcBorders>
              <w:tl2br w:val="nil"/>
              <w:tr2bl w:val="nil"/>
            </w:tcBorders>
            <w:vAlign w:val="center"/>
          </w:tcPr>
          <w:p>
            <w:pPr>
              <w:spacing w:line="240" w:lineRule="auto"/>
              <w:ind w:firstLine="0" w:firstLineChars="0"/>
              <w:jc w:val="center"/>
              <w:rPr>
                <w:b/>
                <w:sz w:val="21"/>
                <w:szCs w:val="21"/>
              </w:rPr>
            </w:pPr>
            <w:r>
              <w:rPr>
                <w:b/>
                <w:sz w:val="21"/>
                <w:szCs w:val="21"/>
              </w:rPr>
              <w:t>设备名称</w:t>
            </w:r>
          </w:p>
        </w:tc>
        <w:tc>
          <w:tcPr>
            <w:tcW w:w="1335" w:type="pct"/>
            <w:tcBorders>
              <w:tl2br w:val="nil"/>
              <w:tr2bl w:val="nil"/>
            </w:tcBorders>
            <w:vAlign w:val="center"/>
          </w:tcPr>
          <w:p>
            <w:pPr>
              <w:spacing w:line="240" w:lineRule="auto"/>
              <w:ind w:firstLine="0" w:firstLineChars="0"/>
              <w:jc w:val="center"/>
              <w:rPr>
                <w:b/>
                <w:sz w:val="21"/>
                <w:szCs w:val="21"/>
              </w:rPr>
            </w:pPr>
            <w:r>
              <w:rPr>
                <w:b/>
                <w:sz w:val="21"/>
                <w:szCs w:val="21"/>
              </w:rPr>
              <w:t>规格型号</w:t>
            </w:r>
          </w:p>
        </w:tc>
        <w:tc>
          <w:tcPr>
            <w:tcW w:w="612" w:type="pct"/>
            <w:tcBorders>
              <w:tl2br w:val="nil"/>
              <w:tr2bl w:val="nil"/>
            </w:tcBorders>
            <w:vAlign w:val="center"/>
          </w:tcPr>
          <w:p>
            <w:pPr>
              <w:spacing w:line="240" w:lineRule="auto"/>
              <w:ind w:firstLine="0" w:firstLineChars="0"/>
              <w:jc w:val="center"/>
              <w:rPr>
                <w:b/>
                <w:sz w:val="21"/>
                <w:szCs w:val="21"/>
              </w:rPr>
            </w:pPr>
            <w:r>
              <w:rPr>
                <w:b/>
                <w:sz w:val="21"/>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b/>
                <w:sz w:val="21"/>
                <w:szCs w:val="21"/>
              </w:rPr>
            </w:pPr>
            <w:r>
              <w:rPr>
                <w:b/>
                <w:sz w:val="21"/>
                <w:szCs w:val="21"/>
              </w:rPr>
              <w:t>一、肉羊屠宰精深加工生产线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
                <w:sz w:val="21"/>
                <w:szCs w:val="21"/>
              </w:rPr>
            </w:pPr>
            <w:r>
              <w:rPr>
                <w:rFonts w:hint="eastAsia"/>
                <w:b/>
                <w:sz w:val="21"/>
                <w:szCs w:val="21"/>
                <w:lang w:val="en-US" w:eastAsia="zh-CN"/>
              </w:rPr>
              <w:t>1.</w:t>
            </w:r>
            <w:r>
              <w:rPr>
                <w:b/>
                <w:sz w:val="21"/>
                <w:szCs w:val="21"/>
              </w:rPr>
              <w:t>1、肉羊屠宰</w:t>
            </w:r>
            <w:r>
              <w:rPr>
                <w:rFonts w:hint="eastAsia"/>
                <w:b/>
                <w:sz w:val="21"/>
                <w:szCs w:val="21"/>
                <w:lang w:val="en-US" w:eastAsia="zh-CN"/>
              </w:rPr>
              <w:t>及剥皮</w:t>
            </w:r>
            <w:r>
              <w:rPr>
                <w:b/>
                <w:sz w:val="21"/>
                <w:szCs w:val="21"/>
              </w:rPr>
              <w:t>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肉羊称重系统</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0~150Kg</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1.2</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牵羊机</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1.3</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肉羊提升系统</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1.4</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接羊栏</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1.5</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全自动肉羊输送机</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V型（可调节）</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1.6</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麻电器</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w:t>
            </w:r>
          </w:p>
        </w:tc>
        <w:tc>
          <w:tcPr>
            <w:tcW w:w="612" w:type="pct"/>
            <w:tcBorders>
              <w:tl2br w:val="nil"/>
              <w:tr2bl w:val="nil"/>
            </w:tcBorders>
            <w:vAlign w:val="center"/>
          </w:tcPr>
          <w:p>
            <w:pPr>
              <w:spacing w:line="240" w:lineRule="auto"/>
              <w:ind w:firstLine="0" w:firstLineChars="0"/>
              <w:jc w:val="center"/>
              <w:rPr>
                <w:rFonts w:hint="default"/>
                <w:bCs/>
                <w:sz w:val="21"/>
                <w:szCs w:val="21"/>
                <w:lang w:val="en-US"/>
              </w:rPr>
            </w:pPr>
            <w:r>
              <w:rPr>
                <w:rFonts w:hint="eastAsia"/>
                <w:bCs/>
                <w:sz w:val="21"/>
                <w:szCs w:val="21"/>
                <w:lang w:val="en-US" w:eastAsia="zh-CN"/>
              </w:rPr>
              <w:t>20套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1.7</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肉羊接收台</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不锈钢</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1.8</w:t>
            </w:r>
          </w:p>
        </w:tc>
        <w:tc>
          <w:tcPr>
            <w:tcW w:w="2522" w:type="pct"/>
            <w:tcBorders>
              <w:tl2br w:val="nil"/>
              <w:tr2bl w:val="nil"/>
            </w:tcBorders>
            <w:vAlign w:val="center"/>
          </w:tcPr>
          <w:p>
            <w:pPr>
              <w:spacing w:line="240" w:lineRule="auto"/>
              <w:ind w:firstLine="0" w:firstLineChars="0"/>
              <w:rPr>
                <w:bCs/>
                <w:sz w:val="21"/>
                <w:szCs w:val="21"/>
              </w:rPr>
            </w:pPr>
            <w:r>
              <w:rPr>
                <w:rFonts w:hint="eastAsia"/>
                <w:bCs/>
                <w:sz w:val="21"/>
                <w:szCs w:val="21"/>
                <w:lang w:val="en-US" w:eastAsia="zh-CN"/>
              </w:rPr>
              <w:t>清真旋转宰杀箱</w:t>
            </w:r>
          </w:p>
        </w:tc>
        <w:tc>
          <w:tcPr>
            <w:tcW w:w="1335" w:type="pct"/>
            <w:tcBorders>
              <w:tl2br w:val="nil"/>
              <w:tr2bl w:val="nil"/>
            </w:tcBorders>
            <w:vAlign w:val="center"/>
          </w:tcPr>
          <w:p>
            <w:pPr>
              <w:spacing w:line="240" w:lineRule="auto"/>
              <w:ind w:firstLine="0" w:firstLineChars="0"/>
              <w:jc w:val="center"/>
              <w:rPr>
                <w:bCs/>
                <w:sz w:val="21"/>
                <w:szCs w:val="21"/>
              </w:rPr>
            </w:pPr>
            <w:r>
              <w:rPr>
                <w:rFonts w:hint="default"/>
                <w:bCs/>
                <w:sz w:val="21"/>
                <w:szCs w:val="21"/>
                <w:lang w:val="en-US" w:eastAsia="zh-CN"/>
              </w:rPr>
              <w:t>1500×1000×4600</w:t>
            </w:r>
            <w:r>
              <w:rPr>
                <w:rFonts w:hint="eastAsia"/>
                <w:bCs/>
                <w:sz w:val="21"/>
                <w:szCs w:val="21"/>
                <w:lang w:val="en-US" w:eastAsia="zh-CN"/>
              </w:rPr>
              <w:t>，</w:t>
            </w:r>
            <w:r>
              <w:rPr>
                <w:rFonts w:hint="default"/>
                <w:bCs/>
                <w:sz w:val="21"/>
                <w:szCs w:val="21"/>
                <w:lang w:val="en-US" w:eastAsia="zh-CN"/>
              </w:rPr>
              <w:t>3.25KW</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1.9</w:t>
            </w:r>
          </w:p>
        </w:tc>
        <w:tc>
          <w:tcPr>
            <w:tcW w:w="2522" w:type="pct"/>
            <w:tcBorders>
              <w:tl2br w:val="nil"/>
              <w:tr2bl w:val="nil"/>
            </w:tcBorders>
            <w:vAlign w:val="center"/>
          </w:tcPr>
          <w:p>
            <w:pPr>
              <w:spacing w:line="240" w:lineRule="auto"/>
              <w:ind w:firstLine="0" w:firstLineChars="0"/>
              <w:rPr>
                <w:bCs/>
                <w:sz w:val="21"/>
                <w:szCs w:val="21"/>
              </w:rPr>
            </w:pPr>
            <w:r>
              <w:rPr>
                <w:rFonts w:hint="eastAsia"/>
                <w:bCs/>
                <w:sz w:val="21"/>
                <w:szCs w:val="21"/>
                <w:lang w:val="en-US" w:eastAsia="zh-CN"/>
              </w:rPr>
              <w:t>辊轮式</w:t>
            </w:r>
            <w:r>
              <w:rPr>
                <w:bCs/>
                <w:sz w:val="21"/>
                <w:szCs w:val="21"/>
              </w:rPr>
              <w:t>放血吊链拴</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1.10</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肉羊放血线（含提升机）</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1.11</w:t>
            </w:r>
          </w:p>
        </w:tc>
        <w:tc>
          <w:tcPr>
            <w:tcW w:w="2522" w:type="pct"/>
            <w:tcBorders>
              <w:tl2br w:val="nil"/>
              <w:tr2bl w:val="nil"/>
            </w:tcBorders>
            <w:vAlign w:val="center"/>
          </w:tcPr>
          <w:p>
            <w:pPr>
              <w:spacing w:line="240" w:lineRule="auto"/>
              <w:ind w:firstLine="0" w:firstLineChars="0"/>
              <w:rPr>
                <w:bCs/>
                <w:sz w:val="21"/>
                <w:szCs w:val="21"/>
              </w:rPr>
            </w:pPr>
            <w:r>
              <w:rPr>
                <w:sz w:val="21"/>
                <w:szCs w:val="21"/>
              </w:rPr>
              <w:t>不锈钢沥血池</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3000mm×2000mm×500mm</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1.12</w:t>
            </w:r>
          </w:p>
        </w:tc>
        <w:tc>
          <w:tcPr>
            <w:tcW w:w="2522" w:type="pct"/>
            <w:tcBorders>
              <w:tl2br w:val="nil"/>
              <w:tr2bl w:val="nil"/>
            </w:tcBorders>
            <w:vAlign w:val="center"/>
          </w:tcPr>
          <w:p>
            <w:pPr>
              <w:spacing w:line="240" w:lineRule="auto"/>
              <w:ind w:firstLine="0" w:firstLineChars="0"/>
              <w:rPr>
                <w:bCs/>
                <w:sz w:val="21"/>
                <w:szCs w:val="21"/>
              </w:rPr>
            </w:pPr>
            <w:r>
              <w:rPr>
                <w:sz w:val="21"/>
                <w:szCs w:val="21"/>
              </w:rPr>
              <w:t>放血及回空手推轨道</w:t>
            </w:r>
          </w:p>
        </w:tc>
        <w:tc>
          <w:tcPr>
            <w:tcW w:w="1335" w:type="pct"/>
            <w:tcBorders>
              <w:tl2br w:val="nil"/>
              <w:tr2bl w:val="nil"/>
            </w:tcBorders>
            <w:vAlign w:val="center"/>
          </w:tcPr>
          <w:p>
            <w:pPr>
              <w:spacing w:line="240" w:lineRule="auto"/>
              <w:ind w:firstLine="0" w:firstLineChars="0"/>
              <w:jc w:val="center"/>
              <w:rPr>
                <w:bCs/>
                <w:sz w:val="21"/>
                <w:szCs w:val="21"/>
              </w:rPr>
            </w:pPr>
            <w:r>
              <w:rPr>
                <w:rFonts w:hint="default"/>
                <w:bCs/>
                <w:sz w:val="21"/>
                <w:szCs w:val="21"/>
                <w:lang w:val="en-US" w:eastAsia="zh-CN"/>
              </w:rPr>
              <w:t>PVC</w:t>
            </w:r>
            <w:r>
              <w:rPr>
                <w:rFonts w:hint="eastAsia"/>
                <w:bCs/>
                <w:sz w:val="21"/>
                <w:szCs w:val="21"/>
                <w:lang w:val="en-US" w:eastAsia="zh-CN"/>
              </w:rPr>
              <w:t>管型轨道</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1.13</w:t>
            </w:r>
          </w:p>
        </w:tc>
        <w:tc>
          <w:tcPr>
            <w:tcW w:w="2522" w:type="pct"/>
            <w:tcBorders>
              <w:tl2br w:val="nil"/>
              <w:tr2bl w:val="nil"/>
            </w:tcBorders>
            <w:vAlign w:val="center"/>
          </w:tcPr>
          <w:p>
            <w:pPr>
              <w:spacing w:line="240" w:lineRule="auto"/>
              <w:ind w:firstLine="0" w:firstLineChars="0"/>
              <w:rPr>
                <w:sz w:val="21"/>
                <w:szCs w:val="21"/>
              </w:rPr>
            </w:pPr>
            <w:r>
              <w:rPr>
                <w:sz w:val="21"/>
                <w:szCs w:val="21"/>
              </w:rPr>
              <w:t>换轨站台</w:t>
            </w:r>
            <w:r>
              <w:rPr>
                <w:bCs/>
                <w:sz w:val="21"/>
                <w:szCs w:val="21"/>
              </w:rPr>
              <w:t>（人工作业，将肉羊转换至预剥作业轨道中）</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1.14</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固定式预剥站台（人工作业）</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eastAsia="宋体"/>
                <w:bCs/>
                <w:sz w:val="21"/>
                <w:szCs w:val="21"/>
                <w:lang w:val="en-US" w:eastAsia="zh-CN"/>
              </w:rPr>
            </w:pPr>
            <w:r>
              <w:rPr>
                <w:rFonts w:hint="eastAsia"/>
                <w:bCs/>
                <w:sz w:val="21"/>
                <w:szCs w:val="21"/>
                <w:lang w:val="en-US" w:eastAsia="zh-CN"/>
              </w:rPr>
              <w:t>1.1.15</w:t>
            </w:r>
          </w:p>
        </w:tc>
        <w:tc>
          <w:tcPr>
            <w:tcW w:w="2522" w:type="pct"/>
            <w:tcBorders>
              <w:tl2br w:val="nil"/>
              <w:tr2bl w:val="nil"/>
            </w:tcBorders>
            <w:vAlign w:val="center"/>
          </w:tcPr>
          <w:p>
            <w:pPr>
              <w:spacing w:line="240" w:lineRule="auto"/>
              <w:ind w:firstLine="0" w:firstLineChars="0"/>
              <w:rPr>
                <w:bCs/>
                <w:sz w:val="21"/>
                <w:szCs w:val="21"/>
              </w:rPr>
            </w:pPr>
            <w:r>
              <w:rPr>
                <w:rFonts w:hint="eastAsia"/>
                <w:bCs/>
                <w:sz w:val="21"/>
                <w:szCs w:val="21"/>
                <w:lang w:val="en-US" w:eastAsia="zh-CN"/>
              </w:rPr>
              <w:t>角</w:t>
            </w:r>
            <w:r>
              <w:rPr>
                <w:rFonts w:hint="default"/>
                <w:bCs/>
                <w:sz w:val="21"/>
                <w:szCs w:val="21"/>
                <w:lang w:val="en-US" w:eastAsia="zh-CN"/>
              </w:rPr>
              <w:t>/</w:t>
            </w:r>
            <w:r>
              <w:rPr>
                <w:rFonts w:hint="eastAsia"/>
                <w:bCs/>
                <w:sz w:val="21"/>
                <w:szCs w:val="21"/>
                <w:lang w:val="en-US" w:eastAsia="zh-CN"/>
              </w:rPr>
              <w:t>蹄切割器</w:t>
            </w:r>
          </w:p>
        </w:tc>
        <w:tc>
          <w:tcPr>
            <w:tcW w:w="1335" w:type="pct"/>
            <w:tcBorders>
              <w:tl2br w:val="nil"/>
              <w:tr2bl w:val="nil"/>
            </w:tcBorders>
            <w:vAlign w:val="center"/>
          </w:tcPr>
          <w:p>
            <w:pPr>
              <w:spacing w:line="240" w:lineRule="auto"/>
              <w:ind w:firstLine="0" w:firstLineChars="0"/>
              <w:jc w:val="center"/>
              <w:rPr>
                <w:bCs/>
                <w:sz w:val="21"/>
                <w:szCs w:val="21"/>
              </w:rPr>
            </w:pPr>
            <w:r>
              <w:rPr>
                <w:rFonts w:hint="default"/>
                <w:bCs/>
                <w:sz w:val="21"/>
                <w:szCs w:val="21"/>
                <w:lang w:val="en-US" w:eastAsia="zh-CN"/>
              </w:rPr>
              <w:t>2.6KW</w:t>
            </w:r>
          </w:p>
        </w:tc>
        <w:tc>
          <w:tcPr>
            <w:tcW w:w="612" w:type="pct"/>
            <w:tcBorders>
              <w:tl2br w:val="nil"/>
              <w:tr2bl w:val="nil"/>
            </w:tcBorders>
            <w:vAlign w:val="center"/>
          </w:tcPr>
          <w:p>
            <w:pPr>
              <w:spacing w:line="240" w:lineRule="auto"/>
              <w:ind w:firstLine="0" w:firstLineChars="0"/>
              <w:jc w:val="center"/>
              <w:rPr>
                <w:rFonts w:hint="default"/>
                <w:bCs/>
                <w:sz w:val="21"/>
                <w:szCs w:val="21"/>
                <w:lang w:val="en-US" w:eastAsia="zh-CN"/>
              </w:rPr>
            </w:pPr>
            <w:r>
              <w:rPr>
                <w:rFonts w:hint="eastAsia"/>
                <w:bCs/>
                <w:sz w:val="21"/>
                <w:szCs w:val="21"/>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1.16</w:t>
            </w:r>
          </w:p>
        </w:tc>
        <w:tc>
          <w:tcPr>
            <w:tcW w:w="2522" w:type="pct"/>
            <w:tcBorders>
              <w:tl2br w:val="nil"/>
              <w:tr2bl w:val="nil"/>
            </w:tcBorders>
            <w:vAlign w:val="center"/>
          </w:tcPr>
          <w:p>
            <w:pPr>
              <w:spacing w:line="240" w:lineRule="auto"/>
              <w:ind w:firstLine="0" w:firstLineChars="0"/>
              <w:rPr>
                <w:bCs/>
                <w:sz w:val="21"/>
                <w:szCs w:val="21"/>
              </w:rPr>
            </w:pPr>
            <w:r>
              <w:rPr>
                <w:rFonts w:hint="eastAsia"/>
                <w:bCs/>
                <w:sz w:val="21"/>
                <w:szCs w:val="21"/>
                <w:lang w:val="en-US" w:eastAsia="zh-CN"/>
              </w:rPr>
              <w:t>红白内脏、</w:t>
            </w:r>
            <w:r>
              <w:rPr>
                <w:bCs/>
                <w:sz w:val="21"/>
                <w:szCs w:val="21"/>
              </w:rPr>
              <w:t>头、蹄接受滑槽</w:t>
            </w:r>
          </w:p>
        </w:tc>
        <w:tc>
          <w:tcPr>
            <w:tcW w:w="1335" w:type="pct"/>
            <w:tcBorders>
              <w:tl2br w:val="nil"/>
              <w:tr2bl w:val="nil"/>
            </w:tcBorders>
            <w:vAlign w:val="center"/>
          </w:tcPr>
          <w:p>
            <w:pPr>
              <w:spacing w:line="240" w:lineRule="auto"/>
              <w:ind w:firstLine="0" w:firstLineChars="0"/>
              <w:jc w:val="center"/>
              <w:rPr>
                <w:bCs/>
                <w:sz w:val="21"/>
                <w:szCs w:val="21"/>
              </w:rPr>
            </w:pPr>
            <w:r>
              <w:rPr>
                <w:bCs/>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1.17</w:t>
            </w:r>
          </w:p>
        </w:tc>
        <w:tc>
          <w:tcPr>
            <w:tcW w:w="2522" w:type="pct"/>
            <w:tcBorders>
              <w:tl2br w:val="nil"/>
              <w:tr2bl w:val="nil"/>
            </w:tcBorders>
            <w:vAlign w:val="center"/>
          </w:tcPr>
          <w:p>
            <w:pPr>
              <w:spacing w:line="240" w:lineRule="auto"/>
              <w:ind w:firstLine="0" w:firstLineChars="0"/>
              <w:rPr>
                <w:bCs/>
                <w:sz w:val="21"/>
                <w:szCs w:val="21"/>
              </w:rPr>
            </w:pPr>
            <w:r>
              <w:rPr>
                <w:rFonts w:hint="eastAsia"/>
                <w:bCs/>
                <w:sz w:val="21"/>
                <w:szCs w:val="21"/>
                <w:lang w:val="en-US" w:eastAsia="zh-CN"/>
              </w:rPr>
              <w:t>红白内脏、</w:t>
            </w:r>
            <w:r>
              <w:rPr>
                <w:bCs/>
                <w:sz w:val="21"/>
                <w:szCs w:val="21"/>
              </w:rPr>
              <w:t>头、蹄输同步检疫输送机</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吊钩间路</w:t>
            </w:r>
            <w:r>
              <w:rPr>
                <w:rFonts w:hint="default"/>
                <w:bCs/>
                <w:sz w:val="21"/>
                <w:szCs w:val="21"/>
                <w:lang w:val="en-US" w:eastAsia="zh-CN"/>
              </w:rPr>
              <w:t>2.1m</w:t>
            </w:r>
            <w:r>
              <w:rPr>
                <w:rFonts w:hint="eastAsia"/>
                <w:bCs/>
                <w:sz w:val="21"/>
                <w:szCs w:val="21"/>
                <w:lang w:val="en-US" w:eastAsia="zh-CN"/>
              </w:rPr>
              <w:t>，链长</w:t>
            </w:r>
            <w:r>
              <w:rPr>
                <w:rFonts w:hint="default"/>
                <w:bCs/>
                <w:sz w:val="21"/>
                <w:szCs w:val="21"/>
                <w:lang w:val="en-US" w:eastAsia="zh-CN"/>
              </w:rPr>
              <w:t>50m</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bCs/>
                <w:sz w:val="21"/>
                <w:szCs w:val="21"/>
              </w:rPr>
              <w:t>1.18</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bCs/>
                <w:kern w:val="2"/>
                <w:sz w:val="21"/>
                <w:szCs w:val="21"/>
                <w:lang w:val="en-US" w:eastAsia="zh-CN" w:bidi="ar-SA"/>
              </w:rPr>
            </w:pPr>
            <w:r>
              <w:rPr>
                <w:bCs/>
                <w:sz w:val="21"/>
                <w:szCs w:val="21"/>
              </w:rPr>
              <w:t>羊皮输送机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kern w:val="2"/>
                <w:sz w:val="21"/>
                <w:szCs w:val="21"/>
                <w:lang w:val="en-US" w:eastAsia="zh-CN" w:bidi="ar-SA"/>
              </w:rPr>
            </w:pPr>
            <w:r>
              <w:rPr>
                <w:bCs/>
                <w:sz w:val="21"/>
                <w:szCs w:val="21"/>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bCs/>
                <w:sz w:val="21"/>
                <w:szCs w:val="21"/>
              </w:rPr>
              <w:t>1.19</w:t>
            </w:r>
          </w:p>
        </w:tc>
        <w:tc>
          <w:tcPr>
            <w:tcW w:w="2522" w:type="pct"/>
            <w:tcBorders>
              <w:tl2br w:val="nil"/>
              <w:tr2bl w:val="nil"/>
            </w:tcBorders>
            <w:vAlign w:val="center"/>
          </w:tcPr>
          <w:p>
            <w:pPr>
              <w:spacing w:line="240" w:lineRule="auto"/>
              <w:ind w:firstLine="0" w:firstLineChars="0"/>
              <w:rPr>
                <w:bCs/>
                <w:sz w:val="21"/>
                <w:szCs w:val="21"/>
              </w:rPr>
            </w:pPr>
            <w:r>
              <w:rPr>
                <w:bCs/>
                <w:sz w:val="21"/>
                <w:szCs w:val="21"/>
              </w:rPr>
              <w:t>不锈钢后蹄滑槽及挂钩</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bCs/>
                <w:sz w:val="21"/>
                <w:szCs w:val="21"/>
              </w:rPr>
              <w:t>1.20</w:t>
            </w:r>
          </w:p>
        </w:tc>
        <w:tc>
          <w:tcPr>
            <w:tcW w:w="2522" w:type="pct"/>
            <w:tcBorders>
              <w:tl2br w:val="nil"/>
              <w:tr2bl w:val="nil"/>
            </w:tcBorders>
            <w:vAlign w:val="center"/>
          </w:tcPr>
          <w:p>
            <w:pPr>
              <w:spacing w:line="240" w:lineRule="auto"/>
              <w:ind w:firstLine="0" w:firstLineChars="0"/>
              <w:rPr>
                <w:sz w:val="21"/>
                <w:szCs w:val="21"/>
              </w:rPr>
            </w:pPr>
            <w:r>
              <w:rPr>
                <w:sz w:val="21"/>
                <w:szCs w:val="21"/>
              </w:rPr>
              <w:t>不锈钢预剥胸皮气力升降台</w:t>
            </w:r>
          </w:p>
        </w:tc>
        <w:tc>
          <w:tcPr>
            <w:tcW w:w="133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热镀锌结构</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bCs/>
                <w:sz w:val="21"/>
                <w:szCs w:val="21"/>
              </w:rPr>
              <w:t>1.21</w:t>
            </w:r>
          </w:p>
        </w:tc>
        <w:tc>
          <w:tcPr>
            <w:tcW w:w="2522" w:type="pct"/>
            <w:tcBorders>
              <w:tl2br w:val="nil"/>
              <w:tr2bl w:val="nil"/>
            </w:tcBorders>
            <w:vAlign w:val="center"/>
          </w:tcPr>
          <w:p>
            <w:pPr>
              <w:spacing w:line="240" w:lineRule="auto"/>
              <w:ind w:firstLine="0" w:firstLineChars="0"/>
              <w:rPr>
                <w:sz w:val="21"/>
                <w:szCs w:val="21"/>
              </w:rPr>
            </w:pPr>
            <w:r>
              <w:rPr>
                <w:rFonts w:hint="eastAsia"/>
                <w:sz w:val="21"/>
                <w:szCs w:val="21"/>
                <w:lang w:val="en-US" w:eastAsia="zh-CN"/>
              </w:rPr>
              <w:t>气动剥皮刀</w:t>
            </w:r>
          </w:p>
        </w:tc>
        <w:tc>
          <w:tcPr>
            <w:tcW w:w="1335" w:type="pct"/>
            <w:tcBorders>
              <w:tl2br w:val="nil"/>
              <w:tr2bl w:val="nil"/>
            </w:tcBorders>
            <w:vAlign w:val="center"/>
          </w:tcPr>
          <w:p>
            <w:pPr>
              <w:spacing w:line="240" w:lineRule="auto"/>
              <w:ind w:firstLine="0" w:firstLineChars="0"/>
              <w:jc w:val="center"/>
              <w:rPr>
                <w:bCs/>
                <w:sz w:val="21"/>
                <w:szCs w:val="21"/>
              </w:rPr>
            </w:pPr>
            <w:r>
              <w:rPr>
                <w:rFonts w:hint="default"/>
                <w:bCs/>
                <w:sz w:val="21"/>
                <w:szCs w:val="21"/>
                <w:lang w:val="en-US" w:eastAsia="zh-CN"/>
              </w:rPr>
              <w:t>0.4m</w:t>
            </w:r>
            <w:r>
              <w:rPr>
                <w:rFonts w:hint="default"/>
                <w:bCs/>
                <w:sz w:val="21"/>
                <w:szCs w:val="21"/>
                <w:vertAlign w:val="superscript"/>
                <w:lang w:val="en-US" w:eastAsia="zh-CN"/>
              </w:rPr>
              <w:t>3</w:t>
            </w:r>
            <w:r>
              <w:rPr>
                <w:rFonts w:hint="default"/>
                <w:bCs/>
                <w:sz w:val="21"/>
                <w:szCs w:val="21"/>
                <w:lang w:val="en-US" w:eastAsia="zh-CN"/>
              </w:rPr>
              <w:t>/</w:t>
            </w:r>
            <w:r>
              <w:rPr>
                <w:rFonts w:hint="eastAsia"/>
                <w:bCs/>
                <w:sz w:val="21"/>
                <w:szCs w:val="21"/>
                <w:lang w:val="en-US" w:eastAsia="zh-CN"/>
              </w:rPr>
              <w:t>分，</w:t>
            </w:r>
            <w:r>
              <w:rPr>
                <w:rFonts w:hint="default"/>
                <w:bCs/>
                <w:sz w:val="21"/>
                <w:szCs w:val="21"/>
                <w:lang w:val="en-US" w:eastAsia="zh-CN"/>
              </w:rPr>
              <w:t>6pa</w:t>
            </w:r>
          </w:p>
        </w:tc>
        <w:tc>
          <w:tcPr>
            <w:tcW w:w="612" w:type="pct"/>
            <w:tcBorders>
              <w:tl2br w:val="nil"/>
              <w:tr2bl w:val="nil"/>
            </w:tcBorders>
            <w:vAlign w:val="center"/>
          </w:tcPr>
          <w:p>
            <w:pPr>
              <w:spacing w:line="240" w:lineRule="auto"/>
              <w:ind w:firstLine="0" w:firstLineChars="0"/>
              <w:jc w:val="center"/>
              <w:rPr>
                <w:rFonts w:hint="default"/>
                <w:bCs/>
                <w:sz w:val="21"/>
                <w:szCs w:val="21"/>
                <w:lang w:val="en-US" w:eastAsia="zh-CN"/>
              </w:rPr>
            </w:pPr>
            <w:r>
              <w:rPr>
                <w:rFonts w:hint="eastAsia"/>
                <w:bCs/>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bCs/>
                <w:sz w:val="21"/>
                <w:szCs w:val="21"/>
              </w:rPr>
              <w:t>1.22</w:t>
            </w:r>
          </w:p>
        </w:tc>
        <w:tc>
          <w:tcPr>
            <w:tcW w:w="2522" w:type="pct"/>
            <w:tcBorders>
              <w:tl2br w:val="nil"/>
              <w:tr2bl w:val="nil"/>
            </w:tcBorders>
            <w:vAlign w:val="center"/>
          </w:tcPr>
          <w:p>
            <w:pPr>
              <w:spacing w:line="240" w:lineRule="auto"/>
              <w:ind w:firstLine="0" w:firstLineChars="0"/>
              <w:rPr>
                <w:bCs/>
                <w:sz w:val="21"/>
                <w:szCs w:val="21"/>
              </w:rPr>
            </w:pPr>
            <w:r>
              <w:rPr>
                <w:rFonts w:hint="eastAsia"/>
                <w:bCs/>
                <w:sz w:val="21"/>
                <w:szCs w:val="21"/>
                <w:lang w:val="en-US" w:eastAsia="zh-CN"/>
              </w:rPr>
              <w:t>滚筒式剥皮机</w:t>
            </w:r>
          </w:p>
        </w:tc>
        <w:tc>
          <w:tcPr>
            <w:tcW w:w="1335" w:type="pct"/>
            <w:tcBorders>
              <w:tl2br w:val="nil"/>
              <w:tr2bl w:val="nil"/>
            </w:tcBorders>
            <w:vAlign w:val="center"/>
          </w:tcPr>
          <w:p>
            <w:pPr>
              <w:spacing w:line="240" w:lineRule="auto"/>
              <w:ind w:firstLine="0" w:firstLineChars="0"/>
              <w:jc w:val="center"/>
              <w:rPr>
                <w:bCs/>
                <w:sz w:val="21"/>
                <w:szCs w:val="21"/>
              </w:rPr>
            </w:pPr>
            <w:r>
              <w:rPr>
                <w:rFonts w:hint="default"/>
                <w:bCs/>
                <w:sz w:val="21"/>
                <w:szCs w:val="21"/>
                <w:lang w:val="en-US" w:eastAsia="zh-CN"/>
              </w:rPr>
              <w:t>100</w:t>
            </w:r>
            <w:r>
              <w:rPr>
                <w:rFonts w:hint="eastAsia"/>
                <w:bCs/>
                <w:sz w:val="21"/>
                <w:szCs w:val="21"/>
                <w:lang w:val="en-US" w:eastAsia="zh-CN"/>
              </w:rPr>
              <w:t>头</w:t>
            </w:r>
            <w:r>
              <w:rPr>
                <w:rFonts w:hint="default"/>
                <w:bCs/>
                <w:sz w:val="21"/>
                <w:szCs w:val="21"/>
                <w:lang w:val="en-US" w:eastAsia="zh-CN"/>
              </w:rPr>
              <w:t>/h</w:t>
            </w:r>
            <w:r>
              <w:rPr>
                <w:rFonts w:hint="eastAsia"/>
                <w:bCs/>
                <w:sz w:val="21"/>
                <w:szCs w:val="21"/>
                <w:lang w:val="en-US" w:eastAsia="zh-CN"/>
              </w:rPr>
              <w:t>，</w:t>
            </w:r>
            <w:r>
              <w:rPr>
                <w:rFonts w:hint="default"/>
                <w:bCs/>
                <w:sz w:val="21"/>
                <w:szCs w:val="21"/>
                <w:lang w:val="en-US" w:eastAsia="zh-CN"/>
              </w:rPr>
              <w:t>6.5KW</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1.</w:t>
            </w:r>
            <w:r>
              <w:rPr>
                <w:rFonts w:hint="eastAsia"/>
                <w:bCs/>
                <w:sz w:val="21"/>
                <w:szCs w:val="21"/>
                <w:lang w:val="en-US" w:eastAsia="zh-CN"/>
              </w:rPr>
              <w:t>23</w:t>
            </w:r>
          </w:p>
        </w:tc>
        <w:tc>
          <w:tcPr>
            <w:tcW w:w="2522" w:type="pct"/>
            <w:tcBorders>
              <w:tl2br w:val="nil"/>
              <w:tr2bl w:val="nil"/>
            </w:tcBorders>
            <w:vAlign w:val="center"/>
          </w:tcPr>
          <w:p>
            <w:pPr>
              <w:spacing w:line="240" w:lineRule="auto"/>
              <w:ind w:firstLine="0" w:firstLineChars="0"/>
              <w:rPr>
                <w:rFonts w:ascii="Times New Roman" w:hAnsi="Times New Roman" w:eastAsia="宋体" w:cs="Times New Roman"/>
                <w:kern w:val="2"/>
                <w:sz w:val="21"/>
                <w:szCs w:val="21"/>
                <w:lang w:val="en-US" w:eastAsia="zh-CN" w:bidi="ar-SA"/>
              </w:rPr>
            </w:pPr>
            <w:r>
              <w:rPr>
                <w:sz w:val="21"/>
                <w:szCs w:val="21"/>
              </w:rPr>
              <w:t>高压水枪（喷淋清洗）</w:t>
            </w:r>
          </w:p>
        </w:tc>
        <w:tc>
          <w:tcPr>
            <w:tcW w:w="1335"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bCs/>
                <w:sz w:val="21"/>
                <w:szCs w:val="21"/>
              </w:rPr>
              <w:t>0.5m</w:t>
            </w:r>
            <w:r>
              <w:rPr>
                <w:bCs/>
                <w:sz w:val="21"/>
                <w:szCs w:val="21"/>
                <w:vertAlign w:val="superscript"/>
              </w:rPr>
              <w:t>3</w:t>
            </w:r>
            <w:r>
              <w:rPr>
                <w:bCs/>
                <w:sz w:val="21"/>
                <w:szCs w:val="21"/>
              </w:rPr>
              <w:t>/h，可调节</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bCs/>
                <w:sz w:val="21"/>
                <w:szCs w:val="21"/>
                <w:lang w:val="en-US" w:eastAsia="zh-CN"/>
              </w:rPr>
              <w:t>1</w:t>
            </w:r>
            <w:r>
              <w:rPr>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eastAsia="宋体"/>
                <w:bCs/>
                <w:sz w:val="21"/>
                <w:szCs w:val="21"/>
                <w:lang w:val="en-US" w:eastAsia="zh-CN"/>
              </w:rPr>
            </w:pPr>
            <w:r>
              <w:rPr>
                <w:rFonts w:hint="eastAsia"/>
                <w:bCs/>
                <w:sz w:val="21"/>
                <w:szCs w:val="21"/>
                <w:lang w:val="en-US" w:eastAsia="zh-CN"/>
              </w:rPr>
              <w:t>1.1.24</w:t>
            </w:r>
          </w:p>
        </w:tc>
        <w:tc>
          <w:tcPr>
            <w:tcW w:w="2522" w:type="pct"/>
            <w:tcBorders>
              <w:tl2br w:val="nil"/>
              <w:tr2bl w:val="nil"/>
            </w:tcBorders>
            <w:vAlign w:val="center"/>
          </w:tcPr>
          <w:p>
            <w:pPr>
              <w:spacing w:line="240" w:lineRule="auto"/>
              <w:ind w:firstLine="0" w:firstLineChars="0"/>
              <w:rPr>
                <w:rFonts w:ascii="Times New Roman" w:hAnsi="Times New Roman" w:eastAsia="宋体" w:cs="Times New Roman"/>
                <w:bCs/>
                <w:kern w:val="2"/>
                <w:sz w:val="21"/>
                <w:szCs w:val="21"/>
                <w:lang w:val="en-US" w:eastAsia="zh-CN" w:bidi="ar-SA"/>
              </w:rPr>
            </w:pPr>
            <w:r>
              <w:rPr>
                <w:sz w:val="21"/>
                <w:szCs w:val="21"/>
              </w:rPr>
              <w:t>滚轮吊钩运输系统（运输至分割区域）</w:t>
            </w:r>
          </w:p>
        </w:tc>
        <w:tc>
          <w:tcPr>
            <w:tcW w:w="1335"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bCs/>
                <w:sz w:val="21"/>
                <w:szCs w:val="21"/>
              </w:rPr>
              <w:t>/</w:t>
            </w:r>
          </w:p>
        </w:tc>
        <w:tc>
          <w:tcPr>
            <w:tcW w:w="612" w:type="pct"/>
            <w:tcBorders>
              <w:tl2br w:val="nil"/>
              <w:tr2bl w:val="nil"/>
            </w:tcBorders>
            <w:vAlign w:val="center"/>
          </w:tcPr>
          <w:p>
            <w:pPr>
              <w:spacing w:line="240" w:lineRule="auto"/>
              <w:ind w:firstLine="0" w:firstLineChars="0"/>
              <w:jc w:val="center"/>
              <w:rPr>
                <w:rFonts w:ascii="Times New Roman" w:hAnsi="Times New Roman" w:eastAsia="宋体" w:cs="Times New Roman"/>
                <w:bCs/>
                <w:kern w:val="2"/>
                <w:sz w:val="21"/>
                <w:szCs w:val="21"/>
                <w:lang w:val="en-US" w:eastAsia="zh-CN" w:bidi="ar-SA"/>
              </w:rPr>
            </w:pPr>
            <w:r>
              <w:rPr>
                <w:rFonts w:hint="eastAsia"/>
                <w:bCs/>
                <w:sz w:val="21"/>
                <w:szCs w:val="21"/>
                <w:lang w:val="en-US" w:eastAsia="zh-CN"/>
              </w:rPr>
              <w:t>1</w:t>
            </w:r>
            <w:r>
              <w:rPr>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sz w:val="21"/>
                <w:szCs w:val="21"/>
                <w:lang w:val="en-US" w:eastAsia="zh-CN"/>
              </w:rPr>
              <w:t>1.</w:t>
            </w:r>
            <w:r>
              <w:rPr>
                <w:b/>
                <w:sz w:val="21"/>
                <w:szCs w:val="21"/>
              </w:rPr>
              <w:t>2、红白内脏出腔工段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2.1</w:t>
            </w:r>
          </w:p>
        </w:tc>
        <w:tc>
          <w:tcPr>
            <w:tcW w:w="2522" w:type="pct"/>
            <w:tcBorders>
              <w:tl2br w:val="nil"/>
              <w:tr2bl w:val="nil"/>
            </w:tcBorders>
            <w:vAlign w:val="center"/>
          </w:tcPr>
          <w:p>
            <w:pPr>
              <w:spacing w:line="240" w:lineRule="auto"/>
              <w:ind w:firstLine="0" w:firstLineChars="0"/>
              <w:rPr>
                <w:sz w:val="21"/>
                <w:szCs w:val="21"/>
              </w:rPr>
            </w:pPr>
            <w:r>
              <w:rPr>
                <w:sz w:val="21"/>
                <w:szCs w:val="21"/>
              </w:rPr>
              <w:t>不锈钢出白内脏固定式站台</w:t>
            </w:r>
            <w:r>
              <w:rPr>
                <w:bCs/>
                <w:sz w:val="21"/>
                <w:szCs w:val="21"/>
              </w:rPr>
              <w:t>（人工作业）</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不锈钢</w:t>
            </w:r>
          </w:p>
        </w:tc>
        <w:tc>
          <w:tcPr>
            <w:tcW w:w="612"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2.2</w:t>
            </w:r>
          </w:p>
        </w:tc>
        <w:tc>
          <w:tcPr>
            <w:tcW w:w="2522" w:type="pct"/>
            <w:tcBorders>
              <w:tl2br w:val="nil"/>
              <w:tr2bl w:val="nil"/>
            </w:tcBorders>
            <w:vAlign w:val="center"/>
          </w:tcPr>
          <w:p>
            <w:pPr>
              <w:spacing w:line="240" w:lineRule="auto"/>
              <w:ind w:firstLine="0" w:firstLineChars="0"/>
              <w:rPr>
                <w:sz w:val="21"/>
                <w:szCs w:val="21"/>
              </w:rPr>
            </w:pPr>
            <w:r>
              <w:rPr>
                <w:sz w:val="21"/>
                <w:szCs w:val="21"/>
              </w:rPr>
              <w:t>白内脏接受滑槽</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不锈钢</w:t>
            </w:r>
          </w:p>
        </w:tc>
        <w:tc>
          <w:tcPr>
            <w:tcW w:w="612"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2.3</w:t>
            </w:r>
          </w:p>
        </w:tc>
        <w:tc>
          <w:tcPr>
            <w:tcW w:w="2522" w:type="pct"/>
            <w:tcBorders>
              <w:tl2br w:val="nil"/>
              <w:tr2bl w:val="nil"/>
            </w:tcBorders>
            <w:vAlign w:val="center"/>
          </w:tcPr>
          <w:p>
            <w:pPr>
              <w:spacing w:line="240" w:lineRule="auto"/>
              <w:ind w:firstLine="0" w:firstLineChars="0"/>
              <w:rPr>
                <w:sz w:val="21"/>
                <w:szCs w:val="21"/>
              </w:rPr>
            </w:pPr>
            <w:r>
              <w:rPr>
                <w:sz w:val="21"/>
                <w:szCs w:val="21"/>
              </w:rPr>
              <w:t>胃容物输送系统</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2.4</w:t>
            </w:r>
          </w:p>
        </w:tc>
        <w:tc>
          <w:tcPr>
            <w:tcW w:w="2522" w:type="pct"/>
            <w:tcBorders>
              <w:tl2br w:val="nil"/>
              <w:tr2bl w:val="nil"/>
            </w:tcBorders>
            <w:vAlign w:val="center"/>
          </w:tcPr>
          <w:p>
            <w:pPr>
              <w:spacing w:line="240" w:lineRule="auto"/>
              <w:ind w:firstLine="0" w:firstLineChars="0"/>
              <w:rPr>
                <w:sz w:val="21"/>
                <w:szCs w:val="21"/>
              </w:rPr>
            </w:pPr>
            <w:r>
              <w:rPr>
                <w:sz w:val="21"/>
                <w:szCs w:val="21"/>
              </w:rPr>
              <w:t>盘式白内脏检疫输送机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1</w:t>
            </w:r>
            <w:r>
              <w:rPr>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2.5</w:t>
            </w:r>
          </w:p>
        </w:tc>
        <w:tc>
          <w:tcPr>
            <w:tcW w:w="2522" w:type="pct"/>
            <w:tcBorders>
              <w:tl2br w:val="nil"/>
              <w:tr2bl w:val="nil"/>
            </w:tcBorders>
            <w:vAlign w:val="center"/>
          </w:tcPr>
          <w:p>
            <w:pPr>
              <w:spacing w:line="240" w:lineRule="auto"/>
              <w:ind w:firstLine="0" w:firstLineChars="0"/>
              <w:rPr>
                <w:sz w:val="21"/>
                <w:szCs w:val="21"/>
              </w:rPr>
            </w:pPr>
            <w:r>
              <w:rPr>
                <w:sz w:val="21"/>
                <w:szCs w:val="21"/>
              </w:rPr>
              <w:t>不锈钢出红内脏固定式站台</w:t>
            </w:r>
            <w:r>
              <w:rPr>
                <w:bCs/>
                <w:sz w:val="21"/>
                <w:szCs w:val="21"/>
              </w:rPr>
              <w:t>（人工作业）</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1.2.6</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红内脏接受滑槽</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1.2.7</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盘式红内脏检疫输送机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1.2.8</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自动清洗机（羊胴体清洗）</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2m3/h，可调节</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1.2.9</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换轨站台（人工作业，将羊胴体转换至快速预冷自动输送系统轨道中）</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sz w:val="21"/>
                <w:szCs w:val="21"/>
              </w:rPr>
            </w:pPr>
            <w:r>
              <w:rPr>
                <w:rFonts w:hint="eastAsia"/>
                <w:b/>
                <w:bCs/>
                <w:sz w:val="21"/>
                <w:szCs w:val="21"/>
                <w:lang w:val="en-US" w:eastAsia="zh-CN"/>
              </w:rPr>
              <w:t>1.</w:t>
            </w:r>
            <w:r>
              <w:rPr>
                <w:b/>
                <w:bCs/>
                <w:sz w:val="21"/>
                <w:szCs w:val="21"/>
              </w:rPr>
              <w:t>3、排酸工段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1.3.1</w:t>
            </w:r>
          </w:p>
        </w:tc>
        <w:tc>
          <w:tcPr>
            <w:tcW w:w="252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快速预冷自动输送机（将羊胴体输送至排酸间）</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sz w:val="21"/>
                <w:szCs w:val="21"/>
              </w:rPr>
            </w:pPr>
            <w:r>
              <w:rPr>
                <w:rFonts w:hint="eastAsia"/>
                <w:b/>
                <w:bCs/>
                <w:sz w:val="21"/>
                <w:szCs w:val="21"/>
                <w:lang w:val="en-US" w:eastAsia="zh-CN"/>
              </w:rPr>
              <w:t>1.</w:t>
            </w:r>
            <w:r>
              <w:rPr>
                <w:b/>
                <w:bCs/>
                <w:sz w:val="21"/>
                <w:szCs w:val="21"/>
              </w:rPr>
              <w:t>4、分割工段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1.4.1</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接收台</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300mm×1000mm×800mm</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1.4.2</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开胸骨锯</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650W</w:t>
            </w:r>
            <w:r>
              <w:rPr>
                <w:rFonts w:hint="eastAsia" w:ascii="Times New Roman" w:hAnsi="Times New Roman" w:eastAsia="宋体" w:cs="Times New Roman"/>
                <w:bCs/>
                <w:sz w:val="21"/>
                <w:szCs w:val="21"/>
                <w:lang w:val="en-US" w:eastAsia="zh-CN"/>
              </w:rPr>
              <w:t>，变压器</w:t>
            </w:r>
            <w:r>
              <w:rPr>
                <w:rFonts w:hint="default" w:ascii="Times New Roman" w:hAnsi="Times New Roman" w:eastAsia="宋体" w:cs="Times New Roman"/>
                <w:bCs/>
                <w:sz w:val="21"/>
                <w:szCs w:val="21"/>
                <w:lang w:val="en-US" w:eastAsia="zh-CN"/>
              </w:rPr>
              <w:t>42V</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1.4.3</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分割工作台（人工分割）</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2000mm×1000mm×800mm</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1.4.4</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分割刀具（人工分割）</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若干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1.4.5</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磨刀机（公用）</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BR5A</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pStyle w:val="2"/>
              <w:jc w:val="both"/>
              <w:rPr>
                <w:sz w:val="21"/>
                <w:szCs w:val="21"/>
              </w:rPr>
            </w:pPr>
            <w:r>
              <w:rPr>
                <w:rFonts w:hint="eastAsia"/>
                <w:b/>
                <w:bCs/>
                <w:sz w:val="21"/>
                <w:szCs w:val="21"/>
                <w:lang w:val="en-US" w:eastAsia="zh-CN"/>
              </w:rPr>
              <w:t>1.</w:t>
            </w:r>
            <w:r>
              <w:rPr>
                <w:b/>
                <w:bCs/>
                <w:sz w:val="21"/>
                <w:szCs w:val="21"/>
              </w:rPr>
              <w:t>5、速冻工段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1.5.1</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快速速冻自动输送机</w:t>
            </w:r>
          </w:p>
        </w:tc>
        <w:tc>
          <w:tcPr>
            <w:tcW w:w="1335"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w:t>
            </w:r>
          </w:p>
        </w:tc>
        <w:tc>
          <w:tcPr>
            <w:tcW w:w="61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bCs/>
                <w:sz w:val="21"/>
                <w:szCs w:val="21"/>
                <w:lang w:val="en-US" w:eastAsia="zh-CN"/>
              </w:rPr>
            </w:pPr>
            <w:r>
              <w:rPr>
                <w:rFonts w:hint="eastAsia" w:ascii="Times New Roman" w:hAnsi="Times New Roman" w:eastAsia="宋体" w:cs="Times New Roman"/>
                <w:bCs/>
                <w:sz w:val="21"/>
                <w:szCs w:val="21"/>
                <w:lang w:val="en-US" w:eastAsia="zh-CN"/>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sz w:val="21"/>
                <w:szCs w:val="21"/>
                <w:lang w:val="en-US" w:eastAsia="zh-CN"/>
              </w:rPr>
              <w:t>1.</w:t>
            </w:r>
            <w:r>
              <w:rPr>
                <w:b/>
                <w:sz w:val="21"/>
                <w:szCs w:val="21"/>
              </w:rPr>
              <w:t>6、包装工段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6.1</w:t>
            </w:r>
          </w:p>
        </w:tc>
        <w:tc>
          <w:tcPr>
            <w:tcW w:w="2522" w:type="pct"/>
            <w:tcBorders>
              <w:tl2br w:val="nil"/>
              <w:tr2bl w:val="nil"/>
            </w:tcBorders>
            <w:vAlign w:val="center"/>
          </w:tcPr>
          <w:p>
            <w:pPr>
              <w:spacing w:line="240" w:lineRule="auto"/>
              <w:ind w:firstLine="0" w:firstLineChars="0"/>
              <w:rPr>
                <w:sz w:val="21"/>
                <w:szCs w:val="21"/>
              </w:rPr>
            </w:pPr>
            <w:r>
              <w:rPr>
                <w:sz w:val="21"/>
                <w:szCs w:val="21"/>
              </w:rPr>
              <w:t>真空包装机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3</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sz w:val="21"/>
                <w:szCs w:val="21"/>
              </w:rPr>
              <w:t>6.2</w:t>
            </w:r>
          </w:p>
        </w:tc>
        <w:tc>
          <w:tcPr>
            <w:tcW w:w="2522" w:type="pct"/>
            <w:tcBorders>
              <w:tl2br w:val="nil"/>
              <w:tr2bl w:val="nil"/>
            </w:tcBorders>
            <w:vAlign w:val="center"/>
          </w:tcPr>
          <w:p>
            <w:pPr>
              <w:spacing w:line="240" w:lineRule="auto"/>
              <w:ind w:firstLine="0" w:firstLineChars="0"/>
              <w:rPr>
                <w:sz w:val="21"/>
                <w:szCs w:val="21"/>
              </w:rPr>
            </w:pPr>
            <w:r>
              <w:rPr>
                <w:sz w:val="21"/>
                <w:szCs w:val="21"/>
              </w:rPr>
              <w:t>自动输送机（输送至冷库暂存）</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3</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bCs/>
                <w:sz w:val="21"/>
                <w:szCs w:val="21"/>
                <w:lang w:val="en-US" w:eastAsia="zh-CN"/>
              </w:rPr>
              <w:t>1.</w:t>
            </w:r>
            <w:r>
              <w:rPr>
                <w:b/>
                <w:bCs/>
                <w:sz w:val="21"/>
                <w:szCs w:val="21"/>
              </w:rPr>
              <w:t>7、红白内脏及头蹄预处理单元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rFonts w:hint="eastAsia"/>
                <w:sz w:val="21"/>
                <w:szCs w:val="21"/>
                <w:lang w:val="en-US" w:eastAsia="zh-CN"/>
              </w:rPr>
              <w:t>7</w:t>
            </w:r>
            <w:r>
              <w:rPr>
                <w:sz w:val="21"/>
                <w:szCs w:val="21"/>
              </w:rPr>
              <w:t>.1</w:t>
            </w:r>
          </w:p>
        </w:tc>
        <w:tc>
          <w:tcPr>
            <w:tcW w:w="2522" w:type="pct"/>
            <w:tcBorders>
              <w:tl2br w:val="nil"/>
              <w:tr2bl w:val="nil"/>
            </w:tcBorders>
            <w:vAlign w:val="center"/>
          </w:tcPr>
          <w:p>
            <w:pPr>
              <w:widowControl/>
              <w:spacing w:line="240" w:lineRule="auto"/>
              <w:ind w:firstLine="0" w:firstLineChars="0"/>
              <w:jc w:val="left"/>
              <w:rPr>
                <w:sz w:val="21"/>
                <w:szCs w:val="21"/>
              </w:rPr>
            </w:pPr>
            <w:r>
              <w:rPr>
                <w:sz w:val="21"/>
                <w:szCs w:val="21"/>
              </w:rPr>
              <w:t>红白内脏及头蹄接受台</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rFonts w:hint="eastAsia"/>
                <w:sz w:val="21"/>
                <w:szCs w:val="21"/>
                <w:lang w:val="en-US" w:eastAsia="zh-CN"/>
              </w:rPr>
              <w:t>7</w:t>
            </w:r>
            <w:r>
              <w:rPr>
                <w:sz w:val="21"/>
                <w:szCs w:val="21"/>
              </w:rPr>
              <w:t>.2</w:t>
            </w:r>
          </w:p>
        </w:tc>
        <w:tc>
          <w:tcPr>
            <w:tcW w:w="2522" w:type="pct"/>
            <w:tcBorders>
              <w:tl2br w:val="nil"/>
              <w:tr2bl w:val="nil"/>
            </w:tcBorders>
            <w:vAlign w:val="center"/>
          </w:tcPr>
          <w:p>
            <w:pPr>
              <w:widowControl/>
              <w:spacing w:line="240" w:lineRule="auto"/>
              <w:ind w:firstLine="0" w:firstLineChars="0"/>
              <w:jc w:val="left"/>
              <w:rPr>
                <w:color w:val="000000"/>
                <w:kern w:val="0"/>
                <w:sz w:val="21"/>
                <w:szCs w:val="21"/>
                <w:lang w:bidi="ar"/>
              </w:rPr>
            </w:pPr>
            <w:r>
              <w:rPr>
                <w:color w:val="000000"/>
                <w:kern w:val="0"/>
                <w:sz w:val="21"/>
                <w:szCs w:val="21"/>
                <w:lang w:bidi="ar"/>
              </w:rPr>
              <w:t>洗肚机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JR-D250</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rFonts w:hint="eastAsia"/>
                <w:sz w:val="21"/>
                <w:szCs w:val="21"/>
                <w:lang w:val="en-US" w:eastAsia="zh-CN"/>
              </w:rPr>
              <w:t>7</w:t>
            </w:r>
            <w:r>
              <w:rPr>
                <w:sz w:val="21"/>
                <w:szCs w:val="21"/>
              </w:rPr>
              <w:t>.3</w:t>
            </w:r>
          </w:p>
        </w:tc>
        <w:tc>
          <w:tcPr>
            <w:tcW w:w="2522" w:type="pct"/>
            <w:tcBorders>
              <w:tl2br w:val="nil"/>
              <w:tr2bl w:val="nil"/>
            </w:tcBorders>
            <w:vAlign w:val="center"/>
          </w:tcPr>
          <w:p>
            <w:pPr>
              <w:widowControl/>
              <w:spacing w:line="240" w:lineRule="auto"/>
              <w:ind w:firstLine="0" w:firstLineChars="0"/>
              <w:jc w:val="left"/>
              <w:rPr>
                <w:color w:val="000000"/>
                <w:kern w:val="0"/>
                <w:sz w:val="21"/>
                <w:szCs w:val="21"/>
                <w:lang w:bidi="ar"/>
              </w:rPr>
            </w:pPr>
            <w:r>
              <w:rPr>
                <w:color w:val="000000"/>
                <w:kern w:val="0"/>
                <w:sz w:val="21"/>
                <w:szCs w:val="21"/>
                <w:lang w:bidi="ar"/>
              </w:rPr>
              <w:t>洗肠机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PB15FL-SZ</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rFonts w:hint="eastAsia"/>
                <w:sz w:val="21"/>
                <w:szCs w:val="21"/>
                <w:lang w:val="en-US" w:eastAsia="zh-CN"/>
              </w:rPr>
              <w:t>7</w:t>
            </w:r>
            <w:r>
              <w:rPr>
                <w:sz w:val="21"/>
                <w:szCs w:val="21"/>
              </w:rPr>
              <w:t>.4</w:t>
            </w:r>
          </w:p>
        </w:tc>
        <w:tc>
          <w:tcPr>
            <w:tcW w:w="2522" w:type="pct"/>
            <w:tcBorders>
              <w:tl2br w:val="nil"/>
              <w:tr2bl w:val="nil"/>
            </w:tcBorders>
            <w:vAlign w:val="center"/>
          </w:tcPr>
          <w:p>
            <w:pPr>
              <w:spacing w:line="240" w:lineRule="auto"/>
              <w:ind w:firstLine="0" w:firstLineChars="0"/>
              <w:rPr>
                <w:sz w:val="21"/>
                <w:szCs w:val="21"/>
              </w:rPr>
            </w:pPr>
            <w:r>
              <w:rPr>
                <w:sz w:val="21"/>
                <w:szCs w:val="21"/>
              </w:rPr>
              <w:t>清洗池（红内脏清洗）</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2000mm*1000mm*800mm</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bCs/>
                <w:sz w:val="21"/>
                <w:szCs w:val="21"/>
                <w:lang w:val="en-US" w:eastAsia="zh-CN"/>
              </w:rPr>
              <w:t>1.</w:t>
            </w:r>
            <w:r>
              <w:rPr>
                <w:rFonts w:hint="eastAsia"/>
                <w:sz w:val="21"/>
                <w:szCs w:val="21"/>
                <w:lang w:val="en-US" w:eastAsia="zh-CN"/>
              </w:rPr>
              <w:t>7</w:t>
            </w:r>
            <w:r>
              <w:rPr>
                <w:sz w:val="21"/>
                <w:szCs w:val="21"/>
              </w:rPr>
              <w:t>.5</w:t>
            </w:r>
          </w:p>
        </w:tc>
        <w:tc>
          <w:tcPr>
            <w:tcW w:w="2522" w:type="pct"/>
            <w:tcBorders>
              <w:tl2br w:val="nil"/>
              <w:tr2bl w:val="nil"/>
            </w:tcBorders>
            <w:vAlign w:val="center"/>
          </w:tcPr>
          <w:p>
            <w:pPr>
              <w:spacing w:line="240" w:lineRule="auto"/>
              <w:ind w:firstLine="0" w:firstLineChars="0"/>
              <w:rPr>
                <w:sz w:val="21"/>
                <w:szCs w:val="21"/>
              </w:rPr>
            </w:pPr>
            <w:r>
              <w:rPr>
                <w:sz w:val="21"/>
                <w:szCs w:val="21"/>
              </w:rPr>
              <w:t>蒸汽脱毛机（电）</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300L</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1</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bCs/>
                <w:sz w:val="21"/>
                <w:szCs w:val="21"/>
              </w:rPr>
            </w:pPr>
            <w:r>
              <w:rPr>
                <w:b/>
                <w:bCs/>
                <w:sz w:val="21"/>
                <w:szCs w:val="21"/>
              </w:rPr>
              <w:t>二、牛羊预制品加工生产线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bCs/>
                <w:sz w:val="21"/>
                <w:szCs w:val="21"/>
                <w:lang w:val="en-US" w:eastAsia="zh-CN"/>
              </w:rPr>
              <w:t>2.</w:t>
            </w:r>
            <w:r>
              <w:rPr>
                <w:b/>
                <w:bCs/>
                <w:sz w:val="21"/>
                <w:szCs w:val="21"/>
              </w:rPr>
              <w:t>1、清洗工段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1.1</w:t>
            </w:r>
          </w:p>
        </w:tc>
        <w:tc>
          <w:tcPr>
            <w:tcW w:w="2522" w:type="pct"/>
            <w:tcBorders>
              <w:tl2br w:val="nil"/>
              <w:tr2bl w:val="nil"/>
            </w:tcBorders>
            <w:vAlign w:val="center"/>
          </w:tcPr>
          <w:p>
            <w:pPr>
              <w:spacing w:line="240" w:lineRule="auto"/>
              <w:ind w:firstLine="0" w:firstLineChars="0"/>
              <w:rPr>
                <w:sz w:val="21"/>
                <w:szCs w:val="21"/>
              </w:rPr>
            </w:pPr>
            <w:r>
              <w:rPr>
                <w:sz w:val="21"/>
                <w:szCs w:val="21"/>
              </w:rPr>
              <w:t>全自动清洗机</w:t>
            </w:r>
            <w:r>
              <w:rPr>
                <w:rFonts w:hint="eastAsia"/>
                <w:sz w:val="21"/>
                <w:szCs w:val="21"/>
              </w:rPr>
              <w:t>（牛羊肉清洗）</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2</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rFonts w:hint="eastAsia"/>
                <w:sz w:val="21"/>
                <w:szCs w:val="21"/>
              </w:rPr>
              <w:t>1.2</w:t>
            </w:r>
          </w:p>
        </w:tc>
        <w:tc>
          <w:tcPr>
            <w:tcW w:w="2522" w:type="pct"/>
            <w:tcBorders>
              <w:tl2br w:val="nil"/>
              <w:tr2bl w:val="nil"/>
            </w:tcBorders>
            <w:vAlign w:val="center"/>
          </w:tcPr>
          <w:p>
            <w:pPr>
              <w:spacing w:line="240" w:lineRule="auto"/>
              <w:ind w:firstLine="0" w:firstLineChars="0"/>
              <w:rPr>
                <w:sz w:val="21"/>
                <w:szCs w:val="21"/>
              </w:rPr>
            </w:pPr>
            <w:r>
              <w:rPr>
                <w:sz w:val="21"/>
                <w:szCs w:val="21"/>
              </w:rPr>
              <w:t>全自动清洗机</w:t>
            </w:r>
            <w:r>
              <w:rPr>
                <w:rFonts w:hint="eastAsia"/>
                <w:sz w:val="21"/>
                <w:szCs w:val="21"/>
              </w:rPr>
              <w:t>（蔬菜清洗）</w:t>
            </w:r>
          </w:p>
        </w:tc>
        <w:tc>
          <w:tcPr>
            <w:tcW w:w="1335"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2</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sz w:val="21"/>
                <w:szCs w:val="21"/>
                <w:lang w:val="en-US" w:eastAsia="zh-CN"/>
              </w:rPr>
              <w:t>2.</w:t>
            </w:r>
            <w:r>
              <w:rPr>
                <w:b/>
                <w:sz w:val="21"/>
                <w:szCs w:val="21"/>
              </w:rPr>
              <w:t>2、切割工段（牛羊肉及蔬菜）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2.1</w:t>
            </w:r>
          </w:p>
        </w:tc>
        <w:tc>
          <w:tcPr>
            <w:tcW w:w="2522" w:type="pct"/>
            <w:tcBorders>
              <w:tl2br w:val="nil"/>
              <w:tr2bl w:val="nil"/>
            </w:tcBorders>
            <w:vAlign w:val="center"/>
          </w:tcPr>
          <w:p>
            <w:pPr>
              <w:spacing w:line="240" w:lineRule="auto"/>
              <w:ind w:firstLine="0" w:firstLineChars="0"/>
              <w:rPr>
                <w:sz w:val="21"/>
                <w:szCs w:val="21"/>
              </w:rPr>
            </w:pPr>
            <w:r>
              <w:rPr>
                <w:sz w:val="21"/>
                <w:szCs w:val="21"/>
              </w:rPr>
              <w:t>操作台</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2500mm×1500mm×600mm</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2</w:t>
            </w:r>
            <w:r>
              <w:rPr>
                <w:bCs/>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2.2</w:t>
            </w:r>
          </w:p>
        </w:tc>
        <w:tc>
          <w:tcPr>
            <w:tcW w:w="2522" w:type="pct"/>
            <w:tcBorders>
              <w:tl2br w:val="nil"/>
              <w:tr2bl w:val="nil"/>
            </w:tcBorders>
            <w:vAlign w:val="center"/>
          </w:tcPr>
          <w:p>
            <w:pPr>
              <w:spacing w:line="240" w:lineRule="auto"/>
              <w:ind w:firstLine="0" w:firstLineChars="0"/>
              <w:rPr>
                <w:sz w:val="21"/>
                <w:szCs w:val="21"/>
              </w:rPr>
            </w:pPr>
            <w:r>
              <w:rPr>
                <w:sz w:val="21"/>
                <w:szCs w:val="21"/>
              </w:rPr>
              <w:t>切割刀具</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30</w:t>
            </w:r>
            <w:r>
              <w:rPr>
                <w:bCs/>
                <w:sz w:val="21"/>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2.3</w:t>
            </w:r>
          </w:p>
        </w:tc>
        <w:tc>
          <w:tcPr>
            <w:tcW w:w="2522" w:type="pct"/>
            <w:tcBorders>
              <w:tl2br w:val="nil"/>
              <w:tr2bl w:val="nil"/>
            </w:tcBorders>
            <w:vAlign w:val="center"/>
          </w:tcPr>
          <w:p>
            <w:pPr>
              <w:spacing w:line="240" w:lineRule="auto"/>
              <w:ind w:firstLine="0" w:firstLineChars="0"/>
              <w:rPr>
                <w:sz w:val="21"/>
                <w:szCs w:val="21"/>
              </w:rPr>
            </w:pPr>
            <w:r>
              <w:rPr>
                <w:sz w:val="21"/>
                <w:szCs w:val="21"/>
              </w:rPr>
              <w:t>切片切块机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QP5230</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2</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2.4</w:t>
            </w:r>
          </w:p>
        </w:tc>
        <w:tc>
          <w:tcPr>
            <w:tcW w:w="2522" w:type="pct"/>
            <w:tcBorders>
              <w:tl2br w:val="nil"/>
              <w:tr2bl w:val="nil"/>
            </w:tcBorders>
            <w:vAlign w:val="center"/>
          </w:tcPr>
          <w:p>
            <w:pPr>
              <w:spacing w:line="240" w:lineRule="auto"/>
              <w:ind w:firstLine="0" w:firstLineChars="0"/>
              <w:rPr>
                <w:sz w:val="21"/>
                <w:szCs w:val="21"/>
              </w:rPr>
            </w:pPr>
            <w:r>
              <w:rPr>
                <w:sz w:val="21"/>
                <w:szCs w:val="21"/>
              </w:rPr>
              <w:t>砍排机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KP6590</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2</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2.5</w:t>
            </w:r>
          </w:p>
        </w:tc>
        <w:tc>
          <w:tcPr>
            <w:tcW w:w="2522" w:type="pct"/>
            <w:tcBorders>
              <w:tl2br w:val="nil"/>
              <w:tr2bl w:val="nil"/>
            </w:tcBorders>
            <w:vAlign w:val="center"/>
          </w:tcPr>
          <w:p>
            <w:pPr>
              <w:spacing w:line="240" w:lineRule="auto"/>
              <w:ind w:firstLine="0" w:firstLineChars="0"/>
              <w:rPr>
                <w:sz w:val="21"/>
                <w:szCs w:val="21"/>
              </w:rPr>
            </w:pPr>
            <w:r>
              <w:rPr>
                <w:sz w:val="21"/>
                <w:szCs w:val="21"/>
              </w:rPr>
              <w:t>切丁机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QD100</w:t>
            </w:r>
          </w:p>
        </w:tc>
        <w:tc>
          <w:tcPr>
            <w:tcW w:w="612"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lang w:val="en-US" w:eastAsia="zh-CN"/>
              </w:rPr>
              <w:t>2</w:t>
            </w:r>
            <w:r>
              <w:rPr>
                <w:bCs/>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sz w:val="21"/>
                <w:szCs w:val="21"/>
                <w:lang w:val="en-US" w:eastAsia="zh-CN"/>
              </w:rPr>
              <w:t>2.</w:t>
            </w:r>
            <w:r>
              <w:rPr>
                <w:b/>
                <w:sz w:val="21"/>
                <w:szCs w:val="21"/>
              </w:rPr>
              <w:t>3、炒制、蒸煮、卤制工段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3.1</w:t>
            </w:r>
          </w:p>
        </w:tc>
        <w:tc>
          <w:tcPr>
            <w:tcW w:w="2522" w:type="pct"/>
            <w:tcBorders>
              <w:tl2br w:val="nil"/>
              <w:tr2bl w:val="nil"/>
            </w:tcBorders>
            <w:vAlign w:val="center"/>
          </w:tcPr>
          <w:p>
            <w:pPr>
              <w:spacing w:line="240" w:lineRule="auto"/>
              <w:ind w:firstLine="0" w:firstLineChars="0"/>
              <w:rPr>
                <w:sz w:val="21"/>
                <w:szCs w:val="21"/>
              </w:rPr>
            </w:pPr>
            <w:r>
              <w:rPr>
                <w:sz w:val="21"/>
                <w:szCs w:val="21"/>
              </w:rPr>
              <w:t>盐水制备器</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YZ</w:t>
            </w:r>
          </w:p>
        </w:tc>
        <w:tc>
          <w:tcPr>
            <w:tcW w:w="612" w:type="pct"/>
            <w:tcBorders>
              <w:tl2br w:val="nil"/>
              <w:tr2bl w:val="nil"/>
            </w:tcBorders>
            <w:vAlign w:val="center"/>
          </w:tcPr>
          <w:p>
            <w:pPr>
              <w:spacing w:line="240" w:lineRule="auto"/>
              <w:ind w:firstLine="0" w:firstLineChars="0"/>
              <w:jc w:val="center"/>
              <w:rPr>
                <w:bCs/>
                <w:sz w:val="21"/>
                <w:szCs w:val="21"/>
              </w:rPr>
            </w:pPr>
            <w:r>
              <w:rPr>
                <w:bCs/>
                <w:sz w:val="21"/>
                <w:szCs w:val="21"/>
              </w:rPr>
              <w:t>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3.2</w:t>
            </w:r>
          </w:p>
        </w:tc>
        <w:tc>
          <w:tcPr>
            <w:tcW w:w="2522" w:type="pct"/>
            <w:tcBorders>
              <w:tl2br w:val="nil"/>
              <w:tr2bl w:val="nil"/>
            </w:tcBorders>
            <w:vAlign w:val="center"/>
          </w:tcPr>
          <w:p>
            <w:pPr>
              <w:spacing w:line="240" w:lineRule="auto"/>
              <w:ind w:firstLine="0" w:firstLineChars="0"/>
              <w:rPr>
                <w:sz w:val="21"/>
                <w:szCs w:val="21"/>
              </w:rPr>
            </w:pPr>
            <w:r>
              <w:rPr>
                <w:sz w:val="21"/>
                <w:szCs w:val="21"/>
              </w:rPr>
              <w:t>盐水注射机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ZS88</w:t>
            </w:r>
          </w:p>
        </w:tc>
        <w:tc>
          <w:tcPr>
            <w:tcW w:w="612" w:type="pct"/>
            <w:tcBorders>
              <w:tl2br w:val="nil"/>
              <w:tr2bl w:val="nil"/>
            </w:tcBorders>
            <w:vAlign w:val="center"/>
          </w:tcPr>
          <w:p>
            <w:pPr>
              <w:spacing w:line="240" w:lineRule="auto"/>
              <w:ind w:firstLine="0" w:firstLineChars="0"/>
              <w:jc w:val="center"/>
              <w:rPr>
                <w:bCs/>
                <w:sz w:val="21"/>
                <w:szCs w:val="21"/>
              </w:rPr>
            </w:pPr>
            <w:r>
              <w:rPr>
                <w:bCs/>
                <w:sz w:val="21"/>
                <w:szCs w:val="21"/>
              </w:rPr>
              <w:t>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3.3</w:t>
            </w:r>
          </w:p>
        </w:tc>
        <w:tc>
          <w:tcPr>
            <w:tcW w:w="2522" w:type="pct"/>
            <w:tcBorders>
              <w:tl2br w:val="nil"/>
              <w:tr2bl w:val="nil"/>
            </w:tcBorders>
            <w:vAlign w:val="center"/>
          </w:tcPr>
          <w:p>
            <w:pPr>
              <w:spacing w:line="240" w:lineRule="auto"/>
              <w:ind w:firstLine="0" w:firstLineChars="0"/>
              <w:rPr>
                <w:sz w:val="21"/>
                <w:szCs w:val="21"/>
              </w:rPr>
            </w:pPr>
            <w:r>
              <w:rPr>
                <w:sz w:val="21"/>
                <w:szCs w:val="21"/>
              </w:rPr>
              <w:t>注油机</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ZSL88</w:t>
            </w:r>
          </w:p>
        </w:tc>
        <w:tc>
          <w:tcPr>
            <w:tcW w:w="612" w:type="pct"/>
            <w:tcBorders>
              <w:tl2br w:val="nil"/>
              <w:tr2bl w:val="nil"/>
            </w:tcBorders>
            <w:vAlign w:val="center"/>
          </w:tcPr>
          <w:p>
            <w:pPr>
              <w:spacing w:line="240" w:lineRule="auto"/>
              <w:ind w:firstLine="0" w:firstLineChars="0"/>
              <w:jc w:val="center"/>
              <w:rPr>
                <w:bCs/>
                <w:sz w:val="21"/>
                <w:szCs w:val="21"/>
              </w:rPr>
            </w:pPr>
            <w:r>
              <w:rPr>
                <w:bCs/>
                <w:sz w:val="21"/>
                <w:szCs w:val="21"/>
              </w:rPr>
              <w:t>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3.4</w:t>
            </w:r>
          </w:p>
        </w:tc>
        <w:tc>
          <w:tcPr>
            <w:tcW w:w="2522" w:type="pct"/>
            <w:tcBorders>
              <w:tl2br w:val="nil"/>
              <w:tr2bl w:val="nil"/>
            </w:tcBorders>
            <w:vAlign w:val="center"/>
          </w:tcPr>
          <w:p>
            <w:pPr>
              <w:spacing w:line="240" w:lineRule="auto"/>
              <w:ind w:firstLine="0" w:firstLineChars="0"/>
              <w:rPr>
                <w:sz w:val="21"/>
                <w:szCs w:val="21"/>
              </w:rPr>
            </w:pPr>
            <w:r>
              <w:rPr>
                <w:sz w:val="21"/>
                <w:szCs w:val="21"/>
              </w:rPr>
              <w:t>全自动搅拌式电炒锅</w:t>
            </w:r>
          </w:p>
        </w:tc>
        <w:tc>
          <w:tcPr>
            <w:tcW w:w="1335"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612" w:type="pct"/>
            <w:tcBorders>
              <w:tl2br w:val="nil"/>
              <w:tr2bl w:val="nil"/>
            </w:tcBorders>
            <w:vAlign w:val="center"/>
          </w:tcPr>
          <w:p>
            <w:pPr>
              <w:spacing w:line="240" w:lineRule="auto"/>
              <w:ind w:firstLine="0" w:firstLineChars="0"/>
              <w:jc w:val="center"/>
              <w:rPr>
                <w:bCs/>
                <w:sz w:val="21"/>
                <w:szCs w:val="21"/>
              </w:rPr>
            </w:pPr>
            <w:r>
              <w:rPr>
                <w:bCs/>
                <w:sz w:val="21"/>
                <w:szCs w:val="21"/>
              </w:rPr>
              <w:t>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2.</w:t>
            </w:r>
            <w:r>
              <w:rPr>
                <w:sz w:val="21"/>
                <w:szCs w:val="21"/>
              </w:rPr>
              <w:t>3.5</w:t>
            </w:r>
          </w:p>
        </w:tc>
        <w:tc>
          <w:tcPr>
            <w:tcW w:w="2522" w:type="pct"/>
            <w:tcBorders>
              <w:tl2br w:val="nil"/>
              <w:tr2bl w:val="nil"/>
            </w:tcBorders>
            <w:vAlign w:val="center"/>
          </w:tcPr>
          <w:p>
            <w:pPr>
              <w:spacing w:line="240" w:lineRule="auto"/>
              <w:ind w:firstLine="0" w:firstLineChars="0"/>
              <w:rPr>
                <w:sz w:val="21"/>
                <w:szCs w:val="21"/>
              </w:rPr>
            </w:pPr>
            <w:r>
              <w:rPr>
                <w:sz w:val="21"/>
                <w:szCs w:val="21"/>
              </w:rPr>
              <w:t>全自动蒸煮锅（电）</w:t>
            </w:r>
          </w:p>
        </w:tc>
        <w:tc>
          <w:tcPr>
            <w:tcW w:w="1335" w:type="pct"/>
            <w:tcBorders>
              <w:tl2br w:val="nil"/>
              <w:tr2bl w:val="nil"/>
            </w:tcBorders>
            <w:vAlign w:val="center"/>
          </w:tcPr>
          <w:p>
            <w:pPr>
              <w:spacing w:line="240" w:lineRule="auto"/>
              <w:ind w:firstLine="0" w:firstLineChars="0"/>
              <w:jc w:val="center"/>
              <w:rPr>
                <w:sz w:val="21"/>
                <w:szCs w:val="21"/>
              </w:rPr>
            </w:pPr>
            <w:r>
              <w:rPr>
                <w:rFonts w:hint="eastAsia"/>
                <w:sz w:val="21"/>
                <w:szCs w:val="21"/>
              </w:rPr>
              <w:t>360L</w:t>
            </w:r>
          </w:p>
        </w:tc>
        <w:tc>
          <w:tcPr>
            <w:tcW w:w="612" w:type="pct"/>
            <w:tcBorders>
              <w:tl2br w:val="nil"/>
              <w:tr2bl w:val="nil"/>
            </w:tcBorders>
            <w:vAlign w:val="center"/>
          </w:tcPr>
          <w:p>
            <w:pPr>
              <w:spacing w:line="240" w:lineRule="auto"/>
              <w:ind w:firstLine="0" w:firstLineChars="0"/>
              <w:jc w:val="center"/>
              <w:rPr>
                <w:bCs/>
                <w:sz w:val="21"/>
                <w:szCs w:val="21"/>
              </w:rPr>
            </w:pPr>
            <w:r>
              <w:rPr>
                <w:bCs/>
                <w:sz w:val="21"/>
                <w:szCs w:val="21"/>
              </w:rPr>
              <w:t>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
                <w:bCs/>
                <w:sz w:val="21"/>
                <w:szCs w:val="21"/>
                <w:lang w:val="en-US" w:eastAsia="zh-CN"/>
              </w:rPr>
              <w:t>2.</w:t>
            </w:r>
            <w:r>
              <w:rPr>
                <w:b/>
                <w:bCs/>
                <w:sz w:val="21"/>
                <w:szCs w:val="21"/>
              </w:rPr>
              <w:t>4、冷却工段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2.4.1</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冷风机</w:t>
            </w:r>
          </w:p>
        </w:tc>
        <w:tc>
          <w:tcPr>
            <w:tcW w:w="133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GFJ-200</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w:t>
            </w:r>
            <w:r>
              <w:rPr>
                <w:rFonts w:ascii="Times New Roman" w:hAnsi="Times New Roman" w:eastAsia="宋体" w:cs="Times New Roman"/>
                <w:sz w:val="21"/>
                <w:szCs w:val="21"/>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left"/>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2.5、包装工段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2.5.1</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真空包装机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600</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2.5.2</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全自动封口机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SJlll-S100</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三、羊杂预制品加工生产线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3.1.1</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全自动清洗机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3.1.2</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操作台</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2500mm×1500mm×600mm</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3.1.3</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切割刀具</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3.1.4</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全自动蒸煮锅（电）</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0"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3.1.5</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真空包装机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600</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四、制冷系统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4.1.1</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螺杆压缩机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JZ2LG20</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4.1.2</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螺杆压缩机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JZ2LG16</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4.1.3</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螺杆压缩机</w:t>
            </w:r>
          </w:p>
        </w:tc>
        <w:tc>
          <w:tcPr>
            <w:tcW w:w="133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JZ2LG14</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4.1.4</w:t>
            </w:r>
          </w:p>
        </w:tc>
        <w:tc>
          <w:tcPr>
            <w:tcW w:w="2522" w:type="pct"/>
            <w:tcBorders>
              <w:tl2br w:val="nil"/>
              <w:tr2bl w:val="nil"/>
            </w:tcBorders>
            <w:vAlign w:val="center"/>
          </w:tcPr>
          <w:p>
            <w:pPr>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中间冷却器</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ZL-10</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4.1.5</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冷凝剂循环泵组</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AX2B-5.0</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4.1.6</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蒸发式冷凝器</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CSV-481</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4.1.7</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风冷水塔</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w:t>
            </w:r>
          </w:p>
        </w:tc>
        <w:tc>
          <w:tcPr>
            <w:tcW w:w="612"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4.1.8</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冷风机</w:t>
            </w:r>
          </w:p>
        </w:tc>
        <w:tc>
          <w:tcPr>
            <w:tcW w:w="133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GFJ-200</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bookmarkStart w:id="483" w:name="_Toc2747"/>
            <w:r>
              <w:rPr>
                <w:rFonts w:hint="eastAsia" w:ascii="Times New Roman" w:hAnsi="Times New Roman" w:eastAsia="宋体" w:cs="Times New Roman"/>
                <w:sz w:val="21"/>
                <w:szCs w:val="21"/>
                <w:lang w:val="en-US" w:eastAsia="zh-CN"/>
              </w:rPr>
              <w:t>4.1.9</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冷风机</w:t>
            </w:r>
          </w:p>
        </w:tc>
        <w:tc>
          <w:tcPr>
            <w:tcW w:w="133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GFJ-450</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4.1.10</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冷风机</w:t>
            </w:r>
          </w:p>
        </w:tc>
        <w:tc>
          <w:tcPr>
            <w:tcW w:w="133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GFJ-205</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4.1.11</w:t>
            </w:r>
          </w:p>
        </w:tc>
        <w:tc>
          <w:tcPr>
            <w:tcW w:w="2522" w:type="pct"/>
            <w:tcBorders>
              <w:tl2br w:val="nil"/>
              <w:tr2bl w:val="nil"/>
            </w:tcBorders>
            <w:vAlign w:val="center"/>
          </w:tcPr>
          <w:p>
            <w:pPr>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冷风机</w:t>
            </w:r>
          </w:p>
        </w:tc>
        <w:tc>
          <w:tcPr>
            <w:tcW w:w="133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GFJ-125</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6" w:type="dxa"/>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4.1.12</w:t>
            </w:r>
          </w:p>
        </w:tc>
        <w:tc>
          <w:tcPr>
            <w:tcW w:w="2522" w:type="pct"/>
            <w:tcBorders>
              <w:tl2br w:val="nil"/>
              <w:tr2bl w:val="nil"/>
            </w:tcBorders>
            <w:vAlign w:val="center"/>
          </w:tcPr>
          <w:p>
            <w:pPr>
              <w:spacing w:line="240" w:lineRule="auto"/>
              <w:ind w:firstLine="0" w:firstLineChars="0"/>
              <w:jc w:val="both"/>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冷风机</w:t>
            </w:r>
          </w:p>
        </w:tc>
        <w:tc>
          <w:tcPr>
            <w:tcW w:w="133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GFJ-100</w:t>
            </w:r>
          </w:p>
        </w:tc>
        <w:tc>
          <w:tcPr>
            <w:tcW w:w="61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12台</w:t>
            </w:r>
          </w:p>
        </w:tc>
      </w:tr>
    </w:tbl>
    <w:p>
      <w:pPr>
        <w:pStyle w:val="6"/>
        <w:ind w:firstLine="482"/>
      </w:pPr>
      <w:r>
        <w:rPr>
          <w:rFonts w:hint="eastAsia"/>
          <w:lang w:val="en-US" w:eastAsia="zh-CN"/>
        </w:rPr>
        <w:t>3</w:t>
      </w:r>
      <w:r>
        <w:t>.</w:t>
      </w:r>
      <w:r>
        <w:rPr>
          <w:rFonts w:hint="eastAsia"/>
        </w:rPr>
        <w:t>2.4、</w:t>
      </w:r>
      <w:r>
        <w:rPr>
          <w:rFonts w:hint="eastAsia"/>
          <w:lang w:val="en-US" w:eastAsia="zh-CN"/>
        </w:rPr>
        <w:t>拟建</w:t>
      </w:r>
      <w:r>
        <w:t>项目产品方案及产品质量标准</w:t>
      </w:r>
      <w:bookmarkEnd w:id="483"/>
    </w:p>
    <w:p>
      <w:pPr>
        <w:widowControl/>
        <w:ind w:firstLine="482"/>
        <w:jc w:val="left"/>
      </w:pPr>
      <w:r>
        <w:rPr>
          <w:rFonts w:hint="eastAsia"/>
          <w:b/>
          <w:bCs/>
        </w:rPr>
        <w:t>（1）</w:t>
      </w:r>
      <w:r>
        <w:rPr>
          <w:rFonts w:hint="eastAsia" w:ascii="宋体" w:hAnsi="宋体" w:cs="宋体"/>
          <w:b/>
          <w:bCs/>
          <w:color w:val="000000"/>
          <w:kern w:val="0"/>
          <w:lang w:bidi="ar"/>
        </w:rPr>
        <w:t>生产管理卫生标准</w:t>
      </w:r>
    </w:p>
    <w:p>
      <w:pPr>
        <w:widowControl/>
        <w:ind w:firstLine="480"/>
        <w:jc w:val="left"/>
      </w:pPr>
      <w:r>
        <w:rPr>
          <w:rFonts w:hint="eastAsia" w:ascii="宋体" w:hAnsi="宋体" w:cs="宋体"/>
          <w:color w:val="000000"/>
          <w:kern w:val="0"/>
          <w:lang w:bidi="ar"/>
        </w:rPr>
        <w:t>执行国家标准《畜类屠宰加工通用技术条件》（</w:t>
      </w:r>
      <w:r>
        <w:rPr>
          <w:color w:val="000000"/>
          <w:kern w:val="0"/>
          <w:lang w:bidi="ar"/>
        </w:rPr>
        <w:t>GB/T17237-200</w:t>
      </w:r>
      <w:r>
        <w:rPr>
          <w:rFonts w:hint="eastAsia"/>
          <w:color w:val="000000"/>
          <w:kern w:val="0"/>
          <w:lang w:val="en-US" w:eastAsia="zh-CN" w:bidi="ar"/>
        </w:rPr>
        <w:t>8</w:t>
      </w:r>
      <w:r>
        <w:rPr>
          <w:rFonts w:hint="eastAsia" w:ascii="宋体" w:hAnsi="宋体" w:cs="宋体"/>
          <w:color w:val="000000"/>
          <w:kern w:val="0"/>
          <w:lang w:bidi="ar"/>
        </w:rPr>
        <w:t>）、《屠宰和肉类加工企业卫生注册管理规范》（</w:t>
      </w:r>
      <w:r>
        <w:rPr>
          <w:color w:val="000000"/>
          <w:kern w:val="0"/>
          <w:lang w:bidi="ar"/>
        </w:rPr>
        <w:t>GB/T20094-2006</w:t>
      </w:r>
      <w:r>
        <w:rPr>
          <w:rFonts w:hint="eastAsia" w:ascii="宋体" w:hAnsi="宋体" w:cs="宋体"/>
          <w:color w:val="000000"/>
          <w:kern w:val="0"/>
          <w:lang w:bidi="ar"/>
        </w:rPr>
        <w:t>）以及《肉与肉制品卫生管理办法》。</w:t>
      </w:r>
    </w:p>
    <w:p>
      <w:pPr>
        <w:ind w:firstLine="482"/>
      </w:pPr>
      <w:r>
        <w:rPr>
          <w:rFonts w:hint="eastAsia"/>
          <w:b/>
          <w:bCs/>
        </w:rPr>
        <w:t>（2）产品质量标准</w:t>
      </w:r>
    </w:p>
    <w:p>
      <w:pPr>
        <w:ind w:firstLine="480"/>
      </w:pPr>
      <w:r>
        <w:rPr>
          <w:rFonts w:hint="eastAsia"/>
        </w:rPr>
        <w:t>本项目建成后预计年屠宰肉羊60万只（60kg/只），年产冷冻鲜羊肉11100t，年生产牛羊肉预制品菜10000t（其中牛肉预制品菜7000t、羊肉预制品菜3000t）。</w:t>
      </w:r>
    </w:p>
    <w:p>
      <w:pPr>
        <w:ind w:firstLine="480"/>
      </w:pPr>
      <w:r>
        <w:rPr>
          <w:rFonts w:hint="eastAsia"/>
        </w:rPr>
        <w:t>牛羊肉预制品是指针对不同的食材，运用不同的制作方法，用现代标准化中央厨房集中生产，采用真空或气调锁鲜包装技术进行包装，并采用急速冷冻技术（零下18度）进行保存。预制菜省去了食材采购的烦恼，简化了制作步骤，食用时通过简单的加热或蒸炒等烹饪方式，就能直接作为餐桌上的便捷特色菜品。项目具体的产品方案见表</w:t>
      </w:r>
      <w:r>
        <w:rPr>
          <w:rFonts w:hint="eastAsia"/>
          <w:lang w:val="en-US" w:eastAsia="zh-CN"/>
        </w:rPr>
        <w:t>3</w:t>
      </w:r>
      <w:r>
        <w:rPr>
          <w:rFonts w:hint="eastAsia"/>
        </w:rPr>
        <w:t>.4。</w:t>
      </w:r>
    </w:p>
    <w:p>
      <w:pPr>
        <w:spacing w:line="240" w:lineRule="auto"/>
        <w:ind w:firstLine="482"/>
        <w:jc w:val="center"/>
      </w:pPr>
      <w:r>
        <w:rPr>
          <w:rFonts w:hint="eastAsia"/>
          <w:b/>
          <w:bCs/>
        </w:rPr>
        <w:t>表</w:t>
      </w:r>
      <w:r>
        <w:rPr>
          <w:rFonts w:hint="eastAsia"/>
          <w:b/>
          <w:bCs/>
          <w:lang w:val="en-US" w:eastAsia="zh-CN"/>
        </w:rPr>
        <w:t>3</w:t>
      </w:r>
      <w:r>
        <w:rPr>
          <w:rFonts w:hint="eastAsia"/>
          <w:b/>
          <w:bCs/>
        </w:rPr>
        <w:t>.4    产品方案及质量标准</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861"/>
        <w:gridCol w:w="2175"/>
        <w:gridCol w:w="1463"/>
        <w:gridCol w:w="937"/>
        <w:gridCol w:w="37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tcBorders>
              <w:tl2br w:val="nil"/>
              <w:tr2bl w:val="nil"/>
            </w:tcBorders>
            <w:vAlign w:val="center"/>
          </w:tcPr>
          <w:p>
            <w:pPr>
              <w:spacing w:line="240" w:lineRule="auto"/>
              <w:ind w:firstLine="0" w:firstLineChars="0"/>
              <w:rPr>
                <w:b/>
                <w:bCs/>
                <w:sz w:val="21"/>
                <w:szCs w:val="21"/>
              </w:rPr>
            </w:pPr>
            <w:r>
              <w:rPr>
                <w:rFonts w:hint="eastAsia"/>
                <w:b/>
                <w:bCs/>
                <w:sz w:val="21"/>
                <w:szCs w:val="21"/>
              </w:rPr>
              <w:t>序号</w:t>
            </w:r>
          </w:p>
        </w:tc>
        <w:tc>
          <w:tcPr>
            <w:tcW w:w="1523"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产品</w:t>
            </w:r>
          </w:p>
        </w:tc>
        <w:tc>
          <w:tcPr>
            <w:tcW w:w="73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产量</w:t>
            </w:r>
          </w:p>
        </w:tc>
        <w:tc>
          <w:tcPr>
            <w:tcW w:w="470"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单位</w:t>
            </w:r>
          </w:p>
        </w:tc>
        <w:tc>
          <w:tcPr>
            <w:tcW w:w="1872"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执行的产品质量标准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tcBorders>
              <w:tl2br w:val="nil"/>
              <w:tr2bl w:val="nil"/>
            </w:tcBorders>
            <w:vAlign w:val="center"/>
          </w:tcPr>
          <w:p>
            <w:pPr>
              <w:spacing w:line="240" w:lineRule="auto"/>
              <w:ind w:firstLine="0" w:firstLineChars="0"/>
              <w:jc w:val="center"/>
              <w:rPr>
                <w:sz w:val="21"/>
                <w:szCs w:val="21"/>
              </w:rPr>
            </w:pPr>
            <w:r>
              <w:rPr>
                <w:rFonts w:hint="eastAsia"/>
                <w:sz w:val="21"/>
                <w:szCs w:val="21"/>
              </w:rPr>
              <w:t>1</w:t>
            </w:r>
          </w:p>
        </w:tc>
        <w:tc>
          <w:tcPr>
            <w:tcW w:w="1523"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冷冻鲜羊肉</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14900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《鲜、冻胴体羊肉</w:t>
            </w:r>
            <w:r>
              <w:rPr>
                <w:rFonts w:hint="eastAsia"/>
                <w:sz w:val="21"/>
                <w:szCs w:val="21"/>
                <w:lang w:val="en-US" w:eastAsia="zh-CN"/>
              </w:rPr>
              <w:t>》</w:t>
            </w:r>
            <w:r>
              <w:rPr>
                <w:rFonts w:hint="eastAsia"/>
                <w:sz w:val="21"/>
                <w:szCs w:val="21"/>
              </w:rPr>
              <w:t>（GB/T9961-2008）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2</w:t>
            </w:r>
          </w:p>
        </w:tc>
        <w:tc>
          <w:tcPr>
            <w:tcW w:w="432" w:type="pct"/>
            <w:vMerge w:val="restart"/>
            <w:tcBorders>
              <w:tl2br w:val="nil"/>
              <w:tr2bl w:val="nil"/>
            </w:tcBorders>
            <w:vAlign w:val="center"/>
          </w:tcPr>
          <w:p>
            <w:pPr>
              <w:spacing w:line="240" w:lineRule="auto"/>
              <w:ind w:firstLine="0" w:firstLineChars="0"/>
              <w:jc w:val="center"/>
            </w:pPr>
            <w:r>
              <w:rPr>
                <w:rFonts w:hint="eastAsia"/>
                <w:sz w:val="21"/>
                <w:szCs w:val="21"/>
              </w:rPr>
              <w:t>牛肉预制品</w:t>
            </w: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酱卤类预制品</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2800</w:t>
            </w:r>
          </w:p>
        </w:tc>
        <w:tc>
          <w:tcPr>
            <w:tcW w:w="470"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continue"/>
            <w:tcBorders>
              <w:tl2br w:val="nil"/>
              <w:tr2bl w:val="nil"/>
            </w:tcBorders>
            <w:vAlign w:val="center"/>
          </w:tcPr>
          <w:p>
            <w:pPr>
              <w:spacing w:line="240" w:lineRule="auto"/>
              <w:ind w:firstLine="0" w:firstLineChars="0"/>
              <w:jc w:val="center"/>
            </w:pPr>
          </w:p>
        </w:tc>
        <w:tc>
          <w:tcPr>
            <w:tcW w:w="432" w:type="pct"/>
            <w:vMerge w:val="continue"/>
            <w:tcBorders>
              <w:tl2br w:val="nil"/>
              <w:tr2bl w:val="nil"/>
            </w:tcBorders>
            <w:vAlign w:val="center"/>
          </w:tcPr>
          <w:p>
            <w:pPr>
              <w:spacing w:line="240" w:lineRule="auto"/>
              <w:ind w:firstLine="0" w:firstLineChars="0"/>
              <w:jc w:val="cente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蒸煮类预制品</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2100</w:t>
            </w:r>
          </w:p>
        </w:tc>
        <w:tc>
          <w:tcPr>
            <w:tcW w:w="470" w:type="pct"/>
            <w:vMerge w:val="continue"/>
            <w:tcBorders>
              <w:tl2br w:val="nil"/>
              <w:tr2bl w:val="nil"/>
            </w:tcBorders>
            <w:vAlign w:val="center"/>
          </w:tcPr>
          <w:p>
            <w:pPr>
              <w:spacing w:line="240" w:lineRule="auto"/>
              <w:ind w:firstLine="0" w:firstLineChars="0"/>
              <w:jc w:val="center"/>
              <w:rPr>
                <w:sz w:val="21"/>
                <w:szCs w:val="21"/>
              </w:rPr>
            </w:pPr>
          </w:p>
        </w:tc>
        <w:tc>
          <w:tcPr>
            <w:tcW w:w="1872"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炒制类预制品</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2100</w:t>
            </w:r>
          </w:p>
        </w:tc>
        <w:tc>
          <w:tcPr>
            <w:tcW w:w="470" w:type="pct"/>
            <w:vMerge w:val="continue"/>
            <w:tcBorders>
              <w:tl2br w:val="nil"/>
              <w:tr2bl w:val="nil"/>
            </w:tcBorders>
            <w:vAlign w:val="center"/>
          </w:tcPr>
          <w:p>
            <w:pPr>
              <w:spacing w:line="240" w:lineRule="auto"/>
              <w:ind w:firstLine="0" w:firstLineChars="0"/>
              <w:jc w:val="center"/>
              <w:rPr>
                <w:sz w:val="21"/>
                <w:szCs w:val="21"/>
              </w:rPr>
            </w:pPr>
          </w:p>
        </w:tc>
        <w:tc>
          <w:tcPr>
            <w:tcW w:w="1872"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牛肉预制品小计</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7000</w:t>
            </w:r>
          </w:p>
        </w:tc>
        <w:tc>
          <w:tcPr>
            <w:tcW w:w="470" w:type="pct"/>
            <w:vMerge w:val="continue"/>
            <w:tcBorders>
              <w:tl2br w:val="nil"/>
              <w:tr2bl w:val="nil"/>
            </w:tcBorders>
            <w:vAlign w:val="center"/>
          </w:tcPr>
          <w:p>
            <w:pPr>
              <w:spacing w:line="240" w:lineRule="auto"/>
              <w:ind w:firstLine="0" w:firstLineChars="0"/>
              <w:jc w:val="center"/>
              <w:rPr>
                <w:sz w:val="21"/>
                <w:szCs w:val="21"/>
              </w:rPr>
            </w:pPr>
          </w:p>
        </w:tc>
        <w:tc>
          <w:tcPr>
            <w:tcW w:w="1872"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restart"/>
            <w:tcBorders>
              <w:tl2br w:val="nil"/>
              <w:tr2bl w:val="nil"/>
            </w:tcBorders>
            <w:vAlign w:val="center"/>
          </w:tcPr>
          <w:p>
            <w:pPr>
              <w:spacing w:line="240" w:lineRule="auto"/>
              <w:ind w:firstLine="0" w:firstLineChars="0"/>
              <w:jc w:val="center"/>
            </w:pPr>
            <w:r>
              <w:rPr>
                <w:rFonts w:hint="eastAsia"/>
              </w:rPr>
              <w:t>3</w:t>
            </w:r>
          </w:p>
        </w:tc>
        <w:tc>
          <w:tcPr>
            <w:tcW w:w="432" w:type="pct"/>
            <w:vMerge w:val="restart"/>
            <w:tcBorders>
              <w:tl2br w:val="nil"/>
              <w:tr2bl w:val="nil"/>
            </w:tcBorders>
            <w:vAlign w:val="center"/>
          </w:tcPr>
          <w:p>
            <w:pPr>
              <w:spacing w:line="240" w:lineRule="auto"/>
              <w:ind w:firstLine="0" w:firstLineChars="0"/>
              <w:jc w:val="center"/>
            </w:pPr>
            <w:r>
              <w:rPr>
                <w:rFonts w:hint="eastAsia"/>
                <w:sz w:val="21"/>
                <w:szCs w:val="21"/>
              </w:rPr>
              <w:t>羊肉预制品</w:t>
            </w: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蒸煮类预制品</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w:t>
            </w:r>
          </w:p>
        </w:tc>
        <w:tc>
          <w:tcPr>
            <w:tcW w:w="470" w:type="pct"/>
            <w:vMerge w:val="continue"/>
            <w:tcBorders>
              <w:tl2br w:val="nil"/>
              <w:tr2bl w:val="nil"/>
            </w:tcBorders>
            <w:vAlign w:val="center"/>
          </w:tcPr>
          <w:p>
            <w:pPr>
              <w:spacing w:line="240" w:lineRule="auto"/>
              <w:ind w:firstLine="0" w:firstLineChars="0"/>
              <w:jc w:val="center"/>
              <w:rPr>
                <w:sz w:val="21"/>
                <w:szCs w:val="21"/>
              </w:rPr>
            </w:pPr>
          </w:p>
        </w:tc>
        <w:tc>
          <w:tcPr>
            <w:tcW w:w="1872"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continue"/>
            <w:tcBorders>
              <w:tl2br w:val="nil"/>
              <w:tr2bl w:val="nil"/>
            </w:tcBorders>
            <w:vAlign w:val="center"/>
          </w:tcPr>
          <w:p>
            <w:pPr>
              <w:spacing w:line="240" w:lineRule="auto"/>
              <w:ind w:firstLine="0" w:firstLineChars="0"/>
              <w:jc w:val="center"/>
            </w:pPr>
          </w:p>
        </w:tc>
        <w:tc>
          <w:tcPr>
            <w:tcW w:w="432" w:type="pct"/>
            <w:vMerge w:val="continue"/>
            <w:tcBorders>
              <w:tl2br w:val="nil"/>
              <w:tr2bl w:val="nil"/>
            </w:tcBorders>
            <w:vAlign w:val="center"/>
          </w:tcPr>
          <w:p>
            <w:pPr>
              <w:spacing w:line="240" w:lineRule="auto"/>
              <w:ind w:firstLine="0" w:firstLineChars="0"/>
              <w:jc w:val="cente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炒制类预制品</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w:t>
            </w:r>
          </w:p>
        </w:tc>
        <w:tc>
          <w:tcPr>
            <w:tcW w:w="470" w:type="pct"/>
            <w:vMerge w:val="continue"/>
            <w:tcBorders>
              <w:tl2br w:val="nil"/>
              <w:tr2bl w:val="nil"/>
            </w:tcBorders>
            <w:vAlign w:val="center"/>
          </w:tcPr>
          <w:p>
            <w:pPr>
              <w:spacing w:line="240" w:lineRule="auto"/>
              <w:ind w:firstLine="0" w:firstLineChars="0"/>
              <w:jc w:val="center"/>
              <w:rPr>
                <w:sz w:val="21"/>
                <w:szCs w:val="21"/>
              </w:rPr>
            </w:pPr>
          </w:p>
        </w:tc>
        <w:tc>
          <w:tcPr>
            <w:tcW w:w="1872"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99" w:type="pct"/>
            <w:vMerge w:val="continue"/>
            <w:tcBorders>
              <w:tl2br w:val="nil"/>
              <w:tr2bl w:val="nil"/>
            </w:tcBorders>
            <w:vAlign w:val="center"/>
          </w:tcPr>
          <w:p>
            <w:pPr>
              <w:spacing w:line="240" w:lineRule="auto"/>
              <w:ind w:firstLine="0" w:firstLineChars="0"/>
              <w:jc w:val="center"/>
            </w:pPr>
          </w:p>
        </w:tc>
        <w:tc>
          <w:tcPr>
            <w:tcW w:w="432" w:type="pct"/>
            <w:vMerge w:val="continue"/>
            <w:tcBorders>
              <w:tl2br w:val="nil"/>
              <w:tr2bl w:val="nil"/>
            </w:tcBorders>
            <w:vAlign w:val="center"/>
          </w:tcPr>
          <w:p>
            <w:pPr>
              <w:spacing w:line="240" w:lineRule="auto"/>
              <w:ind w:firstLine="0" w:firstLineChars="0"/>
              <w:jc w:val="cente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羊肉预制品小计</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3000</w:t>
            </w:r>
          </w:p>
        </w:tc>
        <w:tc>
          <w:tcPr>
            <w:tcW w:w="470" w:type="pct"/>
            <w:vMerge w:val="continue"/>
            <w:tcBorders>
              <w:tl2br w:val="nil"/>
              <w:tr2bl w:val="nil"/>
            </w:tcBorders>
            <w:vAlign w:val="center"/>
          </w:tcPr>
          <w:p>
            <w:pPr>
              <w:spacing w:line="240" w:lineRule="auto"/>
              <w:ind w:firstLine="0" w:firstLineChars="0"/>
              <w:jc w:val="center"/>
              <w:rPr>
                <w:sz w:val="21"/>
                <w:szCs w:val="21"/>
              </w:rPr>
            </w:pPr>
          </w:p>
        </w:tc>
        <w:tc>
          <w:tcPr>
            <w:tcW w:w="1872" w:type="pct"/>
            <w:vMerge w:val="continue"/>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tcBorders>
              <w:tl2br w:val="nil"/>
              <w:tr2bl w:val="nil"/>
            </w:tcBorders>
            <w:vAlign w:val="center"/>
          </w:tcPr>
          <w:p>
            <w:pPr>
              <w:spacing w:line="240" w:lineRule="auto"/>
              <w:ind w:firstLine="0" w:firstLineChars="0"/>
              <w:jc w:val="center"/>
              <w:rPr>
                <w:sz w:val="21"/>
                <w:szCs w:val="21"/>
              </w:rPr>
            </w:pPr>
            <w:r>
              <w:rPr>
                <w:rFonts w:hint="eastAsia"/>
                <w:sz w:val="21"/>
                <w:szCs w:val="21"/>
              </w:rPr>
              <w:t>4</w:t>
            </w:r>
          </w:p>
        </w:tc>
        <w:tc>
          <w:tcPr>
            <w:tcW w:w="1523"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羊杂预制品（全部为蒸煮类）</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2000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5</w:t>
            </w:r>
          </w:p>
        </w:tc>
        <w:tc>
          <w:tcPr>
            <w:tcW w:w="432"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羊副</w:t>
            </w:r>
          </w:p>
          <w:p>
            <w:pPr>
              <w:spacing w:line="240" w:lineRule="auto"/>
              <w:ind w:firstLine="0" w:firstLineChars="0"/>
              <w:jc w:val="center"/>
              <w:rPr>
                <w:sz w:val="21"/>
                <w:szCs w:val="21"/>
              </w:rPr>
            </w:pPr>
            <w:r>
              <w:rPr>
                <w:rFonts w:hint="eastAsia"/>
                <w:sz w:val="21"/>
                <w:szCs w:val="21"/>
              </w:rPr>
              <w:t>产品</w:t>
            </w: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羊血</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1040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羊油</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2080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羊皮</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3200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羊头、蹄</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3300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羊红内脏</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1730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羊白内脏</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4100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羊肉屑</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9" w:type="pct"/>
            <w:vMerge w:val="continue"/>
            <w:tcBorders>
              <w:tl2br w:val="nil"/>
              <w:tr2bl w:val="nil"/>
            </w:tcBorders>
            <w:vAlign w:val="center"/>
          </w:tcPr>
          <w:p>
            <w:pPr>
              <w:spacing w:line="240" w:lineRule="auto"/>
              <w:ind w:firstLine="0" w:firstLineChars="0"/>
              <w:jc w:val="center"/>
              <w:rPr>
                <w:sz w:val="21"/>
                <w:szCs w:val="21"/>
              </w:rPr>
            </w:pPr>
          </w:p>
        </w:tc>
        <w:tc>
          <w:tcPr>
            <w:tcW w:w="432" w:type="pct"/>
            <w:vMerge w:val="continue"/>
            <w:tcBorders>
              <w:tl2br w:val="nil"/>
              <w:tr2bl w:val="nil"/>
            </w:tcBorders>
            <w:vAlign w:val="center"/>
          </w:tcPr>
          <w:p>
            <w:pPr>
              <w:spacing w:line="240" w:lineRule="auto"/>
              <w:ind w:firstLine="0" w:firstLineChars="0"/>
              <w:jc w:val="center"/>
              <w:rPr>
                <w:sz w:val="21"/>
                <w:szCs w:val="21"/>
              </w:rPr>
            </w:pPr>
          </w:p>
        </w:tc>
        <w:tc>
          <w:tcPr>
            <w:tcW w:w="1091" w:type="pct"/>
            <w:tcBorders>
              <w:tl2br w:val="nil"/>
              <w:tr2bl w:val="nil"/>
            </w:tcBorders>
            <w:vAlign w:val="center"/>
          </w:tcPr>
          <w:p>
            <w:pPr>
              <w:spacing w:line="240" w:lineRule="auto"/>
              <w:ind w:firstLine="0" w:firstLineChars="0"/>
              <w:jc w:val="center"/>
              <w:rPr>
                <w:sz w:val="21"/>
                <w:szCs w:val="21"/>
              </w:rPr>
            </w:pPr>
            <w:r>
              <w:rPr>
                <w:rFonts w:hint="eastAsia"/>
                <w:sz w:val="21"/>
                <w:szCs w:val="21"/>
              </w:rPr>
              <w:t>羊骨</w:t>
            </w:r>
          </w:p>
        </w:tc>
        <w:tc>
          <w:tcPr>
            <w:tcW w:w="734" w:type="pct"/>
            <w:tcBorders>
              <w:tl2br w:val="nil"/>
              <w:tr2bl w:val="nil"/>
            </w:tcBorders>
            <w:vAlign w:val="center"/>
          </w:tcPr>
          <w:p>
            <w:pPr>
              <w:spacing w:line="240" w:lineRule="auto"/>
              <w:ind w:firstLine="0" w:firstLineChars="0"/>
              <w:jc w:val="center"/>
              <w:rPr>
                <w:sz w:val="21"/>
                <w:szCs w:val="21"/>
              </w:rPr>
            </w:pPr>
            <w:r>
              <w:rPr>
                <w:rFonts w:hint="eastAsia"/>
                <w:sz w:val="21"/>
                <w:szCs w:val="21"/>
              </w:rPr>
              <w:t>3000</w:t>
            </w:r>
          </w:p>
        </w:tc>
        <w:tc>
          <w:tcPr>
            <w:tcW w:w="470" w:type="pct"/>
            <w:tcBorders>
              <w:tl2br w:val="nil"/>
              <w:tr2bl w:val="nil"/>
            </w:tcBorders>
            <w:vAlign w:val="center"/>
          </w:tcPr>
          <w:p>
            <w:pPr>
              <w:spacing w:line="240" w:lineRule="auto"/>
              <w:ind w:firstLine="0" w:firstLineChars="0"/>
              <w:jc w:val="center"/>
              <w:rPr>
                <w:sz w:val="21"/>
                <w:szCs w:val="21"/>
              </w:rPr>
            </w:pPr>
            <w:r>
              <w:rPr>
                <w:rFonts w:hint="eastAsia"/>
                <w:sz w:val="21"/>
                <w:szCs w:val="21"/>
              </w:rPr>
              <w:t>t/a</w:t>
            </w:r>
          </w:p>
        </w:tc>
        <w:tc>
          <w:tcPr>
            <w:tcW w:w="1872" w:type="pct"/>
            <w:tcBorders>
              <w:tl2br w:val="nil"/>
              <w:tr2bl w:val="nil"/>
            </w:tcBorders>
            <w:vAlign w:val="center"/>
          </w:tcPr>
          <w:p>
            <w:pPr>
              <w:spacing w:line="240" w:lineRule="auto"/>
              <w:ind w:firstLine="0" w:firstLineChars="0"/>
              <w:jc w:val="center"/>
              <w:rPr>
                <w:sz w:val="21"/>
                <w:szCs w:val="21"/>
              </w:rPr>
            </w:pPr>
            <w:r>
              <w:rPr>
                <w:rFonts w:hint="eastAsia"/>
                <w:sz w:val="21"/>
                <w:szCs w:val="21"/>
              </w:rPr>
              <w:t>企业内部质量标准</w:t>
            </w:r>
          </w:p>
        </w:tc>
      </w:tr>
    </w:tbl>
    <w:p>
      <w:pPr>
        <w:spacing w:line="240" w:lineRule="auto"/>
        <w:ind w:firstLine="482"/>
        <w:jc w:val="center"/>
        <w:rPr>
          <w:b/>
          <w:bCs/>
        </w:rPr>
      </w:pPr>
      <w:r>
        <w:rPr>
          <w:rFonts w:hint="eastAsia"/>
          <w:b/>
          <w:bCs/>
        </w:rPr>
        <w:t>表</w:t>
      </w:r>
      <w:r>
        <w:rPr>
          <w:rFonts w:hint="eastAsia"/>
          <w:b/>
          <w:bCs/>
          <w:lang w:val="en-US" w:eastAsia="zh-CN"/>
        </w:rPr>
        <w:t>3</w:t>
      </w:r>
      <w:r>
        <w:rPr>
          <w:rFonts w:hint="eastAsia"/>
          <w:b/>
          <w:bCs/>
        </w:rPr>
        <w:t>.5    鲜、冻胴体羊肉质量标准</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0"/>
        <w:gridCol w:w="3487"/>
        <w:gridCol w:w="2853"/>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sz w:val="21"/>
                <w:szCs w:val="21"/>
              </w:rPr>
            </w:pPr>
            <w:r>
              <w:rPr>
                <w:b/>
                <w:bCs/>
                <w:sz w:val="21"/>
                <w:szCs w:val="21"/>
              </w:rPr>
              <w:t>感官要求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b/>
                <w:bCs/>
                <w:sz w:val="21"/>
                <w:szCs w:val="21"/>
              </w:rPr>
            </w:pPr>
            <w:r>
              <w:rPr>
                <w:b/>
                <w:bCs/>
                <w:sz w:val="21"/>
                <w:szCs w:val="21"/>
              </w:rPr>
              <w:t>项目</w:t>
            </w:r>
          </w:p>
        </w:tc>
        <w:tc>
          <w:tcPr>
            <w:tcW w:w="1749" w:type="pct"/>
            <w:tcBorders>
              <w:tl2br w:val="nil"/>
              <w:tr2bl w:val="nil"/>
            </w:tcBorders>
            <w:vAlign w:val="center"/>
          </w:tcPr>
          <w:p>
            <w:pPr>
              <w:spacing w:line="240" w:lineRule="auto"/>
              <w:ind w:firstLine="0" w:firstLineChars="0"/>
              <w:jc w:val="center"/>
              <w:rPr>
                <w:b/>
                <w:bCs/>
                <w:sz w:val="21"/>
                <w:szCs w:val="21"/>
              </w:rPr>
            </w:pPr>
            <w:r>
              <w:rPr>
                <w:b/>
                <w:bCs/>
                <w:sz w:val="21"/>
                <w:szCs w:val="21"/>
              </w:rPr>
              <w:t>鲜羊肉</w:t>
            </w:r>
          </w:p>
        </w:tc>
        <w:tc>
          <w:tcPr>
            <w:tcW w:w="1432" w:type="pct"/>
            <w:tcBorders>
              <w:tl2br w:val="nil"/>
              <w:tr2bl w:val="nil"/>
            </w:tcBorders>
            <w:vAlign w:val="center"/>
          </w:tcPr>
          <w:p>
            <w:pPr>
              <w:spacing w:line="240" w:lineRule="auto"/>
              <w:ind w:firstLine="0" w:firstLineChars="0"/>
              <w:jc w:val="center"/>
              <w:rPr>
                <w:b/>
                <w:bCs/>
                <w:sz w:val="21"/>
                <w:szCs w:val="21"/>
              </w:rPr>
            </w:pPr>
            <w:r>
              <w:rPr>
                <w:b/>
                <w:bCs/>
                <w:sz w:val="21"/>
                <w:szCs w:val="21"/>
              </w:rPr>
              <w:t>冷却羊肉</w:t>
            </w:r>
          </w:p>
        </w:tc>
        <w:tc>
          <w:tcPr>
            <w:tcW w:w="1274" w:type="pct"/>
            <w:tcBorders>
              <w:tl2br w:val="nil"/>
              <w:tr2bl w:val="nil"/>
            </w:tcBorders>
            <w:vAlign w:val="center"/>
          </w:tcPr>
          <w:p>
            <w:pPr>
              <w:spacing w:line="240" w:lineRule="auto"/>
              <w:ind w:firstLine="0" w:firstLineChars="0"/>
              <w:jc w:val="center"/>
              <w:rPr>
                <w:b/>
                <w:bCs/>
                <w:sz w:val="21"/>
                <w:szCs w:val="21"/>
              </w:rPr>
            </w:pPr>
            <w:r>
              <w:rPr>
                <w:b/>
                <w:bCs/>
                <w:sz w:val="21"/>
                <w:szCs w:val="21"/>
              </w:rPr>
              <w:t>冻羊肉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sz w:val="21"/>
                <w:szCs w:val="21"/>
              </w:rPr>
            </w:pPr>
            <w:r>
              <w:rPr>
                <w:sz w:val="21"/>
                <w:szCs w:val="21"/>
              </w:rPr>
              <w:t>色泽</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肌肉色泽浅红、鲜红或深红，有光泽；脂肪呈乳白色、淡黄色或者黄色</w:t>
            </w:r>
          </w:p>
        </w:tc>
        <w:tc>
          <w:tcPr>
            <w:tcW w:w="1432" w:type="pct"/>
            <w:tcBorders>
              <w:tl2br w:val="nil"/>
              <w:tr2bl w:val="nil"/>
            </w:tcBorders>
            <w:vAlign w:val="center"/>
          </w:tcPr>
          <w:p>
            <w:pPr>
              <w:spacing w:line="240" w:lineRule="auto"/>
              <w:ind w:firstLine="0" w:firstLineChars="0"/>
              <w:jc w:val="center"/>
              <w:rPr>
                <w:sz w:val="21"/>
                <w:szCs w:val="21"/>
              </w:rPr>
            </w:pPr>
            <w:r>
              <w:rPr>
                <w:sz w:val="21"/>
                <w:szCs w:val="21"/>
              </w:rPr>
              <w:t>肌肉呈红色均匀，有光泽；脂肪呈乳白色、淡黄色或者黄色</w:t>
            </w:r>
          </w:p>
        </w:tc>
        <w:tc>
          <w:tcPr>
            <w:tcW w:w="1274" w:type="pct"/>
            <w:tcBorders>
              <w:tl2br w:val="nil"/>
              <w:tr2bl w:val="nil"/>
            </w:tcBorders>
            <w:vAlign w:val="center"/>
          </w:tcPr>
          <w:p>
            <w:pPr>
              <w:spacing w:line="240" w:lineRule="auto"/>
              <w:ind w:firstLine="0" w:firstLineChars="0"/>
              <w:jc w:val="center"/>
              <w:rPr>
                <w:sz w:val="21"/>
                <w:szCs w:val="21"/>
              </w:rPr>
            </w:pPr>
            <w:r>
              <w:rPr>
                <w:sz w:val="21"/>
                <w:szCs w:val="21"/>
              </w:rPr>
              <w:t>肌肉有光泽，色泽鲜艳；脂肪呈乳白色、淡黄色或者黄色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sz w:val="21"/>
                <w:szCs w:val="21"/>
              </w:rPr>
            </w:pPr>
            <w:r>
              <w:rPr>
                <w:sz w:val="21"/>
                <w:szCs w:val="21"/>
              </w:rPr>
              <w:t>组织状态</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肌肉纤维致密，有韧性，富有弹性。</w:t>
            </w:r>
          </w:p>
        </w:tc>
        <w:tc>
          <w:tcPr>
            <w:tcW w:w="1432" w:type="pct"/>
            <w:tcBorders>
              <w:tl2br w:val="nil"/>
              <w:tr2bl w:val="nil"/>
            </w:tcBorders>
            <w:vAlign w:val="center"/>
          </w:tcPr>
          <w:p>
            <w:pPr>
              <w:spacing w:line="240" w:lineRule="auto"/>
              <w:ind w:firstLine="0" w:firstLineChars="0"/>
              <w:jc w:val="center"/>
              <w:rPr>
                <w:sz w:val="21"/>
                <w:szCs w:val="21"/>
              </w:rPr>
            </w:pPr>
            <w:r>
              <w:rPr>
                <w:sz w:val="21"/>
                <w:szCs w:val="21"/>
              </w:rPr>
              <w:t>肌肉纤维致密、坚实，指压后凹陷立即恢复</w:t>
            </w:r>
          </w:p>
        </w:tc>
        <w:tc>
          <w:tcPr>
            <w:tcW w:w="1274" w:type="pct"/>
            <w:tcBorders>
              <w:tl2br w:val="nil"/>
              <w:tr2bl w:val="nil"/>
            </w:tcBorders>
            <w:vAlign w:val="center"/>
          </w:tcPr>
          <w:p>
            <w:pPr>
              <w:spacing w:line="240" w:lineRule="auto"/>
              <w:ind w:firstLine="0" w:firstLineChars="0"/>
              <w:jc w:val="center"/>
              <w:rPr>
                <w:sz w:val="21"/>
                <w:szCs w:val="21"/>
              </w:rPr>
            </w:pPr>
            <w:r>
              <w:rPr>
                <w:sz w:val="21"/>
                <w:szCs w:val="21"/>
              </w:rPr>
              <w:t>肉质紧密，有坚实感，肌肉纤维有韧性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sz w:val="21"/>
                <w:szCs w:val="21"/>
              </w:rPr>
            </w:pPr>
            <w:r>
              <w:rPr>
                <w:sz w:val="21"/>
                <w:szCs w:val="21"/>
              </w:rPr>
              <w:t>粘度</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外表微干或有风干膜，切面湿润，不粘手</w:t>
            </w:r>
          </w:p>
        </w:tc>
        <w:tc>
          <w:tcPr>
            <w:tcW w:w="1432" w:type="pct"/>
            <w:tcBorders>
              <w:tl2br w:val="nil"/>
              <w:tr2bl w:val="nil"/>
            </w:tcBorders>
            <w:vAlign w:val="center"/>
          </w:tcPr>
          <w:p>
            <w:pPr>
              <w:spacing w:line="240" w:lineRule="auto"/>
              <w:ind w:firstLine="0" w:firstLineChars="0"/>
              <w:jc w:val="center"/>
              <w:rPr>
                <w:sz w:val="21"/>
                <w:szCs w:val="21"/>
              </w:rPr>
            </w:pPr>
            <w:r>
              <w:rPr>
                <w:sz w:val="21"/>
                <w:szCs w:val="21"/>
              </w:rPr>
              <w:t>外表微干或有风干膜，切面湿润，不粘手</w:t>
            </w:r>
          </w:p>
        </w:tc>
        <w:tc>
          <w:tcPr>
            <w:tcW w:w="1274" w:type="pct"/>
            <w:tcBorders>
              <w:tl2br w:val="nil"/>
              <w:tr2bl w:val="nil"/>
            </w:tcBorders>
            <w:vAlign w:val="center"/>
          </w:tcPr>
          <w:p>
            <w:pPr>
              <w:spacing w:line="240" w:lineRule="auto"/>
              <w:ind w:firstLine="0" w:firstLineChars="0"/>
              <w:jc w:val="center"/>
              <w:rPr>
                <w:sz w:val="21"/>
                <w:szCs w:val="21"/>
              </w:rPr>
            </w:pPr>
            <w:r>
              <w:rPr>
                <w:sz w:val="21"/>
                <w:szCs w:val="21"/>
              </w:rPr>
              <w:t>表面微湿润，不粘手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sz w:val="21"/>
                <w:szCs w:val="21"/>
              </w:rPr>
            </w:pPr>
            <w:r>
              <w:rPr>
                <w:sz w:val="21"/>
                <w:szCs w:val="21"/>
              </w:rPr>
              <w:t>气味</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具有新鲜羊肉固有气味，无异味</w:t>
            </w:r>
          </w:p>
        </w:tc>
        <w:tc>
          <w:tcPr>
            <w:tcW w:w="1432" w:type="pct"/>
            <w:tcBorders>
              <w:tl2br w:val="nil"/>
              <w:tr2bl w:val="nil"/>
            </w:tcBorders>
            <w:vAlign w:val="center"/>
          </w:tcPr>
          <w:p>
            <w:pPr>
              <w:spacing w:line="240" w:lineRule="auto"/>
              <w:ind w:firstLine="0" w:firstLineChars="0"/>
              <w:jc w:val="center"/>
              <w:rPr>
                <w:sz w:val="21"/>
                <w:szCs w:val="21"/>
              </w:rPr>
            </w:pPr>
            <w:r>
              <w:rPr>
                <w:sz w:val="21"/>
                <w:szCs w:val="21"/>
              </w:rPr>
              <w:t>具有新鲜羊肉固有气味，无异味</w:t>
            </w:r>
          </w:p>
        </w:tc>
        <w:tc>
          <w:tcPr>
            <w:tcW w:w="1274" w:type="pct"/>
            <w:tcBorders>
              <w:tl2br w:val="nil"/>
              <w:tr2bl w:val="nil"/>
            </w:tcBorders>
            <w:vAlign w:val="center"/>
          </w:tcPr>
          <w:p>
            <w:pPr>
              <w:spacing w:line="240" w:lineRule="auto"/>
              <w:ind w:firstLine="0" w:firstLineChars="0"/>
              <w:jc w:val="center"/>
              <w:rPr>
                <w:sz w:val="21"/>
                <w:szCs w:val="21"/>
              </w:rPr>
            </w:pPr>
            <w:r>
              <w:rPr>
                <w:sz w:val="21"/>
                <w:szCs w:val="21"/>
              </w:rPr>
              <w:t>具有羊肉正常气味，无异味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sz w:val="21"/>
                <w:szCs w:val="21"/>
              </w:rPr>
            </w:pPr>
            <w:r>
              <w:rPr>
                <w:sz w:val="21"/>
                <w:szCs w:val="21"/>
              </w:rPr>
              <w:t>煮沸后肉汤</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透明澄清，脂肪团聚于液面，具特有香味</w:t>
            </w:r>
          </w:p>
        </w:tc>
        <w:tc>
          <w:tcPr>
            <w:tcW w:w="1432" w:type="pct"/>
            <w:tcBorders>
              <w:tl2br w:val="nil"/>
              <w:tr2bl w:val="nil"/>
            </w:tcBorders>
            <w:vAlign w:val="center"/>
          </w:tcPr>
          <w:p>
            <w:pPr>
              <w:spacing w:line="240" w:lineRule="auto"/>
              <w:ind w:firstLine="0" w:firstLineChars="0"/>
              <w:jc w:val="center"/>
              <w:rPr>
                <w:sz w:val="21"/>
                <w:szCs w:val="21"/>
              </w:rPr>
            </w:pPr>
            <w:r>
              <w:rPr>
                <w:sz w:val="21"/>
                <w:szCs w:val="21"/>
              </w:rPr>
              <w:t>透明澄清，脂肪团聚于液面，具特有香味</w:t>
            </w:r>
          </w:p>
        </w:tc>
        <w:tc>
          <w:tcPr>
            <w:tcW w:w="1274" w:type="pct"/>
            <w:tcBorders>
              <w:tl2br w:val="nil"/>
              <w:tr2bl w:val="nil"/>
            </w:tcBorders>
            <w:vAlign w:val="center"/>
          </w:tcPr>
          <w:p>
            <w:pPr>
              <w:spacing w:line="240" w:lineRule="auto"/>
              <w:ind w:firstLine="0" w:firstLineChars="0"/>
              <w:jc w:val="center"/>
              <w:rPr>
                <w:sz w:val="21"/>
                <w:szCs w:val="21"/>
              </w:rPr>
            </w:pPr>
            <w:r>
              <w:rPr>
                <w:sz w:val="21"/>
                <w:szCs w:val="21"/>
              </w:rPr>
              <w:t>透明澄清，脂肪团聚于液面，无异味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2" w:type="pct"/>
            <w:tcBorders>
              <w:tl2br w:val="nil"/>
              <w:tr2bl w:val="nil"/>
            </w:tcBorders>
            <w:vAlign w:val="center"/>
          </w:tcPr>
          <w:p>
            <w:pPr>
              <w:spacing w:line="240" w:lineRule="auto"/>
              <w:ind w:firstLine="0" w:firstLineChars="0"/>
              <w:jc w:val="center"/>
              <w:rPr>
                <w:sz w:val="21"/>
                <w:szCs w:val="21"/>
              </w:rPr>
            </w:pPr>
            <w:r>
              <w:rPr>
                <w:sz w:val="21"/>
                <w:szCs w:val="21"/>
              </w:rPr>
              <w:t>肉眼可见杂质</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不得检出</w:t>
            </w:r>
          </w:p>
        </w:tc>
        <w:tc>
          <w:tcPr>
            <w:tcW w:w="1432" w:type="pct"/>
            <w:tcBorders>
              <w:tl2br w:val="nil"/>
              <w:tr2bl w:val="nil"/>
            </w:tcBorders>
            <w:vAlign w:val="center"/>
          </w:tcPr>
          <w:p>
            <w:pPr>
              <w:spacing w:line="240" w:lineRule="auto"/>
              <w:ind w:firstLine="0" w:firstLineChars="0"/>
              <w:jc w:val="center"/>
              <w:rPr>
                <w:sz w:val="21"/>
                <w:szCs w:val="21"/>
              </w:rPr>
            </w:pPr>
            <w:r>
              <w:rPr>
                <w:sz w:val="21"/>
                <w:szCs w:val="21"/>
              </w:rPr>
              <w:t>不得检出</w:t>
            </w:r>
          </w:p>
        </w:tc>
        <w:tc>
          <w:tcPr>
            <w:tcW w:w="1274" w:type="pct"/>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sz w:val="21"/>
                <w:szCs w:val="21"/>
              </w:rPr>
            </w:pPr>
            <w:r>
              <w:rPr>
                <w:b/>
                <w:bCs/>
                <w:sz w:val="21"/>
                <w:szCs w:val="21"/>
              </w:rPr>
              <w:t>理化指标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项目</w:t>
            </w:r>
          </w:p>
        </w:tc>
        <w:tc>
          <w:tcPr>
            <w:tcW w:w="2707"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 xml:space="preserve">水分/%                      </w:t>
            </w:r>
            <w:r>
              <w:rPr>
                <w:rFonts w:hint="eastAsia"/>
                <w:sz w:val="21"/>
                <w:szCs w:val="21"/>
              </w:rPr>
              <w:t xml:space="preserve"> </w:t>
            </w:r>
            <w:r>
              <w:rPr>
                <w:sz w:val="21"/>
                <w:szCs w:val="21"/>
              </w:rPr>
              <w:t xml:space="preserve">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挥发性盐基氮/（mg/100g）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sz w:val="21"/>
                <w:szCs w:val="21"/>
              </w:rPr>
              <w:t>总汞（以Hg计）</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无机砷/（mg/kg）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镉（Cd)/（mg/kg）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铅（Pb）/（mg/kg）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铬（以Gr计）/（mg/kg）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亚硝酸盐（以NaO</w:t>
            </w:r>
            <w:r>
              <w:rPr>
                <w:sz w:val="21"/>
                <w:szCs w:val="21"/>
                <w:vertAlign w:val="subscript"/>
              </w:rPr>
              <w:t>2</w:t>
            </w:r>
            <w:r>
              <w:rPr>
                <w:sz w:val="21"/>
                <w:szCs w:val="21"/>
              </w:rPr>
              <w:t>计）/（mg/kg）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敌敌畏/（mg/kg）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六六六（再残留限量）/（mg/kg）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滴滴涕（再残留限量）/（mg/kg）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溴氰菊酯/（mg/kg）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青霉素/（mg/kg）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左旋咪唑/（mg/kg）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sz w:val="21"/>
                <w:szCs w:val="21"/>
              </w:rPr>
              <w:t>磺胺类(以磺胺类总量计）/（mg/kg）  ≤</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sz w:val="21"/>
                <w:szCs w:val="21"/>
              </w:rPr>
              <w:t>氯霉素</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sz w:val="21"/>
                <w:szCs w:val="21"/>
              </w:rPr>
              <w:t>克伦特罗</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sz w:val="21"/>
                <w:szCs w:val="21"/>
              </w:rPr>
              <w:t>己烯雌酚</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l2br w:val="nil"/>
              <w:tr2bl w:val="nil"/>
            </w:tcBorders>
            <w:vAlign w:val="center"/>
          </w:tcPr>
          <w:p>
            <w:pPr>
              <w:spacing w:line="240" w:lineRule="auto"/>
              <w:ind w:firstLine="0" w:firstLineChars="0"/>
              <w:jc w:val="center"/>
              <w:rPr>
                <w:sz w:val="21"/>
                <w:szCs w:val="21"/>
              </w:rPr>
            </w:pPr>
            <w:r>
              <w:rPr>
                <w:b/>
                <w:bCs/>
                <w:sz w:val="21"/>
                <w:szCs w:val="21"/>
              </w:rPr>
              <w:t>微生物指标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 xml:space="preserve">菌落总数/（CFU/g）                  </w:t>
            </w:r>
            <w:r>
              <w:rPr>
                <w:sz w:val="21"/>
                <w:szCs w:val="21"/>
              </w:rPr>
              <w:t>≤</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5</w:t>
            </w:r>
            <w:r>
              <w:rPr>
                <w:rFonts w:ascii="Arial" w:hAnsi="Arial" w:cs="Arial"/>
                <w:sz w:val="21"/>
                <w:szCs w:val="21"/>
              </w:rPr>
              <w:t>×</w:t>
            </w:r>
            <w:r>
              <w:rPr>
                <w:rFonts w:hint="eastAsia"/>
                <w:sz w:val="21"/>
                <w:szCs w:val="21"/>
              </w:rPr>
              <w:t>10</w:t>
            </w:r>
            <w:r>
              <w:rPr>
                <w:rFonts w:hint="eastAsia"/>
                <w:sz w:val="21"/>
                <w:szCs w:val="21"/>
                <w:vertAlign w:val="superscript"/>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 xml:space="preserve">大肠菌数/（MPN/100g）              </w:t>
            </w:r>
            <w:r>
              <w:rPr>
                <w:sz w:val="21"/>
                <w:szCs w:val="21"/>
              </w:rPr>
              <w:t>≤</w:t>
            </w:r>
          </w:p>
        </w:tc>
        <w:tc>
          <w:tcPr>
            <w:tcW w:w="270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1</w:t>
            </w:r>
            <w:r>
              <w:rPr>
                <w:rFonts w:ascii="Arial" w:hAnsi="Arial" w:cs="Arial"/>
                <w:sz w:val="21"/>
                <w:szCs w:val="21"/>
              </w:rPr>
              <w:t>×</w:t>
            </w:r>
            <w:r>
              <w:rPr>
                <w:rFonts w:hint="eastAsia"/>
                <w:sz w:val="21"/>
                <w:szCs w:val="21"/>
              </w:rPr>
              <w:t>10</w:t>
            </w:r>
            <w:r>
              <w:rPr>
                <w:rFonts w:hint="eastAsia"/>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rFonts w:hint="eastAsia"/>
                <w:sz w:val="21"/>
                <w:szCs w:val="21"/>
              </w:rPr>
              <w:t>沙门氏菌</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rFonts w:hint="eastAsia"/>
                <w:sz w:val="21"/>
                <w:szCs w:val="21"/>
              </w:rPr>
              <w:t>志贺氏菌</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rFonts w:hint="eastAsia"/>
                <w:sz w:val="21"/>
                <w:szCs w:val="21"/>
              </w:rPr>
              <w:t>金黄色葡萄球菌</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2" w:type="pct"/>
            <w:gridSpan w:val="2"/>
            <w:tcBorders>
              <w:tl2br w:val="nil"/>
              <w:tr2bl w:val="nil"/>
            </w:tcBorders>
            <w:vAlign w:val="center"/>
          </w:tcPr>
          <w:p>
            <w:pPr>
              <w:spacing w:line="240" w:lineRule="auto"/>
              <w:ind w:firstLine="0" w:firstLineChars="0"/>
              <w:rPr>
                <w:sz w:val="21"/>
                <w:szCs w:val="21"/>
              </w:rPr>
            </w:pPr>
            <w:r>
              <w:rPr>
                <w:rFonts w:hint="eastAsia"/>
                <w:sz w:val="21"/>
                <w:szCs w:val="21"/>
              </w:rPr>
              <w:t>致泻大肠埃希氏菌</w:t>
            </w:r>
          </w:p>
        </w:tc>
        <w:tc>
          <w:tcPr>
            <w:tcW w:w="2707" w:type="pct"/>
            <w:gridSpan w:val="2"/>
            <w:tcBorders>
              <w:tl2br w:val="nil"/>
              <w:tr2bl w:val="nil"/>
            </w:tcBorders>
            <w:vAlign w:val="center"/>
          </w:tcPr>
          <w:p>
            <w:pPr>
              <w:spacing w:line="240" w:lineRule="auto"/>
              <w:ind w:firstLine="0" w:firstLineChars="0"/>
              <w:jc w:val="center"/>
              <w:rPr>
                <w:sz w:val="21"/>
                <w:szCs w:val="21"/>
              </w:rPr>
            </w:pPr>
            <w:r>
              <w:rPr>
                <w:sz w:val="21"/>
                <w:szCs w:val="21"/>
              </w:rPr>
              <w:t>不得检出</w:t>
            </w:r>
          </w:p>
        </w:tc>
      </w:tr>
    </w:tbl>
    <w:p>
      <w:pPr>
        <w:pStyle w:val="6"/>
        <w:ind w:firstLine="482"/>
      </w:pPr>
      <w:bookmarkStart w:id="484" w:name="_Toc13348"/>
      <w:r>
        <w:rPr>
          <w:rFonts w:hint="eastAsia"/>
          <w:lang w:val="en-US" w:eastAsia="zh-CN"/>
        </w:rPr>
        <w:t>3</w:t>
      </w:r>
      <w:r>
        <w:rPr>
          <w:rFonts w:hint="eastAsia"/>
        </w:rPr>
        <w:t>.2.5、</w:t>
      </w:r>
      <w:r>
        <w:rPr>
          <w:rFonts w:hint="eastAsia"/>
          <w:lang w:val="en-US" w:eastAsia="zh-CN"/>
        </w:rPr>
        <w:t>拟建</w:t>
      </w:r>
      <w:r>
        <w:t>项目</w:t>
      </w:r>
      <w:r>
        <w:rPr>
          <w:rFonts w:hint="eastAsia"/>
        </w:rPr>
        <w:t>原辅材料</w:t>
      </w:r>
      <w:bookmarkEnd w:id="484"/>
    </w:p>
    <w:p>
      <w:pPr>
        <w:ind w:firstLine="482"/>
        <w:rPr>
          <w:b/>
          <w:bCs/>
        </w:rPr>
      </w:pPr>
      <w:r>
        <w:rPr>
          <w:rFonts w:hint="eastAsia"/>
          <w:b/>
          <w:bCs/>
        </w:rPr>
        <w:t>（1）原辅材料消耗</w:t>
      </w:r>
    </w:p>
    <w:p>
      <w:pPr>
        <w:ind w:firstLine="480"/>
      </w:pPr>
      <w:r>
        <w:rPr>
          <w:rFonts w:hint="eastAsia"/>
        </w:rPr>
        <w:t>本项目生产的产品主要有冷冻鲜羊肉、牛肉预制品、羊肉预制品、羊杂预制品以及羊副产品。原料主要为羊肉、牛肉、蔬菜和调料，其中羊肉来自本项目羊精深加工生产线生产的</w:t>
      </w:r>
      <w:r>
        <w:rPr>
          <w:rFonts w:hint="eastAsia"/>
          <w:lang w:val="en-US" w:eastAsia="zh-CN"/>
        </w:rPr>
        <w:t>鲜</w:t>
      </w:r>
      <w:r>
        <w:rPr>
          <w:rFonts w:hint="eastAsia"/>
        </w:rPr>
        <w:t>羊肉，牛肉来自于公司已建设的</w:t>
      </w:r>
      <w:r>
        <w:rPr>
          <w:rFonts w:hint="eastAsia"/>
          <w:lang w:val="en-US" w:eastAsia="zh-CN"/>
        </w:rPr>
        <w:t>肉</w:t>
      </w:r>
      <w:r>
        <w:rPr>
          <w:rFonts w:hint="eastAsia"/>
        </w:rPr>
        <w:t>牛精深加工生产线生产的</w:t>
      </w:r>
      <w:r>
        <w:rPr>
          <w:rFonts w:hint="eastAsia"/>
          <w:lang w:val="en-US" w:eastAsia="zh-CN"/>
        </w:rPr>
        <w:t>鲜</w:t>
      </w:r>
      <w:r>
        <w:rPr>
          <w:rFonts w:hint="eastAsia"/>
        </w:rPr>
        <w:t>牛肉，蔬菜和调料全部外购正规单位生产的合格产品。具体原辅材料消耗量和暂存量及暂存方式详见表</w:t>
      </w:r>
      <w:r>
        <w:rPr>
          <w:rFonts w:hint="eastAsia"/>
          <w:lang w:val="en-US" w:eastAsia="zh-CN"/>
        </w:rPr>
        <w:t>3.6</w:t>
      </w:r>
      <w:r>
        <w:rPr>
          <w:rFonts w:hint="eastAsia"/>
        </w:rPr>
        <w:t>。</w:t>
      </w:r>
    </w:p>
    <w:p>
      <w:pPr>
        <w:spacing w:line="240" w:lineRule="auto"/>
        <w:ind w:firstLine="482"/>
        <w:jc w:val="center"/>
        <w:rPr>
          <w:b/>
          <w:bCs/>
        </w:rPr>
      </w:pPr>
      <w:r>
        <w:rPr>
          <w:rFonts w:hint="eastAsia"/>
          <w:b/>
          <w:bCs/>
        </w:rPr>
        <w:t>表</w:t>
      </w:r>
      <w:r>
        <w:rPr>
          <w:rFonts w:hint="eastAsia"/>
          <w:b/>
          <w:bCs/>
          <w:lang w:val="en-US" w:eastAsia="zh-CN"/>
        </w:rPr>
        <w:t>3</w:t>
      </w:r>
      <w:r>
        <w:rPr>
          <w:rFonts w:hint="eastAsia"/>
          <w:b/>
          <w:bCs/>
        </w:rPr>
        <w:t>.</w:t>
      </w:r>
      <w:r>
        <w:rPr>
          <w:rFonts w:hint="eastAsia"/>
          <w:b/>
          <w:bCs/>
          <w:lang w:val="en-US" w:eastAsia="zh-CN"/>
        </w:rPr>
        <w:t>6</w:t>
      </w:r>
      <w:r>
        <w:rPr>
          <w:rFonts w:hint="eastAsia"/>
          <w:b/>
          <w:bCs/>
        </w:rPr>
        <w:t xml:space="preserve">    原辅材料消耗表</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42"/>
        <w:gridCol w:w="1071"/>
        <w:gridCol w:w="1288"/>
        <w:gridCol w:w="1178"/>
        <w:gridCol w:w="1628"/>
        <w:gridCol w:w="2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62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原料名称</w:t>
            </w:r>
          </w:p>
        </w:tc>
        <w:tc>
          <w:tcPr>
            <w:tcW w:w="538" w:type="pct"/>
            <w:tcBorders>
              <w:tl2br w:val="nil"/>
              <w:tr2bl w:val="nil"/>
            </w:tcBorders>
            <w:vAlign w:val="center"/>
          </w:tcPr>
          <w:p>
            <w:pPr>
              <w:spacing w:line="240" w:lineRule="auto"/>
              <w:ind w:firstLine="0" w:firstLineChars="0"/>
              <w:jc w:val="center"/>
              <w:rPr>
                <w:b/>
                <w:bCs/>
                <w:sz w:val="21"/>
                <w:szCs w:val="21"/>
              </w:rPr>
            </w:pPr>
            <w:r>
              <w:rPr>
                <w:b/>
                <w:bCs/>
                <w:sz w:val="21"/>
                <w:szCs w:val="21"/>
              </w:rPr>
              <w:t>规格</w:t>
            </w:r>
          </w:p>
        </w:tc>
        <w:tc>
          <w:tcPr>
            <w:tcW w:w="647" w:type="pct"/>
            <w:tcBorders>
              <w:tl2br w:val="nil"/>
              <w:tr2bl w:val="nil"/>
            </w:tcBorders>
            <w:vAlign w:val="center"/>
          </w:tcPr>
          <w:p>
            <w:pPr>
              <w:spacing w:line="240" w:lineRule="auto"/>
              <w:ind w:firstLine="0" w:firstLineChars="0"/>
              <w:jc w:val="center"/>
              <w:rPr>
                <w:b/>
                <w:bCs/>
                <w:sz w:val="21"/>
                <w:szCs w:val="21"/>
              </w:rPr>
            </w:pPr>
            <w:r>
              <w:rPr>
                <w:b/>
                <w:bCs/>
                <w:sz w:val="21"/>
                <w:szCs w:val="21"/>
              </w:rPr>
              <w:t>消耗量</w:t>
            </w:r>
          </w:p>
        </w:tc>
        <w:tc>
          <w:tcPr>
            <w:tcW w:w="592" w:type="pct"/>
            <w:tcBorders>
              <w:tl2br w:val="nil"/>
              <w:tr2bl w:val="nil"/>
            </w:tcBorders>
            <w:vAlign w:val="center"/>
          </w:tcPr>
          <w:p>
            <w:pPr>
              <w:spacing w:line="240" w:lineRule="auto"/>
              <w:ind w:firstLine="0" w:firstLineChars="0"/>
              <w:jc w:val="center"/>
              <w:rPr>
                <w:b/>
                <w:bCs/>
                <w:sz w:val="21"/>
                <w:szCs w:val="21"/>
              </w:rPr>
            </w:pPr>
            <w:r>
              <w:rPr>
                <w:b/>
                <w:bCs/>
                <w:sz w:val="21"/>
                <w:szCs w:val="21"/>
              </w:rPr>
              <w:t>暂存方式</w:t>
            </w:r>
          </w:p>
        </w:tc>
        <w:tc>
          <w:tcPr>
            <w:tcW w:w="818" w:type="pct"/>
            <w:tcBorders>
              <w:tl2br w:val="nil"/>
              <w:tr2bl w:val="nil"/>
            </w:tcBorders>
            <w:vAlign w:val="center"/>
          </w:tcPr>
          <w:p>
            <w:pPr>
              <w:spacing w:line="240" w:lineRule="auto"/>
              <w:ind w:firstLine="0" w:firstLineChars="0"/>
              <w:jc w:val="center"/>
              <w:rPr>
                <w:b/>
                <w:bCs/>
                <w:sz w:val="21"/>
                <w:szCs w:val="21"/>
              </w:rPr>
            </w:pPr>
            <w:r>
              <w:rPr>
                <w:b/>
                <w:bCs/>
                <w:sz w:val="21"/>
                <w:szCs w:val="21"/>
              </w:rPr>
              <w:t>来源</w:t>
            </w:r>
          </w:p>
        </w:tc>
        <w:tc>
          <w:tcPr>
            <w:tcW w:w="1380"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tcBorders>
              <w:tl2br w:val="nil"/>
              <w:tr2bl w:val="nil"/>
            </w:tcBorders>
            <w:vAlign w:val="center"/>
          </w:tcPr>
          <w:p>
            <w:pPr>
              <w:spacing w:line="240" w:lineRule="auto"/>
              <w:ind w:firstLine="0" w:firstLineChars="0"/>
              <w:rPr>
                <w:sz w:val="21"/>
                <w:szCs w:val="21"/>
              </w:rPr>
            </w:pPr>
            <w:r>
              <w:rPr>
                <w:b/>
                <w:bCs/>
                <w:sz w:val="21"/>
                <w:szCs w:val="21"/>
              </w:rPr>
              <w:t>一、冷冻鲜羊肉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平均约60kg/只</w:t>
            </w:r>
          </w:p>
        </w:tc>
        <w:tc>
          <w:tcPr>
            <w:tcW w:w="647" w:type="pct"/>
            <w:tcBorders>
              <w:tl2br w:val="nil"/>
              <w:tr2bl w:val="nil"/>
            </w:tcBorders>
            <w:vAlign w:val="center"/>
          </w:tcPr>
          <w:p>
            <w:pPr>
              <w:spacing w:line="240" w:lineRule="auto"/>
              <w:ind w:firstLine="0" w:firstLineChars="0"/>
              <w:jc w:val="center"/>
              <w:rPr>
                <w:sz w:val="21"/>
                <w:szCs w:val="21"/>
              </w:rPr>
            </w:pPr>
            <w:r>
              <w:rPr>
                <w:sz w:val="21"/>
                <w:szCs w:val="21"/>
              </w:rPr>
              <w:t>60万只/a</w:t>
            </w:r>
          </w:p>
        </w:tc>
        <w:tc>
          <w:tcPr>
            <w:tcW w:w="592" w:type="pc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公司自建的活禽交易市场</w:t>
            </w:r>
          </w:p>
        </w:tc>
        <w:tc>
          <w:tcPr>
            <w:tcW w:w="1380" w:type="pct"/>
            <w:tcBorders>
              <w:tl2br w:val="nil"/>
              <w:tr2bl w:val="nil"/>
            </w:tcBorders>
            <w:vAlign w:val="center"/>
          </w:tcPr>
          <w:p>
            <w:pPr>
              <w:spacing w:line="240" w:lineRule="auto"/>
              <w:ind w:firstLine="0" w:firstLineChars="0"/>
              <w:jc w:val="center"/>
              <w:rPr>
                <w:rFonts w:hint="eastAsia" w:eastAsia="宋体"/>
                <w:sz w:val="21"/>
                <w:szCs w:val="21"/>
                <w:lang w:val="en-US" w:eastAsia="zh-CN"/>
              </w:rPr>
            </w:pPr>
            <w:r>
              <w:rPr>
                <w:rFonts w:hint="eastAsia"/>
                <w:sz w:val="21"/>
                <w:szCs w:val="21"/>
              </w:rPr>
              <w:t>根据实际生产需求及时</w:t>
            </w:r>
            <w:r>
              <w:rPr>
                <w:rFonts w:hint="eastAsia"/>
                <w:sz w:val="21"/>
                <w:szCs w:val="21"/>
                <w:lang w:val="en-US" w:eastAsia="zh-CN"/>
              </w:rPr>
              <w:t>从</w:t>
            </w:r>
            <w:r>
              <w:rPr>
                <w:rFonts w:hint="eastAsia"/>
                <w:sz w:val="21"/>
                <w:szCs w:val="21"/>
              </w:rPr>
              <w:t>活禽交易市场</w:t>
            </w:r>
            <w:r>
              <w:rPr>
                <w:rFonts w:hint="eastAsia"/>
                <w:sz w:val="21"/>
                <w:szCs w:val="21"/>
                <w:lang w:val="en-US" w:eastAsia="zh-CN"/>
              </w:rPr>
              <w:t>拉运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tcBorders>
              <w:tl2br w:val="nil"/>
              <w:tr2bl w:val="nil"/>
            </w:tcBorders>
            <w:vAlign w:val="center"/>
          </w:tcPr>
          <w:p>
            <w:pPr>
              <w:spacing w:line="240" w:lineRule="auto"/>
              <w:ind w:firstLine="0" w:firstLineChars="0"/>
              <w:rPr>
                <w:sz w:val="21"/>
                <w:szCs w:val="21"/>
              </w:rPr>
            </w:pPr>
            <w:r>
              <w:rPr>
                <w:b/>
                <w:bCs/>
                <w:sz w:val="21"/>
                <w:szCs w:val="21"/>
              </w:rPr>
              <w:t>二、牛肉预制品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牛肉</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6800</w:t>
            </w:r>
            <w:r>
              <w:rPr>
                <w:sz w:val="21"/>
                <w:szCs w:val="21"/>
              </w:rPr>
              <w:t>t/a</w:t>
            </w:r>
          </w:p>
        </w:tc>
        <w:tc>
          <w:tcPr>
            <w:tcW w:w="592" w:type="pct"/>
            <w:tcBorders>
              <w:tl2br w:val="nil"/>
              <w:tr2bl w:val="nil"/>
            </w:tcBorders>
            <w:vAlign w:val="center"/>
          </w:tcPr>
          <w:p>
            <w:pPr>
              <w:spacing w:line="240" w:lineRule="auto"/>
              <w:ind w:firstLine="0" w:firstLineChars="0"/>
              <w:jc w:val="center"/>
              <w:rPr>
                <w:sz w:val="21"/>
                <w:szCs w:val="21"/>
              </w:rPr>
            </w:pPr>
            <w:r>
              <w:rPr>
                <w:rFonts w:hint="eastAsia"/>
                <w:sz w:val="21"/>
                <w:szCs w:val="21"/>
              </w:rPr>
              <w:t>现有冷库</w:t>
            </w: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公司自产</w:t>
            </w:r>
          </w:p>
        </w:tc>
        <w:tc>
          <w:tcPr>
            <w:tcW w:w="1380" w:type="pct"/>
            <w:tcBorders>
              <w:tl2br w:val="nil"/>
              <w:tr2bl w:val="nil"/>
            </w:tcBorders>
            <w:vAlign w:val="center"/>
          </w:tcPr>
          <w:p>
            <w:pPr>
              <w:spacing w:line="240" w:lineRule="auto"/>
              <w:ind w:firstLine="0" w:firstLineChars="0"/>
              <w:jc w:val="center"/>
              <w:rPr>
                <w:sz w:val="21"/>
                <w:szCs w:val="21"/>
              </w:rPr>
            </w:pPr>
            <w:r>
              <w:rPr>
                <w:rFonts w:hint="eastAsia"/>
                <w:sz w:val="21"/>
                <w:szCs w:val="21"/>
              </w:rPr>
              <w:t>牛肉规格一般为牛肉丁、牛肉丝、牛肉块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1750</w:t>
            </w:r>
            <w:r>
              <w:rPr>
                <w:sz w:val="21"/>
                <w:szCs w:val="21"/>
              </w:rPr>
              <w:t>t/a</w:t>
            </w:r>
          </w:p>
        </w:tc>
        <w:tc>
          <w:tcPr>
            <w:tcW w:w="592"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新建原料暂存间</w:t>
            </w: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外购，固体</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主要有青辣椒、红辣椒、土豆、葱、姜、蒜、香菜等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调料</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r>
              <w:rPr>
                <w:sz w:val="21"/>
                <w:szCs w:val="21"/>
              </w:rPr>
              <w:t>t/a</w:t>
            </w:r>
          </w:p>
        </w:tc>
        <w:tc>
          <w:tcPr>
            <w:tcW w:w="592" w:type="pct"/>
            <w:vMerge w:val="continue"/>
            <w:tcBorders>
              <w:tl2br w:val="nil"/>
              <w:tr2bl w:val="nil"/>
            </w:tcBorders>
            <w:vAlign w:val="center"/>
          </w:tcPr>
          <w:p>
            <w:pPr>
              <w:spacing w:line="240" w:lineRule="auto"/>
              <w:ind w:firstLine="0" w:firstLineChars="0"/>
              <w:rPr>
                <w:sz w:val="21"/>
                <w:szCs w:val="21"/>
              </w:rPr>
            </w:pP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外购，粉末状/块状</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主要有食盐、胡椒、</w:t>
            </w:r>
            <w:r>
              <w:fldChar w:fldCharType="begin"/>
            </w:r>
            <w:r>
              <w:instrText xml:space="preserve"> HYPERLINK "https://www.xiachufang.com/category/2005/" </w:instrText>
            </w:r>
            <w:r>
              <w:fldChar w:fldCharType="separate"/>
            </w:r>
            <w:r>
              <w:rPr>
                <w:rFonts w:hint="eastAsia"/>
                <w:sz w:val="21"/>
                <w:szCs w:val="21"/>
              </w:rPr>
              <w:t>花椒</w:t>
            </w:r>
            <w:r>
              <w:rPr>
                <w:rFonts w:hint="eastAsia"/>
                <w:sz w:val="21"/>
                <w:szCs w:val="21"/>
              </w:rPr>
              <w:fldChar w:fldCharType="end"/>
            </w:r>
            <w:r>
              <w:rPr>
                <w:rFonts w:hint="eastAsia"/>
                <w:sz w:val="21"/>
                <w:szCs w:val="21"/>
              </w:rPr>
              <w:t>、耗油、酱油、白糖、料酒、辣椒酱、食醋等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tcBorders>
              <w:tl2br w:val="nil"/>
              <w:tr2bl w:val="nil"/>
            </w:tcBorders>
            <w:vAlign w:val="center"/>
          </w:tcPr>
          <w:p>
            <w:pPr>
              <w:spacing w:line="240" w:lineRule="auto"/>
              <w:ind w:firstLine="0" w:firstLineChars="0"/>
              <w:jc w:val="center"/>
              <w:rPr>
                <w:sz w:val="21"/>
                <w:szCs w:val="21"/>
              </w:rPr>
            </w:pPr>
            <w:r>
              <w:rPr>
                <w:rFonts w:hint="eastAsia"/>
                <w:sz w:val="21"/>
                <w:szCs w:val="21"/>
              </w:rPr>
              <w:t>4</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卤料</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45t/a</w:t>
            </w:r>
          </w:p>
        </w:tc>
        <w:tc>
          <w:tcPr>
            <w:tcW w:w="592" w:type="pct"/>
            <w:vMerge w:val="continue"/>
            <w:tcBorders>
              <w:tl2br w:val="nil"/>
              <w:tr2bl w:val="nil"/>
            </w:tcBorders>
            <w:vAlign w:val="center"/>
          </w:tcPr>
          <w:p>
            <w:pPr>
              <w:spacing w:line="240" w:lineRule="auto"/>
              <w:ind w:firstLine="0" w:firstLineChars="0"/>
              <w:rPr>
                <w:sz w:val="21"/>
                <w:szCs w:val="21"/>
              </w:rPr>
            </w:pP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外购，块状</w:t>
            </w:r>
          </w:p>
        </w:tc>
        <w:tc>
          <w:tcPr>
            <w:tcW w:w="1380" w:type="pct"/>
            <w:tcBorders>
              <w:tl2br w:val="nil"/>
              <w:tr2bl w:val="nil"/>
            </w:tcBorders>
            <w:vAlign w:val="center"/>
          </w:tcPr>
          <w:p>
            <w:pPr>
              <w:spacing w:line="240" w:lineRule="auto"/>
              <w:ind w:firstLine="0" w:firstLineChars="0"/>
              <w:jc w:val="center"/>
              <w:rPr>
                <w:sz w:val="21"/>
                <w:szCs w:val="21"/>
              </w:rPr>
            </w:pPr>
            <w:r>
              <w:fldChar w:fldCharType="begin"/>
            </w:r>
            <w:r>
              <w:instrText xml:space="preserve"> HYPERLINK "https://www.xiachufang.com/category/2351/" </w:instrText>
            </w:r>
            <w:r>
              <w:fldChar w:fldCharType="separate"/>
            </w:r>
            <w:r>
              <w:rPr>
                <w:sz w:val="21"/>
                <w:szCs w:val="21"/>
              </w:rPr>
              <w:t>八角</w:t>
            </w:r>
            <w:r>
              <w:rPr>
                <w:sz w:val="21"/>
                <w:szCs w:val="21"/>
              </w:rPr>
              <w:fldChar w:fldCharType="end"/>
            </w:r>
            <w:r>
              <w:rPr>
                <w:rFonts w:hint="eastAsia"/>
                <w:sz w:val="21"/>
                <w:szCs w:val="21"/>
              </w:rPr>
              <w:t>、白蔻、</w:t>
            </w:r>
            <w:r>
              <w:fldChar w:fldCharType="begin"/>
            </w:r>
            <w:r>
              <w:instrText xml:space="preserve"> HYPERLINK "https://www.xiachufang.com/category/2055/" </w:instrText>
            </w:r>
            <w:r>
              <w:fldChar w:fldCharType="separate"/>
            </w:r>
            <w:r>
              <w:rPr>
                <w:sz w:val="21"/>
                <w:szCs w:val="21"/>
              </w:rPr>
              <w:t>茴香</w:t>
            </w:r>
            <w:r>
              <w:rPr>
                <w:sz w:val="21"/>
                <w:szCs w:val="21"/>
              </w:rPr>
              <w:fldChar w:fldCharType="end"/>
            </w:r>
            <w:r>
              <w:rPr>
                <w:rFonts w:hint="eastAsia"/>
                <w:sz w:val="21"/>
                <w:szCs w:val="21"/>
              </w:rPr>
              <w:t>、</w:t>
            </w:r>
            <w:r>
              <w:fldChar w:fldCharType="begin"/>
            </w:r>
            <w:r>
              <w:instrText xml:space="preserve"> HYPERLINK "https://www.xiachufang.com/category/2405/" </w:instrText>
            </w:r>
            <w:r>
              <w:fldChar w:fldCharType="separate"/>
            </w:r>
            <w:r>
              <w:rPr>
                <w:sz w:val="21"/>
                <w:szCs w:val="21"/>
              </w:rPr>
              <w:t>丁香</w:t>
            </w:r>
            <w:r>
              <w:rPr>
                <w:sz w:val="21"/>
                <w:szCs w:val="21"/>
              </w:rPr>
              <w:fldChar w:fldCharType="end"/>
            </w:r>
            <w:r>
              <w:rPr>
                <w:rFonts w:hint="eastAsia"/>
                <w:sz w:val="21"/>
                <w:szCs w:val="21"/>
              </w:rPr>
              <w:t>、</w:t>
            </w:r>
            <w:r>
              <w:fldChar w:fldCharType="begin"/>
            </w:r>
            <w:r>
              <w:instrText xml:space="preserve"> HYPERLINK "https://www.xiachufang.com/category/2005/" </w:instrText>
            </w:r>
            <w:r>
              <w:fldChar w:fldCharType="separate"/>
            </w:r>
            <w:r>
              <w:rPr>
                <w:sz w:val="21"/>
                <w:szCs w:val="21"/>
              </w:rPr>
              <w:t>花椒</w:t>
            </w:r>
            <w:r>
              <w:rPr>
                <w:sz w:val="21"/>
                <w:szCs w:val="21"/>
              </w:rPr>
              <w:fldChar w:fldCharType="end"/>
            </w:r>
            <w:r>
              <w:rPr>
                <w:rFonts w:hint="eastAsia"/>
                <w:sz w:val="21"/>
                <w:szCs w:val="21"/>
              </w:rPr>
              <w:t>、</w:t>
            </w:r>
            <w:r>
              <w:fldChar w:fldCharType="begin"/>
            </w:r>
            <w:r>
              <w:instrText xml:space="preserve"> HYPERLINK "https://www.xiachufang.com/category/1875/" </w:instrText>
            </w:r>
            <w:r>
              <w:fldChar w:fldCharType="separate"/>
            </w:r>
            <w:r>
              <w:rPr>
                <w:sz w:val="21"/>
                <w:szCs w:val="21"/>
              </w:rPr>
              <w:t>桂皮</w:t>
            </w:r>
            <w:r>
              <w:rPr>
                <w:sz w:val="21"/>
                <w:szCs w:val="21"/>
              </w:rPr>
              <w:fldChar w:fldCharType="end"/>
            </w:r>
            <w:r>
              <w:rPr>
                <w:rFonts w:hint="eastAsia"/>
                <w:sz w:val="21"/>
                <w:szCs w:val="21"/>
              </w:rPr>
              <w:t>、</w:t>
            </w:r>
            <w:r>
              <w:fldChar w:fldCharType="begin"/>
            </w:r>
            <w:r>
              <w:instrText xml:space="preserve"> HYPERLINK "https://www.xiachufang.com/category/1708/" </w:instrText>
            </w:r>
            <w:r>
              <w:fldChar w:fldCharType="separate"/>
            </w:r>
            <w:r>
              <w:rPr>
                <w:sz w:val="21"/>
                <w:szCs w:val="21"/>
              </w:rPr>
              <w:t>香叶</w:t>
            </w:r>
            <w:r>
              <w:rPr>
                <w:sz w:val="21"/>
                <w:szCs w:val="21"/>
              </w:rPr>
              <w:fldChar w:fldCharType="end"/>
            </w:r>
            <w:r>
              <w:rPr>
                <w:rFonts w:hint="eastAsia"/>
                <w:sz w:val="21"/>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rFonts w:hint="eastAsia"/>
                <w:sz w:val="21"/>
                <w:szCs w:val="21"/>
              </w:rPr>
              <w:t>5</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食用油</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25kg/桶</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52</w:t>
            </w:r>
            <w:r>
              <w:rPr>
                <w:sz w:val="21"/>
                <w:szCs w:val="21"/>
              </w:rPr>
              <w:t>t/a</w:t>
            </w:r>
          </w:p>
        </w:tc>
        <w:tc>
          <w:tcPr>
            <w:tcW w:w="592" w:type="pct"/>
            <w:vMerge w:val="continue"/>
            <w:tcBorders>
              <w:tl2br w:val="nil"/>
              <w:tr2bl w:val="nil"/>
            </w:tcBorders>
            <w:vAlign w:val="center"/>
          </w:tcPr>
          <w:p>
            <w:pPr>
              <w:spacing w:line="240" w:lineRule="auto"/>
              <w:ind w:firstLine="0" w:firstLineChars="0"/>
              <w:rPr>
                <w:sz w:val="21"/>
                <w:szCs w:val="21"/>
              </w:rPr>
            </w:pP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w:t>
            </w:r>
          </w:p>
        </w:tc>
        <w:tc>
          <w:tcPr>
            <w:tcW w:w="1380" w:type="pct"/>
            <w:tcBorders>
              <w:tl2br w:val="nil"/>
              <w:tr2bl w:val="nil"/>
            </w:tcBorders>
            <w:vAlign w:val="center"/>
          </w:tcPr>
          <w:p>
            <w:pPr>
              <w:spacing w:line="240" w:lineRule="auto"/>
              <w:ind w:firstLine="0" w:firstLineChars="0"/>
              <w:jc w:val="center"/>
              <w:rPr>
                <w:sz w:val="21"/>
                <w:szCs w:val="21"/>
              </w:rPr>
            </w:pPr>
            <w:r>
              <w:rPr>
                <w:rFonts w:hint="eastAsia"/>
                <w:sz w:val="21"/>
                <w:szCs w:val="21"/>
              </w:rPr>
              <w:t>主要以植物油为主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tcBorders>
              <w:tl2br w:val="nil"/>
              <w:tr2bl w:val="nil"/>
            </w:tcBorders>
            <w:vAlign w:val="center"/>
          </w:tcPr>
          <w:p>
            <w:pPr>
              <w:spacing w:line="240" w:lineRule="auto"/>
              <w:ind w:firstLine="0" w:firstLineChars="0"/>
              <w:rPr>
                <w:sz w:val="21"/>
                <w:szCs w:val="21"/>
              </w:rPr>
            </w:pPr>
            <w:r>
              <w:rPr>
                <w:b/>
                <w:bCs/>
                <w:sz w:val="21"/>
                <w:szCs w:val="21"/>
              </w:rPr>
              <w:t>三、</w:t>
            </w:r>
            <w:r>
              <w:rPr>
                <w:rFonts w:hint="eastAsia"/>
                <w:b/>
                <w:bCs/>
                <w:sz w:val="21"/>
                <w:szCs w:val="21"/>
              </w:rPr>
              <w:t>羊肉预制品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3800</w:t>
            </w:r>
            <w:r>
              <w:rPr>
                <w:sz w:val="21"/>
                <w:szCs w:val="21"/>
              </w:rPr>
              <w:t>t/a</w:t>
            </w:r>
          </w:p>
        </w:tc>
        <w:tc>
          <w:tcPr>
            <w:tcW w:w="592" w:type="pct"/>
            <w:tcBorders>
              <w:tl2br w:val="nil"/>
              <w:tr2bl w:val="nil"/>
            </w:tcBorders>
            <w:vAlign w:val="center"/>
          </w:tcPr>
          <w:p>
            <w:pPr>
              <w:spacing w:line="240" w:lineRule="auto"/>
              <w:ind w:firstLine="0" w:firstLineChars="0"/>
              <w:rPr>
                <w:sz w:val="21"/>
                <w:szCs w:val="21"/>
              </w:rPr>
            </w:pPr>
            <w:r>
              <w:rPr>
                <w:rFonts w:hint="eastAsia"/>
                <w:sz w:val="21"/>
                <w:szCs w:val="21"/>
              </w:rPr>
              <w:t>新建冷库</w:t>
            </w: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新建的肉羊屠宰生产线</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羊肉规格一般为羊肉片、羊肉丝、羊肉块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750</w:t>
            </w:r>
            <w:r>
              <w:rPr>
                <w:sz w:val="21"/>
                <w:szCs w:val="21"/>
              </w:rPr>
              <w:t>t/a</w:t>
            </w:r>
          </w:p>
        </w:tc>
        <w:tc>
          <w:tcPr>
            <w:tcW w:w="592"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新建原料暂存间</w:t>
            </w: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外购，固体</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主要有青辣椒、红辣椒、土豆、葱、姜、蒜、萝卜等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调料</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15</w:t>
            </w:r>
            <w:r>
              <w:rPr>
                <w:sz w:val="21"/>
                <w:szCs w:val="21"/>
              </w:rPr>
              <w:t>t/a</w:t>
            </w:r>
          </w:p>
        </w:tc>
        <w:tc>
          <w:tcPr>
            <w:tcW w:w="592" w:type="pct"/>
            <w:vMerge w:val="continue"/>
            <w:tcBorders>
              <w:tl2br w:val="nil"/>
              <w:tr2bl w:val="nil"/>
            </w:tcBorders>
            <w:vAlign w:val="center"/>
          </w:tcPr>
          <w:p>
            <w:pPr>
              <w:spacing w:line="240" w:lineRule="auto"/>
              <w:ind w:firstLine="0" w:firstLineChars="0"/>
              <w:rPr>
                <w:sz w:val="21"/>
                <w:szCs w:val="21"/>
              </w:rPr>
            </w:pP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外购，粉末状/块状</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主要有食盐、胡椒、</w:t>
            </w:r>
            <w:r>
              <w:fldChar w:fldCharType="begin"/>
            </w:r>
            <w:r>
              <w:instrText xml:space="preserve"> HYPERLINK "https://www.xiachufang.com/category/2005/" </w:instrText>
            </w:r>
            <w:r>
              <w:fldChar w:fldCharType="separate"/>
            </w:r>
            <w:r>
              <w:rPr>
                <w:rFonts w:hint="eastAsia"/>
                <w:sz w:val="21"/>
                <w:szCs w:val="21"/>
              </w:rPr>
              <w:t>花椒</w:t>
            </w:r>
            <w:r>
              <w:rPr>
                <w:rFonts w:hint="eastAsia"/>
                <w:sz w:val="21"/>
                <w:szCs w:val="21"/>
              </w:rPr>
              <w:fldChar w:fldCharType="end"/>
            </w:r>
            <w:r>
              <w:rPr>
                <w:rFonts w:hint="eastAsia"/>
                <w:sz w:val="21"/>
                <w:szCs w:val="21"/>
              </w:rPr>
              <w:t>、耗油、酱油、白糖、料酒、辣椒酱、食醋等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rFonts w:hint="eastAsia"/>
                <w:sz w:val="21"/>
                <w:szCs w:val="21"/>
              </w:rPr>
              <w:t>4</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食用油</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25kg/桶</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50</w:t>
            </w:r>
            <w:r>
              <w:rPr>
                <w:sz w:val="21"/>
                <w:szCs w:val="21"/>
              </w:rPr>
              <w:t>t/a</w:t>
            </w:r>
          </w:p>
        </w:tc>
        <w:tc>
          <w:tcPr>
            <w:tcW w:w="592" w:type="pct"/>
            <w:vMerge w:val="continue"/>
            <w:tcBorders>
              <w:tl2br w:val="nil"/>
              <w:tr2bl w:val="nil"/>
            </w:tcBorders>
            <w:vAlign w:val="center"/>
          </w:tcPr>
          <w:p>
            <w:pPr>
              <w:spacing w:line="240" w:lineRule="auto"/>
              <w:ind w:firstLine="0" w:firstLineChars="0"/>
              <w:rPr>
                <w:sz w:val="21"/>
                <w:szCs w:val="21"/>
              </w:rPr>
            </w:pP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外购，液体</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主要以植物油为主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四</w:t>
            </w:r>
            <w:r>
              <w:rPr>
                <w:b/>
                <w:bCs/>
                <w:sz w:val="21"/>
                <w:szCs w:val="21"/>
              </w:rPr>
              <w:t>、</w:t>
            </w:r>
            <w:r>
              <w:rPr>
                <w:rFonts w:hint="eastAsia"/>
                <w:b/>
                <w:bCs/>
                <w:sz w:val="21"/>
                <w:szCs w:val="21"/>
              </w:rPr>
              <w:t>羊杂预制品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红内脏</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592" w:type="pct"/>
            <w:vMerge w:val="restart"/>
            <w:tcBorders>
              <w:tl2br w:val="nil"/>
              <w:tr2bl w:val="nil"/>
            </w:tcBorders>
            <w:vAlign w:val="center"/>
          </w:tcPr>
          <w:p>
            <w:pPr>
              <w:spacing w:line="240" w:lineRule="auto"/>
              <w:ind w:firstLine="0" w:firstLineChars="0"/>
              <w:rPr>
                <w:sz w:val="21"/>
                <w:szCs w:val="21"/>
              </w:rPr>
            </w:pPr>
            <w:r>
              <w:rPr>
                <w:rFonts w:hint="eastAsia"/>
                <w:sz w:val="21"/>
                <w:szCs w:val="21"/>
              </w:rPr>
              <w:t>新建冷库</w:t>
            </w:r>
          </w:p>
        </w:tc>
        <w:tc>
          <w:tcPr>
            <w:tcW w:w="81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新建的肉羊屠宰生产线</w:t>
            </w: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包括羊心、羊肝、羊肺等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白内脏</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w:t>
            </w:r>
          </w:p>
        </w:tc>
        <w:tc>
          <w:tcPr>
            <w:tcW w:w="592" w:type="pct"/>
            <w:vMerge w:val="continue"/>
            <w:tcBorders>
              <w:tl2br w:val="nil"/>
              <w:tr2bl w:val="nil"/>
            </w:tcBorders>
            <w:vAlign w:val="center"/>
          </w:tcPr>
          <w:p>
            <w:pPr>
              <w:spacing w:line="240" w:lineRule="auto"/>
              <w:ind w:firstLine="0" w:firstLineChars="0"/>
              <w:rPr>
                <w:sz w:val="21"/>
                <w:szCs w:val="21"/>
              </w:rPr>
            </w:pPr>
          </w:p>
        </w:tc>
        <w:tc>
          <w:tcPr>
            <w:tcW w:w="818" w:type="pct"/>
            <w:vMerge w:val="continue"/>
            <w:tcBorders>
              <w:tl2br w:val="nil"/>
              <w:tr2bl w:val="nil"/>
            </w:tcBorders>
            <w:vAlign w:val="center"/>
          </w:tcPr>
          <w:p>
            <w:pPr>
              <w:spacing w:line="240" w:lineRule="auto"/>
              <w:ind w:firstLine="0" w:firstLineChars="0"/>
              <w:rPr>
                <w:sz w:val="21"/>
                <w:szCs w:val="21"/>
              </w:rPr>
            </w:pPr>
          </w:p>
        </w:tc>
        <w:tc>
          <w:tcPr>
            <w:tcW w:w="1380" w:type="pct"/>
            <w:tcBorders>
              <w:tl2br w:val="nil"/>
              <w:tr2bl w:val="nil"/>
            </w:tcBorders>
            <w:vAlign w:val="center"/>
          </w:tcPr>
          <w:p>
            <w:pPr>
              <w:spacing w:line="240" w:lineRule="auto"/>
              <w:ind w:firstLine="0" w:firstLineChars="0"/>
              <w:rPr>
                <w:sz w:val="21"/>
                <w:szCs w:val="21"/>
              </w:rPr>
            </w:pPr>
            <w:r>
              <w:rPr>
                <w:rFonts w:hint="eastAsia"/>
                <w:sz w:val="21"/>
                <w:szCs w:val="21"/>
              </w:rPr>
              <w:t>包括羊肚、羊肠等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c>
          <w:tcPr>
            <w:tcW w:w="624" w:type="pct"/>
            <w:tcBorders>
              <w:tl2br w:val="nil"/>
              <w:tr2bl w:val="nil"/>
            </w:tcBorders>
            <w:vAlign w:val="center"/>
          </w:tcPr>
          <w:p>
            <w:pPr>
              <w:spacing w:line="240" w:lineRule="auto"/>
              <w:ind w:firstLine="0" w:firstLineChars="0"/>
              <w:jc w:val="center"/>
              <w:rPr>
                <w:sz w:val="21"/>
                <w:szCs w:val="21"/>
              </w:rPr>
            </w:pPr>
            <w:r>
              <w:rPr>
                <w:rFonts w:hint="eastAsia"/>
                <w:sz w:val="21"/>
                <w:szCs w:val="21"/>
              </w:rPr>
              <w:t>调料</w:t>
            </w:r>
          </w:p>
        </w:tc>
        <w:tc>
          <w:tcPr>
            <w:tcW w:w="538" w:type="pct"/>
            <w:tcBorders>
              <w:tl2br w:val="nil"/>
              <w:tr2bl w:val="nil"/>
            </w:tcBorders>
            <w:vAlign w:val="center"/>
          </w:tcPr>
          <w:p>
            <w:pPr>
              <w:spacing w:line="240" w:lineRule="auto"/>
              <w:ind w:firstLine="0" w:firstLineChars="0"/>
              <w:jc w:val="center"/>
              <w:rPr>
                <w:sz w:val="21"/>
                <w:szCs w:val="21"/>
              </w:rPr>
            </w:pPr>
            <w:r>
              <w:rPr>
                <w:rFonts w:hint="eastAsia"/>
                <w:sz w:val="21"/>
                <w:szCs w:val="21"/>
              </w:rPr>
              <w:t>根据菜品调整</w:t>
            </w:r>
          </w:p>
        </w:tc>
        <w:tc>
          <w:tcPr>
            <w:tcW w:w="647" w:type="pct"/>
            <w:tcBorders>
              <w:tl2br w:val="nil"/>
              <w:tr2bl w:val="nil"/>
            </w:tcBorders>
            <w:vAlign w:val="center"/>
          </w:tcPr>
          <w:p>
            <w:pPr>
              <w:spacing w:line="240" w:lineRule="auto"/>
              <w:ind w:firstLine="0" w:firstLineChars="0"/>
              <w:jc w:val="center"/>
              <w:rPr>
                <w:sz w:val="21"/>
                <w:szCs w:val="21"/>
              </w:rPr>
            </w:pPr>
            <w:r>
              <w:rPr>
                <w:rFonts w:hint="eastAsia"/>
                <w:sz w:val="21"/>
                <w:szCs w:val="21"/>
              </w:rPr>
              <w:t>5</w:t>
            </w:r>
            <w:r>
              <w:rPr>
                <w:sz w:val="21"/>
                <w:szCs w:val="21"/>
              </w:rPr>
              <w:t>t/a</w:t>
            </w:r>
          </w:p>
        </w:tc>
        <w:tc>
          <w:tcPr>
            <w:tcW w:w="592" w:type="pct"/>
            <w:tcBorders>
              <w:tl2br w:val="nil"/>
              <w:tr2bl w:val="nil"/>
            </w:tcBorders>
            <w:vAlign w:val="center"/>
          </w:tcPr>
          <w:p>
            <w:pPr>
              <w:spacing w:line="240" w:lineRule="auto"/>
              <w:ind w:firstLine="0" w:firstLineChars="0"/>
              <w:jc w:val="center"/>
              <w:rPr>
                <w:sz w:val="21"/>
                <w:szCs w:val="21"/>
              </w:rPr>
            </w:pPr>
            <w:r>
              <w:rPr>
                <w:rFonts w:hint="eastAsia"/>
                <w:sz w:val="21"/>
                <w:szCs w:val="21"/>
              </w:rPr>
              <w:t>新建原料暂存间</w:t>
            </w:r>
          </w:p>
        </w:tc>
        <w:tc>
          <w:tcPr>
            <w:tcW w:w="818" w:type="pct"/>
            <w:tcBorders>
              <w:tl2br w:val="nil"/>
              <w:tr2bl w:val="nil"/>
            </w:tcBorders>
            <w:vAlign w:val="center"/>
          </w:tcPr>
          <w:p>
            <w:pPr>
              <w:spacing w:line="240" w:lineRule="auto"/>
              <w:ind w:firstLine="0" w:firstLineChars="0"/>
              <w:jc w:val="center"/>
              <w:rPr>
                <w:sz w:val="21"/>
                <w:szCs w:val="21"/>
              </w:rPr>
            </w:pPr>
            <w:r>
              <w:rPr>
                <w:rFonts w:hint="eastAsia"/>
                <w:sz w:val="21"/>
                <w:szCs w:val="21"/>
              </w:rPr>
              <w:t>外购，粉末状</w:t>
            </w:r>
          </w:p>
        </w:tc>
        <w:tc>
          <w:tcPr>
            <w:tcW w:w="1380" w:type="pct"/>
            <w:tcBorders>
              <w:tl2br w:val="nil"/>
              <w:tr2bl w:val="nil"/>
            </w:tcBorders>
            <w:vAlign w:val="center"/>
          </w:tcPr>
          <w:p>
            <w:pPr>
              <w:spacing w:line="240" w:lineRule="auto"/>
              <w:ind w:firstLine="0" w:firstLineChars="0"/>
              <w:jc w:val="center"/>
              <w:rPr>
                <w:sz w:val="21"/>
                <w:szCs w:val="21"/>
              </w:rPr>
            </w:pPr>
            <w:r>
              <w:rPr>
                <w:rFonts w:hint="eastAsia"/>
                <w:sz w:val="21"/>
                <w:szCs w:val="21"/>
              </w:rPr>
              <w:t>主要有食盐、胡椒、</w:t>
            </w:r>
            <w:r>
              <w:fldChar w:fldCharType="begin"/>
            </w:r>
            <w:r>
              <w:instrText xml:space="preserve"> HYPERLINK "https://www.xiachufang.com/category/2005/" </w:instrText>
            </w:r>
            <w:r>
              <w:fldChar w:fldCharType="separate"/>
            </w:r>
            <w:r>
              <w:rPr>
                <w:rFonts w:hint="eastAsia"/>
                <w:sz w:val="21"/>
                <w:szCs w:val="21"/>
              </w:rPr>
              <w:t>花椒</w:t>
            </w:r>
            <w:r>
              <w:rPr>
                <w:rFonts w:hint="eastAsia"/>
                <w:sz w:val="21"/>
                <w:szCs w:val="21"/>
              </w:rPr>
              <w:fldChar w:fldCharType="end"/>
            </w:r>
            <w:r>
              <w:rPr>
                <w:rFonts w:hint="eastAsia"/>
                <w:sz w:val="21"/>
                <w:szCs w:val="21"/>
              </w:rPr>
              <w:t>、耗油、酱油、白糖、料酒、辣椒酱、食醋等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tcBorders>
              <w:tl2br w:val="nil"/>
              <w:tr2bl w:val="nil"/>
            </w:tcBorders>
            <w:vAlign w:val="center"/>
          </w:tcPr>
          <w:p>
            <w:pPr>
              <w:spacing w:line="240" w:lineRule="auto"/>
              <w:ind w:firstLine="0" w:firstLineChars="0"/>
              <w:rPr>
                <w:sz w:val="21"/>
                <w:szCs w:val="21"/>
              </w:rPr>
            </w:pPr>
            <w:r>
              <w:rPr>
                <w:rFonts w:hint="eastAsia"/>
                <w:sz w:val="21"/>
                <w:szCs w:val="21"/>
              </w:rPr>
              <w:t>备注：牛羊预制品蒸煮及卤制过程中使用的卤料、调料全部为块状，炒制过程使用的调味品为粉末状。</w:t>
            </w:r>
          </w:p>
        </w:tc>
      </w:tr>
    </w:tbl>
    <w:p>
      <w:pPr>
        <w:pStyle w:val="6"/>
        <w:ind w:firstLine="482"/>
        <w:rPr>
          <w:bCs/>
        </w:rPr>
      </w:pPr>
      <w:bookmarkStart w:id="485" w:name="_Toc5762"/>
      <w:r>
        <w:rPr>
          <w:rFonts w:hint="eastAsia"/>
          <w:lang w:val="en-US" w:eastAsia="zh-CN"/>
        </w:rPr>
        <w:t>3</w:t>
      </w:r>
      <w:r>
        <w:rPr>
          <w:rFonts w:hint="eastAsia"/>
        </w:rPr>
        <w:t>.2.6、</w:t>
      </w:r>
      <w:r>
        <w:rPr>
          <w:rFonts w:hint="eastAsia"/>
          <w:lang w:val="en-US" w:eastAsia="zh-CN"/>
        </w:rPr>
        <w:t>拟建</w:t>
      </w:r>
      <w:r>
        <w:t>项目</w:t>
      </w:r>
      <w:r>
        <w:rPr>
          <w:rFonts w:hint="eastAsia"/>
        </w:rPr>
        <w:t>物料平衡</w:t>
      </w:r>
      <w:bookmarkEnd w:id="485"/>
    </w:p>
    <w:p>
      <w:pPr>
        <w:pStyle w:val="7"/>
        <w:ind w:firstLine="482"/>
      </w:pPr>
      <w:r>
        <w:rPr>
          <w:rFonts w:hint="eastAsia"/>
          <w:lang w:val="en-US" w:eastAsia="zh-CN"/>
        </w:rPr>
        <w:t>3</w:t>
      </w:r>
      <w:r>
        <w:rPr>
          <w:rFonts w:hint="eastAsia"/>
        </w:rPr>
        <w:t>.2.6.1、肉羊精深加深生产线物料平衡</w:t>
      </w:r>
    </w:p>
    <w:p>
      <w:pPr>
        <w:bidi w:val="0"/>
        <w:rPr>
          <w:rFonts w:hint="eastAsia"/>
          <w:b/>
          <w:bCs/>
          <w:lang w:val="en-US" w:eastAsia="zh-CN"/>
        </w:rPr>
      </w:pPr>
      <w:r>
        <w:rPr>
          <w:rFonts w:hint="eastAsia"/>
          <w:b/>
          <w:bCs/>
          <w:lang w:val="en-US" w:eastAsia="zh-CN"/>
        </w:rPr>
        <w:t>（1）</w:t>
      </w:r>
      <w:r>
        <w:rPr>
          <w:rFonts w:hint="eastAsia"/>
          <w:b/>
          <w:bCs/>
        </w:rPr>
        <w:t>肉羊在</w:t>
      </w:r>
      <w:r>
        <w:rPr>
          <w:rFonts w:hint="eastAsia"/>
          <w:b/>
          <w:bCs/>
          <w:lang w:val="en-US" w:eastAsia="zh-CN"/>
        </w:rPr>
        <w:t>屠宰、</w:t>
      </w:r>
      <w:r>
        <w:rPr>
          <w:rFonts w:hint="eastAsia"/>
          <w:b/>
          <w:bCs/>
        </w:rPr>
        <w:t>分割时各部分物质产生量及处置去向</w:t>
      </w:r>
    </w:p>
    <w:p>
      <w:pPr>
        <w:bidi w:val="0"/>
        <w:rPr>
          <w:rFonts w:hint="eastAsia"/>
        </w:rPr>
      </w:pPr>
      <w:r>
        <w:rPr>
          <w:rFonts w:hint="eastAsia"/>
          <w:lang w:val="en-US" w:eastAsia="zh-CN"/>
        </w:rPr>
        <w:t>根据建设单位提供的资料，活羊体重按60kg/只计算，</w:t>
      </w:r>
      <w:r>
        <w:rPr>
          <w:rFonts w:hint="eastAsia"/>
        </w:rPr>
        <w:t>肉羊在</w:t>
      </w:r>
      <w:r>
        <w:rPr>
          <w:rFonts w:hint="eastAsia"/>
          <w:lang w:val="en-US" w:eastAsia="zh-CN"/>
        </w:rPr>
        <w:t>屠宰、</w:t>
      </w:r>
      <w:r>
        <w:rPr>
          <w:rFonts w:hint="eastAsia"/>
        </w:rPr>
        <w:t>分割时各部分物质产生量及处置去向详见下图。</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default"/>
          <w:lang w:val="en-US" w:eastAsia="zh-CN"/>
        </w:rPr>
      </w:pPr>
    </w:p>
    <w:p>
      <w:pPr>
        <w:ind w:firstLine="0" w:firstLineChars="0"/>
        <w:jc w:val="center"/>
      </w:pPr>
      <w:r>
        <w:object>
          <v:shape id="_x0000_i1034" o:spt="75" type="#_x0000_t75" style="height:232.05pt;width:486.75pt;" o:ole="t" filled="f" o:preferrelative="t" stroked="f" coordsize="21600,21600">
            <v:path/>
            <v:fill on="f" focussize="0,0"/>
            <v:stroke on="f"/>
            <v:imagedata r:id="rId39" o:title=""/>
            <o:lock v:ext="edit" aspectratio="f"/>
            <w10:wrap type="none"/>
            <w10:anchorlock/>
          </v:shape>
          <o:OLEObject Type="Embed" ProgID="Visio.Drawing.15" ShapeID="_x0000_i1034" DrawAspect="Content" ObjectID="_1468075734" r:id="rId38">
            <o:LockedField>false</o:LockedField>
          </o:OLEObject>
        </w:object>
      </w:r>
    </w:p>
    <w:p>
      <w:pPr>
        <w:ind w:firstLine="482"/>
        <w:jc w:val="center"/>
      </w:pPr>
      <w:r>
        <w:rPr>
          <w:rFonts w:hint="eastAsia"/>
          <w:b/>
          <w:bCs/>
        </w:rPr>
        <w:t>图</w:t>
      </w:r>
      <w:r>
        <w:rPr>
          <w:rFonts w:hint="eastAsia"/>
          <w:b/>
          <w:bCs/>
          <w:lang w:val="en-US" w:eastAsia="zh-CN"/>
        </w:rPr>
        <w:t>3-1</w:t>
      </w:r>
      <w:r>
        <w:rPr>
          <w:rFonts w:hint="eastAsia"/>
          <w:b/>
          <w:bCs/>
        </w:rPr>
        <w:t xml:space="preserve">    肉羊</w:t>
      </w:r>
      <w:r>
        <w:rPr>
          <w:rFonts w:hint="eastAsia"/>
          <w:b/>
          <w:bCs/>
          <w:lang w:val="en-US" w:eastAsia="zh-CN"/>
        </w:rPr>
        <w:t>屠宰、</w:t>
      </w:r>
      <w:r>
        <w:rPr>
          <w:rFonts w:hint="eastAsia"/>
          <w:b/>
          <w:bCs/>
        </w:rPr>
        <w:t>分割时各部分物质产生量及处置去向图  单位：t/a</w:t>
      </w:r>
    </w:p>
    <w:p>
      <w:pPr>
        <w:ind w:firstLine="480"/>
        <w:rPr>
          <w:rFonts w:hint="eastAsia"/>
          <w:b/>
          <w:bCs/>
          <w:lang w:val="en-US" w:eastAsia="zh-CN"/>
        </w:rPr>
      </w:pPr>
      <w:r>
        <w:rPr>
          <w:rFonts w:hint="eastAsia"/>
          <w:b/>
          <w:bCs/>
          <w:lang w:val="en-US" w:eastAsia="zh-CN"/>
        </w:rPr>
        <w:t>（2）</w:t>
      </w:r>
      <w:r>
        <w:rPr>
          <w:rFonts w:hint="eastAsia"/>
          <w:b/>
          <w:bCs/>
        </w:rPr>
        <w:t>肉羊精深加深生产线物料平衡</w:t>
      </w:r>
    </w:p>
    <w:p>
      <w:pPr>
        <w:ind w:firstLine="480"/>
        <w:rPr>
          <w:rFonts w:hint="eastAsia" w:eastAsia="宋体"/>
          <w:lang w:val="en-US" w:eastAsia="zh-CN"/>
        </w:rPr>
      </w:pPr>
      <w:r>
        <w:rPr>
          <w:rFonts w:hint="eastAsia"/>
          <w:lang w:val="en-US" w:eastAsia="zh-CN"/>
        </w:rPr>
        <w:t>由上图可知，</w:t>
      </w:r>
      <w:r>
        <w:rPr>
          <w:rFonts w:hint="eastAsia"/>
        </w:rPr>
        <w:t>肉羊精深加深生产线主要产物有：羊血、白内脏内容物、羊皮、羊头蹄、羊肉屑、羊肉、羊油、羊骨、红内脏、白内脏。</w:t>
      </w:r>
      <w:r>
        <w:rPr>
          <w:rFonts w:hint="eastAsia"/>
          <w:lang w:val="en-US" w:eastAsia="zh-CN"/>
        </w:rPr>
        <w:t>其中：</w:t>
      </w:r>
    </w:p>
    <w:p>
      <w:pPr>
        <w:ind w:firstLine="480"/>
      </w:pPr>
      <w:r>
        <w:rPr>
          <w:rFonts w:hint="eastAsia"/>
        </w:rPr>
        <w:t>白内脏内容物：白内脏内容物是指羊肚、羊肠中的羊粪以及未消化的羊饲料；羊肉屑：羊肉屑是指在羊酮体进行剔骨时产生的碎肉屑；羊肉：羊肉是指剔骨后的羊肉，不含骨头；羊油：羊油是指附着在红白内脏及胴体内腔中的脂肪物质；红内脏：红内脏主要是指羊心、羊肝、羊肺等；白内脏：白内脏主要是指羊肚、羊肠等。</w:t>
      </w:r>
      <w:r>
        <w:rPr>
          <w:rFonts w:hint="eastAsia"/>
          <w:lang w:val="en-US" w:eastAsia="zh-CN"/>
        </w:rPr>
        <w:t>肉羊精深加深生产线</w:t>
      </w:r>
      <w:r>
        <w:rPr>
          <w:rFonts w:hint="eastAsia"/>
        </w:rPr>
        <w:t>肉羊屠宰过程物料平衡表详见下表</w:t>
      </w:r>
    </w:p>
    <w:p>
      <w:pPr>
        <w:spacing w:line="240" w:lineRule="auto"/>
        <w:ind w:firstLine="482"/>
        <w:jc w:val="center"/>
        <w:rPr>
          <w:b/>
          <w:bCs/>
        </w:rPr>
      </w:pPr>
      <w:r>
        <w:rPr>
          <w:rFonts w:hint="eastAsia"/>
          <w:b/>
          <w:bCs/>
        </w:rPr>
        <w:t>表</w:t>
      </w:r>
      <w:r>
        <w:rPr>
          <w:rFonts w:hint="eastAsia"/>
          <w:b/>
          <w:bCs/>
          <w:lang w:val="en-US" w:eastAsia="zh-CN"/>
        </w:rPr>
        <w:t>3.7</w:t>
      </w:r>
      <w:r>
        <w:rPr>
          <w:rFonts w:hint="eastAsia"/>
          <w:b/>
          <w:bCs/>
        </w:rPr>
        <w:t xml:space="preserve">    肉羊精深加深生产线物料平衡表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0"/>
        <w:gridCol w:w="1578"/>
        <w:gridCol w:w="1999"/>
        <w:gridCol w:w="3149"/>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1795"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投入</w:t>
            </w:r>
          </w:p>
        </w:tc>
        <w:tc>
          <w:tcPr>
            <w:tcW w:w="2632"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ind w:firstLine="422"/>
              <w:jc w:val="center"/>
              <w:rPr>
                <w:b/>
                <w:bCs/>
                <w:sz w:val="21"/>
                <w:szCs w:val="21"/>
              </w:rPr>
            </w:pPr>
          </w:p>
        </w:tc>
        <w:tc>
          <w:tcPr>
            <w:tcW w:w="792"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1003" w:type="pct"/>
            <w:tcBorders>
              <w:tl2br w:val="nil"/>
              <w:tr2bl w:val="nil"/>
            </w:tcBorders>
            <w:vAlign w:val="center"/>
          </w:tcPr>
          <w:p>
            <w:pPr>
              <w:spacing w:line="240" w:lineRule="auto"/>
              <w:ind w:firstLine="0" w:firstLineChars="0"/>
              <w:jc w:val="center"/>
              <w:rPr>
                <w:b/>
                <w:bCs/>
                <w:sz w:val="21"/>
                <w:szCs w:val="21"/>
              </w:rPr>
            </w:pPr>
            <w:r>
              <w:rPr>
                <w:b/>
                <w:bCs/>
                <w:sz w:val="21"/>
                <w:szCs w:val="21"/>
              </w:rPr>
              <w:t>用量</w:t>
            </w:r>
          </w:p>
        </w:tc>
        <w:tc>
          <w:tcPr>
            <w:tcW w:w="1580"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1051" w:type="pct"/>
            <w:tcBorders>
              <w:tl2br w:val="nil"/>
              <w:tr2bl w:val="nil"/>
            </w:tcBorders>
            <w:vAlign w:val="center"/>
          </w:tcPr>
          <w:p>
            <w:pPr>
              <w:spacing w:line="240" w:lineRule="auto"/>
              <w:ind w:firstLine="0" w:firstLineChars="0"/>
              <w:jc w:val="center"/>
              <w:rPr>
                <w:b/>
                <w:bCs/>
                <w:sz w:val="21"/>
                <w:szCs w:val="21"/>
              </w:rPr>
            </w:pPr>
            <w:r>
              <w:rPr>
                <w:b/>
                <w:bCs/>
                <w:sz w:val="21"/>
                <w:szCs w:val="21"/>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72"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肉羊精深加工生产线</w:t>
            </w: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36000t/a</w:t>
            </w: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14900t/a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羊油</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1080t/a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羊骨</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3000t/a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红内脏</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3430t/a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白内脏</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4100t/a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羊血</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1040t/a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白内脏内容物</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2550t/a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羊皮</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1698.4t/a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羊头蹄（烫漂后）</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2874t/a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羊头蹄烫漂固废</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426t/a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羊肉屑</w:t>
            </w:r>
          </w:p>
        </w:tc>
        <w:tc>
          <w:tcPr>
            <w:tcW w:w="1051" w:type="pct"/>
            <w:tcBorders>
              <w:tl2br w:val="nil"/>
              <w:tr2bl w:val="nil"/>
            </w:tcBorders>
            <w:vAlign w:val="center"/>
          </w:tcPr>
          <w:p>
            <w:pPr>
              <w:tabs>
                <w:tab w:val="left" w:pos="445"/>
              </w:tabs>
              <w:spacing w:line="240" w:lineRule="auto"/>
              <w:ind w:firstLine="0" w:firstLineChars="0"/>
              <w:jc w:val="center"/>
              <w:rPr>
                <w:sz w:val="21"/>
                <w:szCs w:val="21"/>
              </w:rPr>
            </w:pPr>
            <w:r>
              <w:rPr>
                <w:rFonts w:hint="eastAsia"/>
                <w:sz w:val="21"/>
                <w:szCs w:val="21"/>
              </w:rPr>
              <w:t>100t/a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羊尿液</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486t/a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羊粪</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312t/a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病死羊</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3.6t/a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合计</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36000t/a</w:t>
            </w:r>
          </w:p>
        </w:tc>
        <w:tc>
          <w:tcPr>
            <w:tcW w:w="1580"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051" w:type="pct"/>
            <w:tcBorders>
              <w:tl2br w:val="nil"/>
              <w:tr2bl w:val="nil"/>
            </w:tcBorders>
            <w:vAlign w:val="center"/>
          </w:tcPr>
          <w:p>
            <w:pPr>
              <w:spacing w:line="240" w:lineRule="auto"/>
              <w:ind w:firstLine="0" w:firstLineChars="0"/>
              <w:jc w:val="center"/>
              <w:rPr>
                <w:sz w:val="21"/>
                <w:szCs w:val="21"/>
              </w:rPr>
            </w:pPr>
            <w:r>
              <w:rPr>
                <w:rFonts w:hint="eastAsia"/>
                <w:sz w:val="21"/>
                <w:szCs w:val="21"/>
              </w:rPr>
              <w:t>36000t/a</w:t>
            </w:r>
          </w:p>
        </w:tc>
      </w:tr>
    </w:tbl>
    <w:p>
      <w:pPr>
        <w:ind w:firstLine="0" w:firstLineChars="0"/>
        <w:jc w:val="center"/>
        <w:rPr>
          <w:rFonts w:hint="eastAsia"/>
        </w:rPr>
      </w:pPr>
      <w:r>
        <w:rPr>
          <w:rFonts w:hint="eastAsia"/>
        </w:rPr>
        <w:object>
          <v:shape id="_x0000_i1035" o:spt="75" type="#_x0000_t75" style="height:618.55pt;width:433.2pt;" o:ole="t" filled="f" o:preferrelative="t" stroked="f" coordsize="21600,21600">
            <v:path/>
            <v:fill on="f" focussize="0,0"/>
            <v:stroke on="f"/>
            <v:imagedata r:id="rId41" o:title=""/>
            <o:lock v:ext="edit" aspectratio="f"/>
            <w10:wrap type="none"/>
            <w10:anchorlock/>
          </v:shape>
          <o:OLEObject Type="Embed" ProgID="Visio.Drawing.15" ShapeID="_x0000_i1035" DrawAspect="Content" ObjectID="_1468075735" r:id="rId40">
            <o:LockedField>false</o:LockedField>
          </o:OLEObject>
        </w:object>
      </w:r>
    </w:p>
    <w:p>
      <w:pPr>
        <w:ind w:firstLine="0" w:firstLineChars="0"/>
        <w:jc w:val="center"/>
      </w:pPr>
      <w:r>
        <w:rPr>
          <w:rFonts w:hint="eastAsia"/>
          <w:b/>
          <w:bCs/>
        </w:rPr>
        <w:t>图</w:t>
      </w:r>
      <w:r>
        <w:rPr>
          <w:rFonts w:hint="eastAsia"/>
          <w:b/>
          <w:bCs/>
          <w:lang w:val="en-US" w:eastAsia="zh-CN"/>
        </w:rPr>
        <w:t>3</w:t>
      </w:r>
      <w:r>
        <w:rPr>
          <w:rFonts w:hint="eastAsia"/>
          <w:b/>
          <w:bCs/>
        </w:rPr>
        <w:t>-2    肉羊精深加工生产线物料平衡图  单位t/a</w:t>
      </w:r>
    </w:p>
    <w:p>
      <w:pPr>
        <w:pStyle w:val="7"/>
        <w:ind w:firstLine="482"/>
      </w:pPr>
      <w:r>
        <w:rPr>
          <w:rFonts w:hint="eastAsia"/>
          <w:lang w:val="en-US" w:eastAsia="zh-CN"/>
        </w:rPr>
        <w:t>3</w:t>
      </w:r>
      <w:r>
        <w:rPr>
          <w:rFonts w:hint="eastAsia"/>
        </w:rPr>
        <w:t>.2.6.2、牛肉预制品生产线物料平衡</w:t>
      </w:r>
    </w:p>
    <w:p>
      <w:pPr>
        <w:ind w:firstLine="480"/>
      </w:pPr>
      <w:r>
        <w:rPr>
          <w:rFonts w:hint="eastAsia"/>
        </w:rPr>
        <w:t>牛肉预制品是指将牛肉、蔬菜等通过中央厨房加工成的成品或半成品菜，生产过程中的物料平衡详见下表。酱卤及蒸煮固废是指在牛肉预制品生产过程中产生的血沫、浮油以及在卤制、蒸煮过程中产生的废卤料、废调料等。具体的物料平衡详见下表。</w:t>
      </w:r>
    </w:p>
    <w:p>
      <w:pPr>
        <w:spacing w:line="240" w:lineRule="auto"/>
        <w:ind w:firstLine="482"/>
        <w:jc w:val="center"/>
        <w:rPr>
          <w:b/>
          <w:bCs/>
        </w:rPr>
      </w:pPr>
      <w:r>
        <w:rPr>
          <w:rFonts w:hint="eastAsia"/>
          <w:b/>
          <w:bCs/>
        </w:rPr>
        <w:t>表2.</w:t>
      </w:r>
      <w:r>
        <w:rPr>
          <w:rFonts w:hint="eastAsia"/>
          <w:b/>
          <w:bCs/>
          <w:lang w:val="en-US" w:eastAsia="zh-CN"/>
        </w:rPr>
        <w:t>8</w:t>
      </w:r>
      <w:r>
        <w:rPr>
          <w:rFonts w:hint="eastAsia"/>
          <w:b/>
          <w:bCs/>
        </w:rPr>
        <w:t xml:space="preserve">    </w:t>
      </w:r>
      <w:commentRangeStart w:id="0"/>
      <w:r>
        <w:rPr>
          <w:rFonts w:hint="eastAsia"/>
          <w:b/>
          <w:bCs/>
        </w:rPr>
        <w:t>牛肉预制品物料平衡表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578"/>
        <w:gridCol w:w="1442"/>
        <w:gridCol w:w="4041"/>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151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投入</w:t>
            </w:r>
          </w:p>
        </w:tc>
        <w:tc>
          <w:tcPr>
            <w:tcW w:w="2915"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产出</w:t>
            </w:r>
          </w:p>
        </w:tc>
      </w:tr>
      <w:commentRange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b/>
                <w:bCs/>
                <w:sz w:val="21"/>
                <w:szCs w:val="21"/>
              </w:rPr>
            </w:pPr>
            <w:r>
              <w:rPr>
                <w:rStyle w:val="37"/>
              </w:rPr>
              <w:commentReference w:id="0"/>
            </w:r>
          </w:p>
        </w:tc>
        <w:tc>
          <w:tcPr>
            <w:tcW w:w="792"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724" w:type="pct"/>
            <w:tcBorders>
              <w:tl2br w:val="nil"/>
              <w:tr2bl w:val="nil"/>
            </w:tcBorders>
            <w:vAlign w:val="center"/>
          </w:tcPr>
          <w:p>
            <w:pPr>
              <w:spacing w:line="240" w:lineRule="auto"/>
              <w:ind w:firstLine="0" w:firstLineChars="0"/>
              <w:jc w:val="center"/>
              <w:rPr>
                <w:b/>
                <w:bCs/>
                <w:sz w:val="21"/>
                <w:szCs w:val="21"/>
              </w:rPr>
            </w:pPr>
            <w:r>
              <w:rPr>
                <w:b/>
                <w:bCs/>
                <w:sz w:val="21"/>
                <w:szCs w:val="21"/>
              </w:rPr>
              <w:t>用量</w:t>
            </w:r>
          </w:p>
        </w:tc>
        <w:tc>
          <w:tcPr>
            <w:tcW w:w="2028"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887" w:type="pct"/>
            <w:tcBorders>
              <w:tl2br w:val="nil"/>
              <w:tr2bl w:val="nil"/>
            </w:tcBorders>
            <w:vAlign w:val="center"/>
          </w:tcPr>
          <w:p>
            <w:pPr>
              <w:spacing w:line="240" w:lineRule="auto"/>
              <w:ind w:firstLine="0" w:firstLineChars="0"/>
              <w:jc w:val="center"/>
              <w:rPr>
                <w:b/>
                <w:bCs/>
                <w:sz w:val="21"/>
                <w:szCs w:val="21"/>
              </w:rPr>
            </w:pPr>
            <w:r>
              <w:rPr>
                <w:b/>
                <w:bCs/>
                <w:sz w:val="21"/>
                <w:szCs w:val="21"/>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restart"/>
            <w:tcBorders>
              <w:tl2br w:val="nil"/>
              <w:tr2bl w:val="nil"/>
            </w:tcBorders>
            <w:vAlign w:val="center"/>
          </w:tcPr>
          <w:p>
            <w:pPr>
              <w:spacing w:line="240" w:lineRule="auto"/>
              <w:ind w:firstLine="0" w:firstLineChars="0"/>
              <w:jc w:val="center"/>
              <w:rPr>
                <w:sz w:val="21"/>
                <w:szCs w:val="21"/>
              </w:rPr>
            </w:pPr>
            <w:r>
              <w:rPr>
                <w:sz w:val="21"/>
                <w:szCs w:val="21"/>
              </w:rPr>
              <w:t>牛肉</w:t>
            </w:r>
          </w:p>
          <w:p>
            <w:pPr>
              <w:spacing w:line="240" w:lineRule="auto"/>
              <w:ind w:firstLine="0" w:firstLineChars="0"/>
              <w:jc w:val="center"/>
              <w:rPr>
                <w:sz w:val="21"/>
                <w:szCs w:val="21"/>
              </w:rPr>
            </w:pPr>
            <w:r>
              <w:rPr>
                <w:sz w:val="21"/>
                <w:szCs w:val="21"/>
              </w:rPr>
              <w:t>预制品</w:t>
            </w: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牛肉</w:t>
            </w:r>
          </w:p>
        </w:tc>
        <w:tc>
          <w:tcPr>
            <w:tcW w:w="724" w:type="pct"/>
            <w:tcBorders>
              <w:tl2br w:val="nil"/>
              <w:tr2bl w:val="nil"/>
            </w:tcBorders>
            <w:vAlign w:val="center"/>
          </w:tcPr>
          <w:p>
            <w:pPr>
              <w:spacing w:line="240" w:lineRule="auto"/>
              <w:ind w:firstLine="0" w:firstLineChars="0"/>
              <w:jc w:val="center"/>
              <w:rPr>
                <w:sz w:val="21"/>
                <w:szCs w:val="21"/>
              </w:rPr>
            </w:pPr>
            <w:r>
              <w:rPr>
                <w:rFonts w:hint="eastAsia"/>
                <w:sz w:val="21"/>
                <w:szCs w:val="21"/>
              </w:rPr>
              <w:t>6800t/a</w:t>
            </w: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酱卤类预制品</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2800t/a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w:t>
            </w:r>
          </w:p>
        </w:tc>
        <w:tc>
          <w:tcPr>
            <w:tcW w:w="724" w:type="pct"/>
            <w:tcBorders>
              <w:tl2br w:val="nil"/>
              <w:tr2bl w:val="nil"/>
            </w:tcBorders>
            <w:vAlign w:val="center"/>
          </w:tcPr>
          <w:p>
            <w:pPr>
              <w:spacing w:line="240" w:lineRule="auto"/>
              <w:ind w:firstLine="0" w:firstLineChars="0"/>
              <w:jc w:val="center"/>
              <w:rPr>
                <w:sz w:val="21"/>
                <w:szCs w:val="21"/>
              </w:rPr>
            </w:pPr>
            <w:r>
              <w:rPr>
                <w:rFonts w:hint="eastAsia"/>
                <w:sz w:val="21"/>
                <w:szCs w:val="21"/>
              </w:rPr>
              <w:t>1750t/a</w:t>
            </w: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蒸煮类预制品</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2100t/a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调料</w:t>
            </w:r>
          </w:p>
        </w:tc>
        <w:tc>
          <w:tcPr>
            <w:tcW w:w="724" w:type="pct"/>
            <w:tcBorders>
              <w:tl2br w:val="nil"/>
              <w:tr2bl w:val="nil"/>
            </w:tcBorders>
            <w:vAlign w:val="center"/>
          </w:tcPr>
          <w:p>
            <w:pPr>
              <w:spacing w:line="240" w:lineRule="auto"/>
              <w:ind w:firstLine="0" w:firstLineChars="0"/>
              <w:jc w:val="center"/>
              <w:rPr>
                <w:sz w:val="21"/>
                <w:szCs w:val="21"/>
              </w:rPr>
            </w:pPr>
            <w:r>
              <w:rPr>
                <w:rFonts w:hint="eastAsia"/>
                <w:sz w:val="21"/>
                <w:szCs w:val="21"/>
              </w:rPr>
              <w:t>30t/a</w:t>
            </w: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炒制类预制品</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2100t/a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卤料</w:t>
            </w:r>
          </w:p>
        </w:tc>
        <w:tc>
          <w:tcPr>
            <w:tcW w:w="724" w:type="pct"/>
            <w:tcBorders>
              <w:tl2br w:val="nil"/>
              <w:tr2bl w:val="nil"/>
            </w:tcBorders>
            <w:vAlign w:val="center"/>
          </w:tcPr>
          <w:p>
            <w:pPr>
              <w:spacing w:line="240" w:lineRule="auto"/>
              <w:ind w:firstLine="0" w:firstLineChars="0"/>
              <w:jc w:val="center"/>
              <w:rPr>
                <w:sz w:val="21"/>
                <w:szCs w:val="21"/>
              </w:rPr>
            </w:pPr>
            <w:r>
              <w:rPr>
                <w:rFonts w:hint="eastAsia"/>
                <w:sz w:val="21"/>
                <w:szCs w:val="21"/>
              </w:rPr>
              <w:t>45t/a</w:t>
            </w: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牛肉自身水损失量</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1018t/a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食用油</w:t>
            </w:r>
          </w:p>
        </w:tc>
        <w:tc>
          <w:tcPr>
            <w:tcW w:w="724" w:type="pct"/>
            <w:tcBorders>
              <w:tl2br w:val="nil"/>
              <w:tr2bl w:val="nil"/>
            </w:tcBorders>
            <w:vAlign w:val="center"/>
          </w:tcPr>
          <w:p>
            <w:pPr>
              <w:spacing w:line="240" w:lineRule="auto"/>
              <w:ind w:firstLine="0" w:firstLineChars="0"/>
              <w:jc w:val="center"/>
              <w:rPr>
                <w:sz w:val="21"/>
                <w:szCs w:val="21"/>
              </w:rPr>
            </w:pPr>
            <w:r>
              <w:rPr>
                <w:rFonts w:hint="eastAsia"/>
                <w:sz w:val="21"/>
                <w:szCs w:val="21"/>
              </w:rPr>
              <w:t>52t/a</w:t>
            </w: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蔬菜水分损失量</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350t/a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724" w:type="pct"/>
            <w:tcBorders>
              <w:tl2br w:val="nil"/>
              <w:tr2bl w:val="nil"/>
            </w:tcBorders>
            <w:vAlign w:val="center"/>
          </w:tcPr>
          <w:p>
            <w:pPr>
              <w:spacing w:line="240" w:lineRule="auto"/>
              <w:ind w:firstLine="0" w:firstLineChars="0"/>
              <w:jc w:val="center"/>
              <w:rPr>
                <w:sz w:val="21"/>
                <w:szCs w:val="21"/>
              </w:rPr>
            </w:pP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择菜固废</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171.5t/a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724" w:type="pct"/>
            <w:tcBorders>
              <w:tl2br w:val="nil"/>
              <w:tr2bl w:val="nil"/>
            </w:tcBorders>
            <w:vAlign w:val="center"/>
          </w:tcPr>
          <w:p>
            <w:pPr>
              <w:spacing w:line="240" w:lineRule="auto"/>
              <w:ind w:firstLine="0" w:firstLineChars="0"/>
              <w:jc w:val="center"/>
              <w:rPr>
                <w:sz w:val="21"/>
                <w:szCs w:val="21"/>
              </w:rPr>
            </w:pP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烹饪油烟</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1.54t/a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724" w:type="pct"/>
            <w:tcBorders>
              <w:tl2br w:val="nil"/>
              <w:tr2bl w:val="nil"/>
            </w:tcBorders>
            <w:vAlign w:val="center"/>
          </w:tcPr>
          <w:p>
            <w:pPr>
              <w:spacing w:line="240" w:lineRule="auto"/>
              <w:ind w:firstLine="0" w:firstLineChars="0"/>
              <w:jc w:val="center"/>
              <w:rPr>
                <w:sz w:val="21"/>
                <w:szCs w:val="21"/>
              </w:rPr>
            </w:pP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酱卤及蒸煮固废</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127.89t/a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p>
        </w:tc>
        <w:tc>
          <w:tcPr>
            <w:tcW w:w="724" w:type="pct"/>
            <w:tcBorders>
              <w:tl2br w:val="nil"/>
              <w:tr2bl w:val="nil"/>
            </w:tcBorders>
            <w:vAlign w:val="center"/>
          </w:tcPr>
          <w:p>
            <w:pPr>
              <w:spacing w:line="240" w:lineRule="auto"/>
              <w:ind w:firstLine="0" w:firstLineChars="0"/>
              <w:jc w:val="center"/>
              <w:rPr>
                <w:sz w:val="21"/>
                <w:szCs w:val="21"/>
              </w:rPr>
            </w:pPr>
          </w:p>
        </w:tc>
        <w:tc>
          <w:tcPr>
            <w:tcW w:w="2028"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废包装</w:t>
            </w: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8.07t/a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 w:type="pct"/>
            <w:vMerge w:val="continue"/>
            <w:tcBorders>
              <w:tl2br w:val="nil"/>
              <w:tr2bl w:val="nil"/>
            </w:tcBorders>
            <w:vAlign w:val="center"/>
          </w:tcPr>
          <w:p>
            <w:pPr>
              <w:spacing w:line="240" w:lineRule="auto"/>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rFonts w:hint="eastAsia"/>
                <w:sz w:val="21"/>
                <w:szCs w:val="21"/>
              </w:rPr>
              <w:t>合计</w:t>
            </w:r>
          </w:p>
        </w:tc>
        <w:tc>
          <w:tcPr>
            <w:tcW w:w="724" w:type="pct"/>
            <w:tcBorders>
              <w:tl2br w:val="nil"/>
              <w:tr2bl w:val="nil"/>
            </w:tcBorders>
            <w:vAlign w:val="center"/>
          </w:tcPr>
          <w:p>
            <w:pPr>
              <w:spacing w:line="240" w:lineRule="auto"/>
              <w:ind w:firstLine="0" w:firstLineChars="0"/>
              <w:jc w:val="center"/>
              <w:rPr>
                <w:sz w:val="21"/>
                <w:szCs w:val="21"/>
              </w:rPr>
            </w:pPr>
            <w:r>
              <w:rPr>
                <w:rFonts w:hint="eastAsia"/>
                <w:sz w:val="21"/>
                <w:szCs w:val="21"/>
              </w:rPr>
              <w:t>8677t/a</w:t>
            </w:r>
          </w:p>
        </w:tc>
        <w:tc>
          <w:tcPr>
            <w:tcW w:w="2028" w:type="pct"/>
            <w:tcBorders>
              <w:tl2br w:val="nil"/>
              <w:tr2bl w:val="nil"/>
            </w:tcBorders>
            <w:vAlign w:val="center"/>
          </w:tcPr>
          <w:p>
            <w:pPr>
              <w:spacing w:line="240" w:lineRule="auto"/>
              <w:ind w:firstLine="0" w:firstLineChars="0"/>
              <w:jc w:val="center"/>
              <w:rPr>
                <w:sz w:val="21"/>
                <w:szCs w:val="21"/>
              </w:rPr>
            </w:pPr>
          </w:p>
        </w:tc>
        <w:tc>
          <w:tcPr>
            <w:tcW w:w="887" w:type="pct"/>
            <w:tcBorders>
              <w:tl2br w:val="nil"/>
              <w:tr2bl w:val="nil"/>
            </w:tcBorders>
            <w:vAlign w:val="center"/>
          </w:tcPr>
          <w:p>
            <w:pPr>
              <w:spacing w:line="240" w:lineRule="auto"/>
              <w:ind w:firstLine="0" w:firstLineChars="0"/>
              <w:jc w:val="center"/>
              <w:rPr>
                <w:sz w:val="21"/>
                <w:szCs w:val="21"/>
              </w:rPr>
            </w:pPr>
            <w:r>
              <w:rPr>
                <w:rFonts w:hint="eastAsia"/>
                <w:sz w:val="21"/>
                <w:szCs w:val="21"/>
              </w:rPr>
              <w:t>8677t/a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l2br w:val="nil"/>
              <w:tr2bl w:val="nil"/>
            </w:tcBorders>
            <w:vAlign w:val="center"/>
          </w:tcPr>
          <w:p>
            <w:pPr>
              <w:spacing w:line="240" w:lineRule="auto"/>
              <w:ind w:firstLine="0" w:firstLineChars="0"/>
              <w:rPr>
                <w:sz w:val="21"/>
                <w:szCs w:val="21"/>
              </w:rPr>
            </w:pPr>
            <w:r>
              <w:rPr>
                <w:rFonts w:hint="eastAsia"/>
                <w:sz w:val="21"/>
                <w:szCs w:val="21"/>
              </w:rPr>
              <w:t>注：</w:t>
            </w:r>
            <w:r>
              <w:rPr>
                <w:rFonts w:hint="eastAsia"/>
                <w:sz w:val="21"/>
                <w:szCs w:val="21"/>
                <w:lang w:val="en-US" w:eastAsia="zh-CN"/>
              </w:rPr>
              <w:t>根据建设单位提供的资料，</w:t>
            </w:r>
            <w:r>
              <w:rPr>
                <w:rFonts w:hint="eastAsia"/>
                <w:sz w:val="21"/>
                <w:szCs w:val="21"/>
              </w:rPr>
              <w:t>1kg鲜牛肉加工为熟牛肉约剩余0.85kg；1kg鲜蔬菜加工为熟蔬菜约剩余0.80kg；冷冻牛肉外包装（保鲜膜）约占牛肉使用量的0.1%，调料、卤料外包装也大约为调料、卤料用量的1%。</w:t>
            </w:r>
          </w:p>
        </w:tc>
      </w:tr>
    </w:tbl>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ind w:firstLine="0" w:firstLineChars="0"/>
        <w:jc w:val="center"/>
      </w:pPr>
      <w:r>
        <w:object>
          <v:shape id="_x0000_i1036" o:spt="75" type="#_x0000_t75" style="height:482.75pt;width:447.5pt;" o:ole="t" filled="f" o:preferrelative="t" stroked="f" coordsize="21600,21600">
            <v:path/>
            <v:fill on="f" focussize="0,0"/>
            <v:stroke on="f"/>
            <v:imagedata r:id="rId43" o:title=""/>
            <o:lock v:ext="edit" aspectratio="f"/>
            <w10:wrap type="none"/>
            <w10:anchorlock/>
          </v:shape>
          <o:OLEObject Type="Embed" ProgID="Visio.Drawing.15" ShapeID="_x0000_i1036" DrawAspect="Content" ObjectID="_1468075736" r:id="rId42">
            <o:LockedField>false</o:LockedField>
          </o:OLEObject>
        </w:object>
      </w:r>
    </w:p>
    <w:p>
      <w:pPr>
        <w:ind w:firstLine="0" w:firstLineChars="0"/>
        <w:jc w:val="center"/>
        <w:rPr>
          <w:b/>
          <w:bCs/>
        </w:rPr>
      </w:pPr>
      <w:r>
        <w:rPr>
          <w:rFonts w:hint="eastAsia"/>
          <w:b/>
          <w:bCs/>
        </w:rPr>
        <w:t>图</w:t>
      </w:r>
      <w:r>
        <w:rPr>
          <w:rFonts w:hint="eastAsia"/>
          <w:b/>
          <w:bCs/>
          <w:lang w:val="en-US" w:eastAsia="zh-CN"/>
        </w:rPr>
        <w:t>3</w:t>
      </w:r>
      <w:r>
        <w:rPr>
          <w:rFonts w:hint="eastAsia"/>
          <w:b/>
          <w:bCs/>
        </w:rPr>
        <w:t>-</w:t>
      </w:r>
      <w:r>
        <w:rPr>
          <w:rFonts w:hint="eastAsia"/>
          <w:b/>
          <w:bCs/>
          <w:lang w:val="en-US" w:eastAsia="zh-CN"/>
        </w:rPr>
        <w:t>3</w:t>
      </w:r>
      <w:r>
        <w:rPr>
          <w:rFonts w:hint="eastAsia"/>
          <w:b/>
          <w:bCs/>
        </w:rPr>
        <w:t xml:space="preserve">    牛肉预制品物料平衡图  单位t/a</w:t>
      </w:r>
    </w:p>
    <w:p>
      <w:pPr>
        <w:pStyle w:val="7"/>
        <w:ind w:firstLine="482"/>
      </w:pPr>
      <w:r>
        <w:rPr>
          <w:rFonts w:hint="eastAsia"/>
          <w:lang w:val="en-US" w:eastAsia="zh-CN"/>
        </w:rPr>
        <w:t>3</w:t>
      </w:r>
      <w:r>
        <w:rPr>
          <w:rFonts w:hint="eastAsia"/>
        </w:rPr>
        <w:t>.2.6.3、羊肉预制品物料平衡</w:t>
      </w:r>
    </w:p>
    <w:p>
      <w:pPr>
        <w:spacing w:line="240" w:lineRule="auto"/>
        <w:ind w:firstLine="482"/>
        <w:jc w:val="center"/>
        <w:rPr>
          <w:b/>
          <w:bCs/>
          <w:color w:val="FF0000"/>
        </w:rPr>
      </w:pPr>
      <w:r>
        <w:rPr>
          <w:rFonts w:hint="eastAsia"/>
          <w:b/>
          <w:bCs/>
        </w:rPr>
        <w:t>表2.</w:t>
      </w:r>
      <w:r>
        <w:rPr>
          <w:rFonts w:hint="eastAsia"/>
          <w:b/>
          <w:bCs/>
          <w:lang w:val="en-US" w:eastAsia="zh-CN"/>
        </w:rPr>
        <w:t>9</w:t>
      </w:r>
      <w:r>
        <w:rPr>
          <w:rFonts w:hint="eastAsia"/>
          <w:b/>
          <w:bCs/>
        </w:rPr>
        <w:t xml:space="preserve">    羊肉预制品物料平衡表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1572"/>
        <w:gridCol w:w="2000"/>
        <w:gridCol w:w="3277"/>
        <w:gridCol w:w="1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1793"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投入</w:t>
            </w:r>
          </w:p>
        </w:tc>
        <w:tc>
          <w:tcPr>
            <w:tcW w:w="2638"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ind w:firstLine="422"/>
              <w:jc w:val="center"/>
              <w:rPr>
                <w:b/>
                <w:bCs/>
                <w:sz w:val="21"/>
                <w:szCs w:val="21"/>
              </w:rPr>
            </w:pPr>
          </w:p>
        </w:tc>
        <w:tc>
          <w:tcPr>
            <w:tcW w:w="789"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1003" w:type="pct"/>
            <w:tcBorders>
              <w:tl2br w:val="nil"/>
              <w:tr2bl w:val="nil"/>
            </w:tcBorders>
            <w:vAlign w:val="center"/>
          </w:tcPr>
          <w:p>
            <w:pPr>
              <w:spacing w:line="240" w:lineRule="auto"/>
              <w:ind w:firstLine="0" w:firstLineChars="0"/>
              <w:jc w:val="center"/>
              <w:rPr>
                <w:b/>
                <w:bCs/>
                <w:sz w:val="21"/>
                <w:szCs w:val="21"/>
              </w:rPr>
            </w:pPr>
            <w:r>
              <w:rPr>
                <w:b/>
                <w:bCs/>
                <w:sz w:val="21"/>
                <w:szCs w:val="21"/>
              </w:rPr>
              <w:t>用量</w:t>
            </w:r>
          </w:p>
        </w:tc>
        <w:tc>
          <w:tcPr>
            <w:tcW w:w="1645"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993" w:type="pct"/>
            <w:tcBorders>
              <w:tl2br w:val="nil"/>
              <w:tr2bl w:val="nil"/>
            </w:tcBorders>
            <w:vAlign w:val="center"/>
          </w:tcPr>
          <w:p>
            <w:pPr>
              <w:spacing w:line="240" w:lineRule="auto"/>
              <w:ind w:firstLine="0" w:firstLineChars="0"/>
              <w:jc w:val="center"/>
              <w:rPr>
                <w:b/>
                <w:bCs/>
                <w:sz w:val="21"/>
                <w:szCs w:val="21"/>
              </w:rPr>
            </w:pPr>
            <w:r>
              <w:rPr>
                <w:b/>
                <w:bCs/>
                <w:sz w:val="21"/>
                <w:szCs w:val="21"/>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restart"/>
            <w:tcBorders>
              <w:tl2br w:val="nil"/>
              <w:tr2bl w:val="nil"/>
            </w:tcBorders>
            <w:vAlign w:val="center"/>
          </w:tcPr>
          <w:p>
            <w:pPr>
              <w:spacing w:line="240" w:lineRule="auto"/>
              <w:ind w:firstLine="0" w:firstLineChars="0"/>
              <w:jc w:val="center"/>
              <w:rPr>
                <w:sz w:val="21"/>
                <w:szCs w:val="21"/>
              </w:rPr>
            </w:pPr>
            <w:r>
              <w:rPr>
                <w:sz w:val="21"/>
                <w:szCs w:val="21"/>
              </w:rPr>
              <w:t>羊肉</w:t>
            </w:r>
          </w:p>
          <w:p>
            <w:pPr>
              <w:spacing w:line="240" w:lineRule="auto"/>
              <w:ind w:firstLine="0" w:firstLineChars="0"/>
              <w:jc w:val="center"/>
              <w:rPr>
                <w:sz w:val="21"/>
                <w:szCs w:val="21"/>
              </w:rPr>
            </w:pPr>
            <w:r>
              <w:rPr>
                <w:sz w:val="21"/>
                <w:szCs w:val="21"/>
              </w:rPr>
              <w:t>预制品</w:t>
            </w: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3800t/a</w:t>
            </w: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蒸煮类预制品</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750t/a</w:t>
            </w: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炒制类预制品</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调料</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15t/a</w:t>
            </w: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羊肉本身水损失量</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1346.36t/a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食用油</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50t/a</w:t>
            </w: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蔬菜水分损失量</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150t/a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择菜固废</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73.5t/a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烹饪油烟</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1.54t/a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酱卤及蒸煮固废</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39.15t/a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645"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废包装</w:t>
            </w: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4.45t/a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7"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合计</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4615t/a</w:t>
            </w:r>
          </w:p>
        </w:tc>
        <w:tc>
          <w:tcPr>
            <w:tcW w:w="1645" w:type="pct"/>
            <w:tcBorders>
              <w:tl2br w:val="nil"/>
              <w:tr2bl w:val="nil"/>
            </w:tcBorders>
            <w:vAlign w:val="center"/>
          </w:tcPr>
          <w:p>
            <w:pPr>
              <w:spacing w:line="240" w:lineRule="auto"/>
              <w:ind w:firstLine="0" w:firstLineChars="0"/>
              <w:jc w:val="center"/>
              <w:rPr>
                <w:sz w:val="21"/>
                <w:szCs w:val="21"/>
              </w:rPr>
            </w:pPr>
          </w:p>
        </w:tc>
        <w:tc>
          <w:tcPr>
            <w:tcW w:w="993" w:type="pct"/>
            <w:tcBorders>
              <w:tl2br w:val="nil"/>
              <w:tr2bl w:val="nil"/>
            </w:tcBorders>
            <w:vAlign w:val="center"/>
          </w:tcPr>
          <w:p>
            <w:pPr>
              <w:spacing w:line="240" w:lineRule="auto"/>
              <w:ind w:firstLine="0" w:firstLineChars="0"/>
              <w:jc w:val="center"/>
              <w:rPr>
                <w:sz w:val="21"/>
                <w:szCs w:val="21"/>
              </w:rPr>
            </w:pPr>
            <w:r>
              <w:rPr>
                <w:rFonts w:hint="eastAsia"/>
                <w:sz w:val="21"/>
                <w:szCs w:val="21"/>
              </w:rPr>
              <w:t>4615t/a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l2br w:val="nil"/>
              <w:tr2bl w:val="nil"/>
            </w:tcBorders>
            <w:vAlign w:val="center"/>
          </w:tcPr>
          <w:p>
            <w:pPr>
              <w:spacing w:line="240" w:lineRule="auto"/>
              <w:ind w:firstLine="0" w:firstLineChars="0"/>
              <w:rPr>
                <w:sz w:val="21"/>
                <w:szCs w:val="21"/>
              </w:rPr>
            </w:pPr>
            <w:r>
              <w:rPr>
                <w:rFonts w:hint="eastAsia"/>
                <w:sz w:val="21"/>
                <w:szCs w:val="21"/>
              </w:rPr>
              <w:t>注：</w:t>
            </w:r>
            <w:r>
              <w:rPr>
                <w:rFonts w:hint="eastAsia"/>
                <w:sz w:val="21"/>
                <w:szCs w:val="21"/>
                <w:lang w:val="en-US" w:eastAsia="zh-CN"/>
              </w:rPr>
              <w:t>根据建设单位提供的资料，</w:t>
            </w:r>
            <w:r>
              <w:rPr>
                <w:rFonts w:hint="eastAsia"/>
                <w:sz w:val="21"/>
                <w:szCs w:val="21"/>
              </w:rPr>
              <w:t>1kg鲜羊肉加工为熟羊肉约剩余0.65kg；1kg鲜蔬菜加工为熟蔬菜约剩余0.8kg；</w:t>
            </w:r>
          </w:p>
        </w:tc>
      </w:tr>
    </w:tbl>
    <w:p>
      <w:pPr>
        <w:ind w:firstLine="0" w:firstLineChars="0"/>
        <w:jc w:val="center"/>
      </w:pPr>
      <w:r>
        <w:object>
          <v:shape id="_x0000_i1037" o:spt="75" type="#_x0000_t75" style="height:404.75pt;width:435.2pt;" o:ole="t" filled="f" o:preferrelative="t" stroked="f" coordsize="21600,21600">
            <v:path/>
            <v:fill on="f" focussize="0,0"/>
            <v:stroke on="f"/>
            <v:imagedata r:id="rId45" o:title=""/>
            <o:lock v:ext="edit" aspectratio="f"/>
            <w10:wrap type="none"/>
            <w10:anchorlock/>
          </v:shape>
          <o:OLEObject Type="Embed" ProgID="Visio.Drawing.15" ShapeID="_x0000_i1037" DrawAspect="Content" ObjectID="_1468075737" r:id="rId44">
            <o:LockedField>false</o:LockedField>
          </o:OLEObject>
        </w:object>
      </w:r>
    </w:p>
    <w:p>
      <w:pPr>
        <w:spacing w:line="240" w:lineRule="auto"/>
        <w:ind w:firstLine="0" w:firstLineChars="0"/>
        <w:jc w:val="center"/>
      </w:pPr>
      <w:r>
        <w:rPr>
          <w:rFonts w:hint="eastAsia"/>
          <w:b/>
          <w:bCs/>
        </w:rPr>
        <w:t>图</w:t>
      </w:r>
      <w:r>
        <w:rPr>
          <w:rFonts w:hint="eastAsia"/>
          <w:b/>
          <w:bCs/>
          <w:lang w:val="en-US" w:eastAsia="zh-CN"/>
        </w:rPr>
        <w:t>3-4</w:t>
      </w:r>
      <w:r>
        <w:rPr>
          <w:rFonts w:hint="eastAsia"/>
          <w:b/>
          <w:bCs/>
        </w:rPr>
        <w:t xml:space="preserve">    羊肉预制品物料平衡图  单位t/a</w:t>
      </w:r>
    </w:p>
    <w:p>
      <w:pPr>
        <w:ind w:firstLine="482"/>
      </w:pPr>
      <w:r>
        <w:rPr>
          <w:rFonts w:hint="eastAsia"/>
          <w:b/>
          <w:bCs/>
        </w:rPr>
        <w:t>（4）羊杂预制品生产线物料平衡</w:t>
      </w:r>
    </w:p>
    <w:p>
      <w:pPr>
        <w:ind w:firstLine="480"/>
      </w:pPr>
      <w:r>
        <w:rPr>
          <w:rFonts w:hint="eastAsia"/>
        </w:rPr>
        <w:t>羊杂预制品主要为蒸煮类预制品，生产过程中不涉及蔬菜类、调料、卤料的使用。羊杂来源于肉羊精深加工生产线，采用铁质托盘盛装，铁质托盘盛装可重复利用，故无羊杂废包装产生，羊杂预制品生产过程物料平衡详见下表。</w:t>
      </w:r>
    </w:p>
    <w:p>
      <w:pPr>
        <w:spacing w:line="240" w:lineRule="auto"/>
        <w:ind w:firstLine="482"/>
        <w:jc w:val="center"/>
        <w:rPr>
          <w:b/>
          <w:bCs/>
        </w:rPr>
      </w:pPr>
      <w:r>
        <w:rPr>
          <w:rFonts w:hint="eastAsia"/>
          <w:b/>
          <w:bCs/>
        </w:rPr>
        <w:t>表2.</w:t>
      </w:r>
      <w:r>
        <w:rPr>
          <w:rFonts w:hint="eastAsia"/>
          <w:b/>
          <w:bCs/>
          <w:lang w:val="en-US" w:eastAsia="zh-CN"/>
        </w:rPr>
        <w:t>10</w:t>
      </w:r>
      <w:r>
        <w:rPr>
          <w:rFonts w:hint="eastAsia"/>
          <w:b/>
          <w:bCs/>
        </w:rPr>
        <w:t xml:space="preserve">    羊杂预制品物料平衡表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8"/>
        <w:gridCol w:w="1572"/>
        <w:gridCol w:w="2000"/>
        <w:gridCol w:w="3885"/>
        <w:gridCol w:w="1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1793"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投入</w:t>
            </w:r>
          </w:p>
        </w:tc>
        <w:tc>
          <w:tcPr>
            <w:tcW w:w="2640"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产出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continue"/>
            <w:tcBorders>
              <w:tl2br w:val="nil"/>
              <w:tr2bl w:val="nil"/>
            </w:tcBorders>
            <w:vAlign w:val="center"/>
          </w:tcPr>
          <w:p>
            <w:pPr>
              <w:spacing w:line="240" w:lineRule="auto"/>
              <w:ind w:firstLine="422"/>
              <w:jc w:val="center"/>
              <w:rPr>
                <w:b/>
                <w:bCs/>
                <w:sz w:val="21"/>
                <w:szCs w:val="21"/>
              </w:rPr>
            </w:pPr>
          </w:p>
        </w:tc>
        <w:tc>
          <w:tcPr>
            <w:tcW w:w="789"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1003" w:type="pct"/>
            <w:tcBorders>
              <w:tl2br w:val="nil"/>
              <w:tr2bl w:val="nil"/>
            </w:tcBorders>
            <w:vAlign w:val="center"/>
          </w:tcPr>
          <w:p>
            <w:pPr>
              <w:spacing w:line="240" w:lineRule="auto"/>
              <w:ind w:firstLine="0" w:firstLineChars="0"/>
              <w:jc w:val="center"/>
              <w:rPr>
                <w:b/>
                <w:bCs/>
                <w:sz w:val="21"/>
                <w:szCs w:val="21"/>
              </w:rPr>
            </w:pPr>
            <w:r>
              <w:rPr>
                <w:b/>
                <w:bCs/>
                <w:sz w:val="21"/>
                <w:szCs w:val="21"/>
              </w:rPr>
              <w:t>用量</w:t>
            </w:r>
          </w:p>
        </w:tc>
        <w:tc>
          <w:tcPr>
            <w:tcW w:w="1950" w:type="pct"/>
            <w:tcBorders>
              <w:tl2br w:val="nil"/>
              <w:tr2bl w:val="nil"/>
            </w:tcBorders>
            <w:vAlign w:val="center"/>
          </w:tcPr>
          <w:p>
            <w:pPr>
              <w:spacing w:line="240" w:lineRule="auto"/>
              <w:ind w:firstLine="0" w:firstLineChars="0"/>
              <w:jc w:val="center"/>
              <w:rPr>
                <w:b/>
                <w:bCs/>
                <w:sz w:val="21"/>
                <w:szCs w:val="21"/>
              </w:rPr>
            </w:pPr>
            <w:r>
              <w:rPr>
                <w:b/>
                <w:bCs/>
                <w:sz w:val="21"/>
                <w:szCs w:val="21"/>
              </w:rPr>
              <w:t>物料名称</w:t>
            </w:r>
          </w:p>
        </w:tc>
        <w:tc>
          <w:tcPr>
            <w:tcW w:w="689" w:type="pct"/>
            <w:tcBorders>
              <w:tl2br w:val="nil"/>
              <w:tr2bl w:val="nil"/>
            </w:tcBorders>
            <w:vAlign w:val="center"/>
          </w:tcPr>
          <w:p>
            <w:pPr>
              <w:spacing w:line="240" w:lineRule="auto"/>
              <w:ind w:firstLine="0" w:firstLineChars="0"/>
              <w:jc w:val="center"/>
              <w:rPr>
                <w:b/>
                <w:bCs/>
                <w:sz w:val="21"/>
                <w:szCs w:val="21"/>
              </w:rPr>
            </w:pPr>
            <w:r>
              <w:rPr>
                <w:b/>
                <w:bCs/>
                <w:sz w:val="21"/>
                <w:szCs w:val="21"/>
              </w:rPr>
              <w:t>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restart"/>
            <w:tcBorders>
              <w:tl2br w:val="nil"/>
              <w:tr2bl w:val="nil"/>
            </w:tcBorders>
            <w:vAlign w:val="center"/>
          </w:tcPr>
          <w:p>
            <w:pPr>
              <w:spacing w:line="240" w:lineRule="auto"/>
              <w:ind w:firstLine="0" w:firstLineChars="0"/>
              <w:jc w:val="center"/>
              <w:rPr>
                <w:sz w:val="21"/>
                <w:szCs w:val="21"/>
              </w:rPr>
            </w:pPr>
            <w:r>
              <w:rPr>
                <w:sz w:val="21"/>
                <w:szCs w:val="21"/>
              </w:rPr>
              <w:t>羊杂</w:t>
            </w:r>
          </w:p>
          <w:p>
            <w:pPr>
              <w:spacing w:line="240" w:lineRule="auto"/>
              <w:ind w:firstLine="0" w:firstLineChars="0"/>
              <w:jc w:val="center"/>
              <w:rPr>
                <w:sz w:val="21"/>
                <w:szCs w:val="21"/>
              </w:rPr>
            </w:pPr>
            <w:r>
              <w:rPr>
                <w:sz w:val="21"/>
                <w:szCs w:val="21"/>
              </w:rPr>
              <w:t>预制品</w:t>
            </w: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红内脏</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1000t/a</w:t>
            </w:r>
          </w:p>
        </w:tc>
        <w:tc>
          <w:tcPr>
            <w:tcW w:w="195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羊杂</w:t>
            </w:r>
          </w:p>
        </w:tc>
        <w:tc>
          <w:tcPr>
            <w:tcW w:w="689" w:type="pct"/>
            <w:tcBorders>
              <w:tl2br w:val="nil"/>
              <w:tr2bl w:val="nil"/>
            </w:tcBorders>
            <w:vAlign w:val="center"/>
          </w:tcPr>
          <w:p>
            <w:pPr>
              <w:spacing w:line="240" w:lineRule="auto"/>
              <w:ind w:firstLine="0" w:firstLineChars="0"/>
              <w:jc w:val="center"/>
              <w:rPr>
                <w:sz w:val="21"/>
                <w:szCs w:val="21"/>
              </w:rPr>
            </w:pPr>
            <w:r>
              <w:rPr>
                <w:rFonts w:hint="eastAsia"/>
                <w:sz w:val="21"/>
                <w:szCs w:val="21"/>
              </w:rPr>
              <w:t>2000t/a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白内脏</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1500t/a</w:t>
            </w:r>
          </w:p>
        </w:tc>
        <w:tc>
          <w:tcPr>
            <w:tcW w:w="1950"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羊杂自身水分损失量</w:t>
            </w:r>
          </w:p>
        </w:tc>
        <w:tc>
          <w:tcPr>
            <w:tcW w:w="689" w:type="pct"/>
            <w:tcBorders>
              <w:tl2br w:val="nil"/>
              <w:tr2bl w:val="nil"/>
            </w:tcBorders>
            <w:vAlign w:val="center"/>
          </w:tcPr>
          <w:p>
            <w:pPr>
              <w:spacing w:line="240" w:lineRule="auto"/>
              <w:ind w:firstLine="0" w:firstLineChars="0"/>
              <w:jc w:val="center"/>
              <w:rPr>
                <w:sz w:val="21"/>
                <w:szCs w:val="21"/>
              </w:rPr>
            </w:pPr>
            <w:r>
              <w:rPr>
                <w:rFonts w:hint="eastAsia"/>
                <w:sz w:val="21"/>
                <w:szCs w:val="21"/>
              </w:rPr>
              <w:t>452.75t/a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调料</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5t/a</w:t>
            </w:r>
          </w:p>
        </w:tc>
        <w:tc>
          <w:tcPr>
            <w:tcW w:w="1950"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废包装</w:t>
            </w:r>
          </w:p>
        </w:tc>
        <w:tc>
          <w:tcPr>
            <w:tcW w:w="689" w:type="pct"/>
            <w:tcBorders>
              <w:tl2br w:val="nil"/>
              <w:tr2bl w:val="nil"/>
            </w:tcBorders>
            <w:vAlign w:val="center"/>
          </w:tcPr>
          <w:p>
            <w:pPr>
              <w:spacing w:line="240" w:lineRule="auto"/>
              <w:ind w:firstLine="0" w:firstLineChars="0"/>
              <w:jc w:val="center"/>
              <w:rPr>
                <w:sz w:val="21"/>
                <w:szCs w:val="21"/>
              </w:rPr>
            </w:pPr>
            <w:r>
              <w:rPr>
                <w:rFonts w:hint="eastAsia"/>
                <w:sz w:val="21"/>
                <w:szCs w:val="21"/>
              </w:rPr>
              <w:t>0.05t/a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p>
        </w:tc>
        <w:tc>
          <w:tcPr>
            <w:tcW w:w="1003" w:type="pct"/>
            <w:tcBorders>
              <w:tl2br w:val="nil"/>
              <w:tr2bl w:val="nil"/>
            </w:tcBorders>
            <w:vAlign w:val="center"/>
          </w:tcPr>
          <w:p>
            <w:pPr>
              <w:spacing w:line="240" w:lineRule="auto"/>
              <w:ind w:firstLine="0" w:firstLineChars="0"/>
              <w:jc w:val="center"/>
              <w:rPr>
                <w:sz w:val="21"/>
                <w:szCs w:val="21"/>
              </w:rPr>
            </w:pPr>
          </w:p>
        </w:tc>
        <w:tc>
          <w:tcPr>
            <w:tcW w:w="1950" w:type="pct"/>
            <w:tcBorders>
              <w:tl2br w:val="nil"/>
              <w:tr2bl w:val="nil"/>
            </w:tcBorders>
            <w:vAlign w:val="center"/>
          </w:tcPr>
          <w:p>
            <w:pPr>
              <w:spacing w:line="240" w:lineRule="auto"/>
              <w:ind w:firstLine="0" w:firstLineChars="0"/>
              <w:jc w:val="center"/>
              <w:rPr>
                <w:sz w:val="21"/>
                <w:szCs w:val="21"/>
              </w:rPr>
            </w:pPr>
            <w:r>
              <w:rPr>
                <w:rFonts w:hint="eastAsia"/>
                <w:sz w:val="21"/>
                <w:szCs w:val="21"/>
              </w:rPr>
              <w:t>酱卤及蒸煮固废</w:t>
            </w:r>
          </w:p>
        </w:tc>
        <w:tc>
          <w:tcPr>
            <w:tcW w:w="689" w:type="pct"/>
            <w:tcBorders>
              <w:tl2br w:val="nil"/>
              <w:tr2bl w:val="nil"/>
            </w:tcBorders>
            <w:vAlign w:val="center"/>
          </w:tcPr>
          <w:p>
            <w:pPr>
              <w:spacing w:line="240" w:lineRule="auto"/>
              <w:ind w:firstLine="0" w:firstLineChars="0"/>
              <w:jc w:val="center"/>
              <w:rPr>
                <w:sz w:val="21"/>
                <w:szCs w:val="21"/>
              </w:rPr>
            </w:pPr>
            <w:r>
              <w:rPr>
                <w:rFonts w:hint="eastAsia"/>
                <w:sz w:val="21"/>
                <w:szCs w:val="21"/>
              </w:rPr>
              <w:t>52.2t/a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6" w:type="pct"/>
            <w:vMerge w:val="continue"/>
            <w:tcBorders>
              <w:tl2br w:val="nil"/>
              <w:tr2bl w:val="nil"/>
            </w:tcBorders>
            <w:vAlign w:val="center"/>
          </w:tcPr>
          <w:p>
            <w:pPr>
              <w:spacing w:line="240" w:lineRule="auto"/>
              <w:jc w:val="center"/>
              <w:rPr>
                <w:sz w:val="21"/>
                <w:szCs w:val="21"/>
              </w:rPr>
            </w:pPr>
          </w:p>
        </w:tc>
        <w:tc>
          <w:tcPr>
            <w:tcW w:w="789" w:type="pct"/>
            <w:tcBorders>
              <w:tl2br w:val="nil"/>
              <w:tr2bl w:val="nil"/>
            </w:tcBorders>
            <w:vAlign w:val="center"/>
          </w:tcPr>
          <w:p>
            <w:pPr>
              <w:spacing w:line="240" w:lineRule="auto"/>
              <w:ind w:firstLine="0" w:firstLineChars="0"/>
              <w:jc w:val="center"/>
              <w:rPr>
                <w:sz w:val="21"/>
                <w:szCs w:val="21"/>
              </w:rPr>
            </w:pPr>
            <w:r>
              <w:rPr>
                <w:rFonts w:hint="eastAsia"/>
                <w:sz w:val="21"/>
                <w:szCs w:val="21"/>
              </w:rPr>
              <w:t>合计</w:t>
            </w:r>
          </w:p>
        </w:tc>
        <w:tc>
          <w:tcPr>
            <w:tcW w:w="1003" w:type="pct"/>
            <w:tcBorders>
              <w:tl2br w:val="nil"/>
              <w:tr2bl w:val="nil"/>
            </w:tcBorders>
            <w:vAlign w:val="center"/>
          </w:tcPr>
          <w:p>
            <w:pPr>
              <w:spacing w:line="240" w:lineRule="auto"/>
              <w:ind w:firstLine="0" w:firstLineChars="0"/>
              <w:jc w:val="center"/>
              <w:rPr>
                <w:sz w:val="21"/>
                <w:szCs w:val="21"/>
              </w:rPr>
            </w:pPr>
            <w:r>
              <w:rPr>
                <w:rFonts w:hint="eastAsia"/>
                <w:sz w:val="21"/>
                <w:szCs w:val="21"/>
              </w:rPr>
              <w:t>49260t/a</w:t>
            </w:r>
          </w:p>
        </w:tc>
        <w:tc>
          <w:tcPr>
            <w:tcW w:w="1950" w:type="pct"/>
            <w:tcBorders>
              <w:tl2br w:val="nil"/>
              <w:tr2bl w:val="nil"/>
            </w:tcBorders>
            <w:vAlign w:val="center"/>
          </w:tcPr>
          <w:p>
            <w:pPr>
              <w:spacing w:line="240" w:lineRule="auto"/>
              <w:ind w:firstLine="0" w:firstLineChars="0"/>
              <w:jc w:val="center"/>
              <w:rPr>
                <w:sz w:val="21"/>
                <w:szCs w:val="21"/>
              </w:rPr>
            </w:pPr>
          </w:p>
        </w:tc>
        <w:tc>
          <w:tcPr>
            <w:tcW w:w="689" w:type="pct"/>
            <w:tcBorders>
              <w:tl2br w:val="nil"/>
              <w:tr2bl w:val="nil"/>
            </w:tcBorders>
            <w:vAlign w:val="center"/>
          </w:tcPr>
          <w:p>
            <w:pPr>
              <w:spacing w:line="240" w:lineRule="auto"/>
              <w:ind w:firstLine="0" w:firstLineChars="0"/>
              <w:jc w:val="center"/>
              <w:rPr>
                <w:sz w:val="21"/>
                <w:szCs w:val="21"/>
              </w:rPr>
            </w:pPr>
            <w:r>
              <w:rPr>
                <w:rFonts w:hint="eastAsia"/>
                <w:sz w:val="21"/>
                <w:szCs w:val="21"/>
              </w:rPr>
              <w:t>49260t/a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tcBorders>
              <w:tl2br w:val="nil"/>
              <w:tr2bl w:val="nil"/>
            </w:tcBorders>
            <w:vAlign w:val="center"/>
          </w:tcPr>
          <w:p>
            <w:pPr>
              <w:spacing w:line="240" w:lineRule="auto"/>
              <w:ind w:firstLine="0" w:firstLineChars="0"/>
              <w:rPr>
                <w:sz w:val="21"/>
                <w:szCs w:val="21"/>
              </w:rPr>
            </w:pPr>
            <w:r>
              <w:rPr>
                <w:rFonts w:hint="eastAsia"/>
                <w:sz w:val="21"/>
                <w:szCs w:val="21"/>
              </w:rPr>
              <w:t>注：</w:t>
            </w:r>
            <w:r>
              <w:rPr>
                <w:rFonts w:hint="eastAsia"/>
                <w:sz w:val="21"/>
                <w:szCs w:val="21"/>
                <w:lang w:val="en-US" w:eastAsia="zh-CN"/>
              </w:rPr>
              <w:t>根据建设单位提供的资料，</w:t>
            </w:r>
            <w:r>
              <w:rPr>
                <w:rFonts w:hint="eastAsia"/>
                <w:sz w:val="21"/>
                <w:szCs w:val="21"/>
              </w:rPr>
              <w:t>1kg羊杂加工为羊杂熟食后约剩余0.82kg；</w:t>
            </w:r>
          </w:p>
        </w:tc>
      </w:tr>
    </w:tbl>
    <w:p>
      <w:pPr>
        <w:ind w:firstLine="480"/>
        <w:jc w:val="center"/>
      </w:pPr>
      <w:r>
        <w:rPr>
          <w:rFonts w:hint="eastAsia"/>
        </w:rPr>
        <w:object>
          <v:shape id="_x0000_i1038" o:spt="75" type="#_x0000_t75" style="height:271.6pt;width:314.45pt;" o:ole="t" filled="f" o:preferrelative="t" stroked="f" coordsize="21600,21600">
            <v:path/>
            <v:fill on="f" focussize="0,0"/>
            <v:stroke on="f" joinstyle="miter"/>
            <v:imagedata r:id="rId47" o:title=""/>
            <o:lock v:ext="edit" aspectratio="f"/>
            <w10:wrap type="none"/>
            <w10:anchorlock/>
          </v:shape>
          <o:OLEObject Type="Embed" ProgID="Visio.Drawing.15" ShapeID="_x0000_i1038" DrawAspect="Content" ObjectID="_1468075738" r:id="rId46">
            <o:LockedField>false</o:LockedField>
          </o:OLEObject>
        </w:object>
      </w:r>
    </w:p>
    <w:p>
      <w:pPr>
        <w:ind w:firstLine="482"/>
        <w:jc w:val="center"/>
      </w:pPr>
      <w:r>
        <w:rPr>
          <w:rFonts w:hint="eastAsia"/>
          <w:b/>
          <w:bCs/>
        </w:rPr>
        <w:t>图</w:t>
      </w:r>
      <w:r>
        <w:rPr>
          <w:rFonts w:hint="eastAsia"/>
          <w:b/>
          <w:bCs/>
          <w:lang w:val="en-US" w:eastAsia="zh-CN"/>
        </w:rPr>
        <w:t>3-5</w:t>
      </w:r>
      <w:r>
        <w:rPr>
          <w:rFonts w:hint="eastAsia"/>
          <w:b/>
          <w:bCs/>
        </w:rPr>
        <w:t xml:space="preserve">    羊杂预制品物料平衡图  单位t/a</w:t>
      </w:r>
    </w:p>
    <w:p>
      <w:pPr>
        <w:pStyle w:val="6"/>
        <w:ind w:firstLine="482"/>
        <w:rPr>
          <w:rFonts w:eastAsiaTheme="minorEastAsia"/>
          <w:szCs w:val="28"/>
        </w:rPr>
      </w:pPr>
      <w:bookmarkStart w:id="486" w:name="_Toc31305"/>
      <w:r>
        <w:rPr>
          <w:rFonts w:hint="eastAsia"/>
          <w:lang w:val="en-US" w:eastAsia="zh-CN"/>
        </w:rPr>
        <w:t>3</w:t>
      </w:r>
      <w:r>
        <w:t>.</w:t>
      </w:r>
      <w:r>
        <w:rPr>
          <w:rFonts w:hint="eastAsia"/>
        </w:rPr>
        <w:t>2</w:t>
      </w:r>
      <w:r>
        <w:t>.</w:t>
      </w:r>
      <w:r>
        <w:rPr>
          <w:rFonts w:hint="eastAsia"/>
        </w:rPr>
        <w:t>7、</w:t>
      </w:r>
      <w:r>
        <w:rPr>
          <w:rFonts w:hint="eastAsia"/>
          <w:lang w:val="en-US" w:eastAsia="zh-CN"/>
        </w:rPr>
        <w:t>拟建</w:t>
      </w:r>
      <w:r>
        <w:t>项目劳动定员及工作制度</w:t>
      </w:r>
      <w:bookmarkEnd w:id="486"/>
    </w:p>
    <w:p>
      <w:pPr>
        <w:pStyle w:val="82"/>
        <w:ind w:firstLine="480"/>
        <w:textAlignment w:val="baseline"/>
        <w:rPr>
          <w:b/>
          <w:sz w:val="28"/>
          <w:szCs w:val="28"/>
          <w14:textFill>
            <w14:gradFill>
              <w14:gsLst>
                <w14:gs w14:pos="0">
                  <w14:srgbClr w14:val="14CD68"/>
                </w14:gs>
                <w14:gs w14:pos="100000">
                  <w14:srgbClr w14:val="0B6E38"/>
                </w14:gs>
              </w14:gsLst>
              <w14:lin w14:scaled="0"/>
            </w14:gradFill>
          </w14:textFill>
        </w:rPr>
      </w:pPr>
      <w:r>
        <w:rPr>
          <w:color w:val="auto"/>
        </w:rPr>
        <w:t>本项目运营期</w:t>
      </w:r>
      <w:r>
        <w:rPr>
          <w:rFonts w:hint="eastAsia"/>
          <w:color w:val="auto"/>
        </w:rPr>
        <w:t>新增职工1</w:t>
      </w:r>
      <w:r>
        <w:rPr>
          <w:color w:val="auto"/>
        </w:rPr>
        <w:t>00人，</w:t>
      </w:r>
      <w:r>
        <w:rPr>
          <w:rFonts w:hint="eastAsia"/>
          <w:color w:val="auto"/>
        </w:rPr>
        <w:t>其中管理人员20人，普通职工80人，</w:t>
      </w:r>
      <w:r>
        <w:rPr>
          <w:color w:val="auto"/>
        </w:rPr>
        <w:t>年工作日3</w:t>
      </w:r>
      <w:r>
        <w:rPr>
          <w:rFonts w:hint="eastAsia"/>
          <w:color w:val="auto"/>
        </w:rPr>
        <w:t>65</w:t>
      </w:r>
      <w:r>
        <w:rPr>
          <w:color w:val="auto"/>
        </w:rPr>
        <w:t>d，每天</w:t>
      </w:r>
      <w:r>
        <w:rPr>
          <w:rFonts w:hint="eastAsia"/>
          <w:color w:val="auto"/>
          <w:lang w:val="en-US" w:eastAsia="zh-CN"/>
        </w:rPr>
        <w:t>2</w:t>
      </w:r>
      <w:r>
        <w:rPr>
          <w:color w:val="auto"/>
        </w:rPr>
        <w:t>班，每班</w:t>
      </w:r>
      <w:r>
        <w:rPr>
          <w:rFonts w:hint="eastAsia"/>
          <w:color w:val="auto"/>
          <w:lang w:val="en-US" w:eastAsia="zh-CN"/>
        </w:rPr>
        <w:t>12</w:t>
      </w:r>
      <w:r>
        <w:rPr>
          <w:color w:val="auto"/>
        </w:rPr>
        <w:t>h</w:t>
      </w:r>
      <w:r>
        <w:rPr>
          <w:rFonts w:hint="eastAsia"/>
          <w:color w:val="auto"/>
        </w:rPr>
        <w:t>，厂区提供食宿</w:t>
      </w:r>
      <w:r>
        <w:rPr>
          <w:color w:val="auto"/>
        </w:rPr>
        <w:t>。</w:t>
      </w:r>
    </w:p>
    <w:p>
      <w:pPr>
        <w:pStyle w:val="6"/>
        <w:ind w:firstLine="482"/>
        <w:rPr>
          <w:szCs w:val="28"/>
        </w:rPr>
      </w:pPr>
      <w:bookmarkStart w:id="487" w:name="_Toc31294"/>
      <w:bookmarkStart w:id="488" w:name="_Toc17870"/>
      <w:r>
        <w:rPr>
          <w:rFonts w:hint="eastAsia"/>
          <w:lang w:val="en-US" w:eastAsia="zh-CN"/>
        </w:rPr>
        <w:t>3</w:t>
      </w:r>
      <w:r>
        <w:rPr>
          <w:rFonts w:hint="eastAsia"/>
        </w:rPr>
        <w:t>.2.8、</w:t>
      </w:r>
      <w:r>
        <w:rPr>
          <w:rFonts w:hint="eastAsia"/>
          <w:lang w:val="en-US" w:eastAsia="zh-CN"/>
        </w:rPr>
        <w:t>拟建</w:t>
      </w:r>
      <w:r>
        <w:t>项目平面布置</w:t>
      </w:r>
      <w:bookmarkEnd w:id="487"/>
      <w:bookmarkEnd w:id="488"/>
    </w:p>
    <w:p>
      <w:pPr>
        <w:ind w:firstLine="482"/>
        <w:rPr>
          <w:b/>
          <w:bCs/>
        </w:rPr>
      </w:pPr>
      <w:r>
        <w:rPr>
          <w:rFonts w:hint="eastAsia"/>
          <w:b/>
          <w:bCs/>
        </w:rPr>
        <w:t>（1）</w:t>
      </w:r>
      <w:r>
        <w:rPr>
          <w:b/>
          <w:bCs/>
        </w:rPr>
        <w:t>总平面布置</w:t>
      </w:r>
    </w:p>
    <w:p>
      <w:pPr>
        <w:ind w:firstLine="480"/>
      </w:pPr>
      <w:r>
        <w:t>本项目</w:t>
      </w:r>
      <w:r>
        <w:rPr>
          <w:rFonts w:hint="eastAsia"/>
        </w:rPr>
        <w:t>位于</w:t>
      </w:r>
      <w:r>
        <w:rPr>
          <w:rFonts w:hint="eastAsia"/>
          <w:lang w:val="en-US" w:eastAsia="zh-CN"/>
        </w:rPr>
        <w:t>张掖市沅博农牧产业开发有限公司院</w:t>
      </w:r>
      <w:r>
        <w:rPr>
          <w:rFonts w:hint="eastAsia"/>
        </w:rPr>
        <w:t>内，</w:t>
      </w:r>
      <w:r>
        <w:rPr>
          <w:rFonts w:hint="eastAsia"/>
          <w:lang w:val="en-US" w:eastAsia="zh-CN"/>
        </w:rPr>
        <w:t>拟建项目总体上位于公司现有厂区南侧，</w:t>
      </w:r>
      <w:r>
        <w:rPr>
          <w:rFonts w:hint="eastAsia"/>
        </w:rPr>
        <w:t>项目主要建设有</w:t>
      </w:r>
      <w:r>
        <w:rPr>
          <w:rFonts w:hint="eastAsia"/>
          <w:lang w:val="en-US" w:eastAsia="zh-CN"/>
        </w:rPr>
        <w:t>待宰圈1座、</w:t>
      </w:r>
      <w:r>
        <w:rPr>
          <w:rFonts w:hint="eastAsia"/>
        </w:rPr>
        <w:t>综合性生产车间1座和冷库</w:t>
      </w:r>
      <w:r>
        <w:rPr>
          <w:rFonts w:hint="eastAsia"/>
          <w:lang w:val="en-US" w:eastAsia="zh-CN"/>
        </w:rPr>
        <w:t>3</w:t>
      </w:r>
      <w:r>
        <w:rPr>
          <w:rFonts w:hint="eastAsia"/>
        </w:rPr>
        <w:t>座，其中</w:t>
      </w:r>
      <w:r>
        <w:rPr>
          <w:rFonts w:hint="eastAsia"/>
          <w:lang w:val="en-US" w:eastAsia="zh-CN"/>
        </w:rPr>
        <w:t>待宰圈位于拟建区域东侧，</w:t>
      </w:r>
      <w:r>
        <w:rPr>
          <w:rFonts w:hint="eastAsia"/>
        </w:rPr>
        <w:t>综合性生产车间位于</w:t>
      </w:r>
      <w:r>
        <w:rPr>
          <w:rFonts w:hint="eastAsia"/>
          <w:lang w:val="en-US" w:eastAsia="zh-CN"/>
        </w:rPr>
        <w:t>拟建区域中间位置，冷库位于拟建区域西侧，</w:t>
      </w:r>
      <w:r>
        <w:rPr>
          <w:rFonts w:hint="eastAsia"/>
        </w:rPr>
        <w:t>生活办公区依托现有</w:t>
      </w:r>
      <w:r>
        <w:t>。</w:t>
      </w:r>
      <w:r>
        <w:rPr>
          <w:rFonts w:hint="eastAsia"/>
          <w:lang w:val="en-US" w:eastAsia="zh-CN"/>
        </w:rPr>
        <w:t>新建的</w:t>
      </w:r>
      <w:r>
        <w:rPr>
          <w:rFonts w:hint="eastAsia"/>
        </w:rPr>
        <w:t>综合生产车间和</w:t>
      </w:r>
      <w:r>
        <w:rPr>
          <w:rFonts w:hint="eastAsia"/>
          <w:lang w:val="en-US" w:eastAsia="zh-CN"/>
        </w:rPr>
        <w:t>现有</w:t>
      </w:r>
      <w:r>
        <w:t>办公生活区两个</w:t>
      </w:r>
      <w:r>
        <w:rPr>
          <w:rFonts w:hint="eastAsia"/>
        </w:rPr>
        <w:t>区域之间间隔约</w:t>
      </w:r>
      <w:r>
        <w:rPr>
          <w:rFonts w:hint="eastAsia"/>
          <w:lang w:val="en-US" w:eastAsia="zh-CN"/>
        </w:rPr>
        <w:t>3</w:t>
      </w:r>
      <w:r>
        <w:rPr>
          <w:rFonts w:hint="eastAsia"/>
        </w:rPr>
        <w:t>00m</w:t>
      </w:r>
      <w:r>
        <w:t>，</w:t>
      </w:r>
      <w:r>
        <w:rPr>
          <w:rFonts w:hint="eastAsia"/>
        </w:rPr>
        <w:t>基本做到了</w:t>
      </w:r>
      <w:r>
        <w:t>生产区和办公生活等洁净区的相对分离</w:t>
      </w:r>
      <w:r>
        <w:rPr>
          <w:rFonts w:hint="eastAsia"/>
        </w:rPr>
        <w:t>，同时</w:t>
      </w:r>
      <w:r>
        <w:t>所在地</w:t>
      </w:r>
      <w:r>
        <w:rPr>
          <w:rFonts w:hint="eastAsia"/>
        </w:rPr>
        <w:t>常年</w:t>
      </w:r>
      <w:r>
        <w:t>主导风向为西北风，生活办公区处生产车间</w:t>
      </w:r>
      <w:r>
        <w:rPr>
          <w:rFonts w:hint="eastAsia"/>
          <w:lang w:val="en-US" w:eastAsia="zh-CN"/>
        </w:rPr>
        <w:t>侧风向</w:t>
      </w:r>
      <w:r>
        <w:t>，</w:t>
      </w:r>
      <w:r>
        <w:rPr>
          <w:rFonts w:hint="eastAsia"/>
        </w:rPr>
        <w:t>项目生产过程中产生的废气</w:t>
      </w:r>
      <w:r>
        <w:rPr>
          <w:rFonts w:hint="eastAsia"/>
          <w:lang w:val="en-US" w:eastAsia="zh-CN"/>
        </w:rPr>
        <w:t>早采取合理的废气处理措施后</w:t>
      </w:r>
      <w:r>
        <w:rPr>
          <w:rFonts w:hint="eastAsia"/>
        </w:rPr>
        <w:t>不会对生活办公区造成较大的影响；其次</w:t>
      </w:r>
      <w:r>
        <w:t>生活办公区与生产车间分离，</w:t>
      </w:r>
      <w:r>
        <w:rPr>
          <w:rFonts w:hint="eastAsia"/>
        </w:rPr>
        <w:t>生产过程中产生的噪声经车间隔声、距离衰减后也不会对生活办公区造成较大的影响</w:t>
      </w:r>
      <w:r>
        <w:t>。</w:t>
      </w:r>
    </w:p>
    <w:p>
      <w:pPr>
        <w:ind w:firstLine="482"/>
        <w:rPr>
          <w:b/>
          <w:bCs/>
        </w:rPr>
      </w:pPr>
      <w:r>
        <w:rPr>
          <w:rFonts w:hint="eastAsia"/>
          <w:b/>
          <w:bCs/>
        </w:rPr>
        <w:t>（2）</w:t>
      </w:r>
      <w:r>
        <w:rPr>
          <w:b/>
          <w:bCs/>
        </w:rPr>
        <w:t>交通组织</w:t>
      </w:r>
    </w:p>
    <w:p>
      <w:pPr>
        <w:ind w:firstLine="480"/>
      </w:pPr>
      <w:r>
        <w:rPr>
          <w:rFonts w:hint="eastAsia"/>
        </w:rPr>
        <w:t>本项目内部交通全部依托厂区现有的道路，厂内道路已经完成硬化处理，能够满足本项目运输要求，同时建设单位在北</w:t>
      </w:r>
      <w:r>
        <w:t>侧道路上设置2个出入口，其中</w:t>
      </w:r>
      <w:r>
        <w:rPr>
          <w:rFonts w:hint="eastAsia"/>
        </w:rPr>
        <w:t>一个出入口（位于拟建区域东侧）</w:t>
      </w:r>
      <w:r>
        <w:t>为</w:t>
      </w:r>
      <w:r>
        <w:rPr>
          <w:rFonts w:hint="eastAsia"/>
        </w:rPr>
        <w:t>肉羊</w:t>
      </w:r>
      <w:r>
        <w:t>屠宰加工区的进</w:t>
      </w:r>
      <w:r>
        <w:rPr>
          <w:rFonts w:hint="eastAsia"/>
        </w:rPr>
        <w:t>羊</w:t>
      </w:r>
      <w:r>
        <w:t>通道</w:t>
      </w:r>
      <w:r>
        <w:rPr>
          <w:rFonts w:hint="eastAsia"/>
        </w:rPr>
        <w:t>，该通道处设置消毒池，主要对进出车辆进行消毒处理；</w:t>
      </w:r>
      <w:r>
        <w:t>另一个出入口</w:t>
      </w:r>
      <w:r>
        <w:rPr>
          <w:rFonts w:hint="eastAsia"/>
        </w:rPr>
        <w:t>（位于拟建区域西侧）</w:t>
      </w:r>
      <w:r>
        <w:t>为进出办公生活区的通道，两个出入口间距</w:t>
      </w:r>
      <w:r>
        <w:rPr>
          <w:rFonts w:hint="eastAsia"/>
        </w:rPr>
        <w:t>100</w:t>
      </w:r>
      <w:r>
        <w:t>米</w:t>
      </w:r>
      <w:r>
        <w:rPr>
          <w:rFonts w:hint="eastAsia"/>
        </w:rPr>
        <w:t>，独立设置，互不影响，</w:t>
      </w:r>
      <w:r>
        <w:t>办公生活区的通道</w:t>
      </w:r>
      <w:r>
        <w:rPr>
          <w:rFonts w:hint="eastAsia"/>
        </w:rPr>
        <w:t>进出口设置消毒室，主要对进出人员进行消毒。厂内交通及出入口设置</w:t>
      </w:r>
      <w:r>
        <w:t>符合食品卫生规范中卫生检疫等要求。</w:t>
      </w:r>
    </w:p>
    <w:p>
      <w:pPr>
        <w:ind w:firstLine="480"/>
      </w:pPr>
      <w:r>
        <w:rPr>
          <w:rFonts w:hint="eastAsia"/>
        </w:rPr>
        <w:t>厂外交通主要依托市政道路，厂区南侧临S18（张掖至肃南），现已通车，可以直达张掖市，能够满足本项目的运输要求。</w:t>
      </w:r>
    </w:p>
    <w:p>
      <w:pPr>
        <w:ind w:firstLine="482"/>
        <w:rPr>
          <w:b/>
          <w:bCs/>
        </w:rPr>
      </w:pPr>
      <w:r>
        <w:rPr>
          <w:rFonts w:hint="eastAsia"/>
          <w:b/>
          <w:bCs/>
        </w:rPr>
        <w:t>（3）</w:t>
      </w:r>
      <w:r>
        <w:rPr>
          <w:b/>
          <w:bCs/>
        </w:rPr>
        <w:t>管线平面</w:t>
      </w:r>
      <w:r>
        <w:rPr>
          <w:rFonts w:hint="eastAsia"/>
          <w:b/>
          <w:bCs/>
        </w:rPr>
        <w:t>布置</w:t>
      </w:r>
    </w:p>
    <w:p>
      <w:pPr>
        <w:ind w:firstLine="480"/>
      </w:pPr>
      <w:r>
        <w:rPr>
          <w:rFonts w:hint="eastAsia"/>
        </w:rPr>
        <w:t>本项目生活办公区依托现有，因此在建设过程中不再新建给水、供电、供暖等管线，项目主要的管线工程为综合生产车间及冷库建设过程中涉及的</w:t>
      </w:r>
      <w:r>
        <w:t>给水管、污水管、雨水管、电力电缆</w:t>
      </w:r>
      <w:r>
        <w:rPr>
          <w:rFonts w:hint="eastAsia"/>
        </w:rPr>
        <w:t>等，综合生产车间冬季不供暖，不需要建设供暖管线</w:t>
      </w:r>
      <w:r>
        <w:t>。各专业管线依据</w:t>
      </w:r>
      <w:r>
        <w:rPr>
          <w:rFonts w:hint="eastAsia"/>
        </w:rPr>
        <w:t>现有管线位置，遵循就近原则</w:t>
      </w:r>
      <w:r>
        <w:t>与其相接</w:t>
      </w:r>
      <w:r>
        <w:rPr>
          <w:rFonts w:hint="eastAsia"/>
        </w:rPr>
        <w:t>，能够</w:t>
      </w:r>
      <w:r>
        <w:t>保证项目的正常使用。</w:t>
      </w:r>
    </w:p>
    <w:p>
      <w:pPr>
        <w:ind w:firstLine="482"/>
        <w:rPr>
          <w:b/>
          <w:bCs/>
        </w:rPr>
      </w:pPr>
      <w:r>
        <w:rPr>
          <w:rFonts w:hint="eastAsia"/>
          <w:b/>
          <w:bCs/>
        </w:rPr>
        <w:t>（4）</w:t>
      </w:r>
      <w:r>
        <w:rPr>
          <w:b/>
          <w:bCs/>
        </w:rPr>
        <w:t>绿化设计</w:t>
      </w:r>
    </w:p>
    <w:p>
      <w:pPr>
        <w:ind w:firstLine="480"/>
      </w:pPr>
      <w:r>
        <w:rPr>
          <w:rFonts w:hint="eastAsia"/>
        </w:rPr>
        <w:t>建设单位</w:t>
      </w:r>
      <w:r>
        <w:t>在绿化及景观设计上考虑了与建筑的相互映衬，在有限的面积内合理配置绿地面积</w:t>
      </w:r>
      <w:r>
        <w:rPr>
          <w:rFonts w:hint="eastAsia"/>
        </w:rPr>
        <w:t>。根据建设单位提供的资料，建设单位计划在拟建区域北侧道路及东侧设置绿化带，通过厂区绿化可以进一部</w:t>
      </w:r>
      <w:r>
        <w:t>用降低污染，</w:t>
      </w:r>
      <w:r>
        <w:rPr>
          <w:rFonts w:hint="eastAsia"/>
        </w:rPr>
        <w:t>阻隔</w:t>
      </w:r>
      <w:r>
        <w:t>噪声，同时</w:t>
      </w:r>
      <w:r>
        <w:rPr>
          <w:rFonts w:hint="eastAsia"/>
        </w:rPr>
        <w:t>也能满足职工</w:t>
      </w:r>
      <w:r>
        <w:t>亲近自然的需求。</w:t>
      </w:r>
    </w:p>
    <w:p>
      <w:pPr>
        <w:ind w:firstLine="480"/>
      </w:pPr>
      <w:r>
        <w:rPr>
          <w:rFonts w:hint="eastAsia"/>
        </w:rPr>
        <w:t>综上</w:t>
      </w:r>
      <w:r>
        <w:t>，</w:t>
      </w:r>
      <w:r>
        <w:rPr>
          <w:rFonts w:hint="eastAsia"/>
        </w:rPr>
        <w:t>拟建</w:t>
      </w:r>
      <w:r>
        <w:t>项目总平面布置基本合理。项目平面布置图见附图</w:t>
      </w:r>
      <w:r>
        <w:rPr>
          <w:rFonts w:hint="eastAsia"/>
        </w:rPr>
        <w:t>9</w:t>
      </w:r>
      <w:r>
        <w:t>。</w:t>
      </w:r>
    </w:p>
    <w:bookmarkEnd w:id="471"/>
    <w:bookmarkEnd w:id="472"/>
    <w:bookmarkEnd w:id="473"/>
    <w:bookmarkEnd w:id="474"/>
    <w:bookmarkEnd w:id="479"/>
    <w:p>
      <w:pPr>
        <w:pStyle w:val="5"/>
        <w:spacing w:before="78" w:after="78"/>
        <w:ind w:firstLine="562"/>
      </w:pPr>
      <w:bookmarkStart w:id="489" w:name="_Toc27071"/>
      <w:bookmarkStart w:id="490" w:name="_Toc26741"/>
      <w:bookmarkStart w:id="491" w:name="_Toc10406"/>
      <w:bookmarkStart w:id="492" w:name="_Toc19445_WPSOffice_Level1"/>
      <w:bookmarkStart w:id="493" w:name="_Toc476086542"/>
      <w:bookmarkStart w:id="494" w:name="_Toc21683"/>
      <w:r>
        <w:rPr>
          <w:rFonts w:hint="eastAsia"/>
          <w:lang w:val="en-US" w:eastAsia="zh-CN"/>
        </w:rPr>
        <w:t>3</w:t>
      </w:r>
      <w:r>
        <w:t>.</w:t>
      </w:r>
      <w:r>
        <w:rPr>
          <w:rFonts w:hint="eastAsia"/>
        </w:rPr>
        <w:t>3、</w:t>
      </w:r>
      <w:r>
        <w:rPr>
          <w:rFonts w:hint="eastAsia"/>
          <w:lang w:val="en-US" w:eastAsia="zh-CN"/>
        </w:rPr>
        <w:t>拟建</w:t>
      </w:r>
      <w:r>
        <w:t>项目组织机构</w:t>
      </w:r>
      <w:bookmarkEnd w:id="489"/>
      <w:bookmarkEnd w:id="490"/>
      <w:bookmarkEnd w:id="491"/>
      <w:bookmarkEnd w:id="492"/>
      <w:bookmarkEnd w:id="493"/>
      <w:bookmarkEnd w:id="494"/>
    </w:p>
    <w:p>
      <w:pPr>
        <w:adjustRightInd w:val="0"/>
        <w:snapToGrid w:val="0"/>
        <w:spacing w:line="500" w:lineRule="exact"/>
        <w:ind w:firstLine="600" w:firstLineChars="250"/>
      </w:pPr>
      <w:r>
        <w:t>本项目企业组织机构见图</w:t>
      </w:r>
      <w:r>
        <w:rPr>
          <w:rFonts w:hint="eastAsia"/>
          <w:lang w:val="en-US" w:eastAsia="zh-CN"/>
        </w:rPr>
        <w:t>3</w:t>
      </w:r>
      <w:r>
        <w:t>-</w:t>
      </w:r>
      <w:r>
        <w:rPr>
          <w:rFonts w:hint="eastAsia"/>
          <w:lang w:val="en-US" w:eastAsia="zh-CN"/>
        </w:rPr>
        <w:t>6</w:t>
      </w:r>
      <w:r>
        <w:t>。</w:t>
      </w:r>
    </w:p>
    <w:p>
      <w:pPr>
        <w:ind w:firstLine="0" w:firstLineChars="0"/>
        <w:jc w:val="center"/>
        <w:rPr>
          <w:b/>
          <w:bCs/>
        </w:rPr>
      </w:pPr>
      <w:r>
        <w:rPr>
          <w:b/>
          <w:bCs/>
        </w:rPr>
        <w:object>
          <v:shape id="_x0000_i1039" o:spt="75" type="#_x0000_t75" style="height:193.05pt;width:415.15pt;" o:ole="t" filled="f" o:preferrelative="t" stroked="f" coordsize="21600,21600">
            <v:path/>
            <v:fill on="f" focussize="0,0"/>
            <v:stroke on="f"/>
            <v:imagedata r:id="rId49" o:title=""/>
            <o:lock v:ext="edit" aspectratio="f"/>
            <w10:wrap type="none"/>
            <w10:anchorlock/>
          </v:shape>
          <o:OLEObject Type="Embed" ProgID="Visio.Drawing.15" ShapeID="_x0000_i1039" DrawAspect="Content" ObjectID="_1468075739" r:id="rId48">
            <o:LockedField>false</o:LockedField>
          </o:OLEObject>
        </w:object>
      </w:r>
    </w:p>
    <w:p>
      <w:pPr>
        <w:ind w:firstLine="482"/>
        <w:jc w:val="center"/>
        <w:rPr>
          <w:b/>
          <w:bCs/>
        </w:rPr>
      </w:pPr>
      <w:r>
        <w:rPr>
          <w:b/>
          <w:bCs/>
        </w:rPr>
        <w:t>图</w:t>
      </w:r>
      <w:r>
        <w:rPr>
          <w:rFonts w:hint="eastAsia"/>
          <w:b/>
          <w:bCs/>
          <w:lang w:val="en-US" w:eastAsia="zh-CN"/>
        </w:rPr>
        <w:t>3</w:t>
      </w:r>
      <w:r>
        <w:rPr>
          <w:b/>
          <w:bCs/>
        </w:rPr>
        <w:t>-</w:t>
      </w:r>
      <w:r>
        <w:rPr>
          <w:rFonts w:hint="eastAsia"/>
          <w:b/>
          <w:bCs/>
          <w:lang w:val="en-US" w:eastAsia="zh-CN"/>
        </w:rPr>
        <w:t>6</w:t>
      </w:r>
      <w:r>
        <w:rPr>
          <w:b/>
          <w:bCs/>
        </w:rPr>
        <w:t xml:space="preserve">   企业组织机构简图</w:t>
      </w:r>
    </w:p>
    <w:p>
      <w:pPr>
        <w:pStyle w:val="5"/>
        <w:spacing w:before="78" w:after="78"/>
        <w:ind w:firstLine="562"/>
      </w:pPr>
      <w:bookmarkStart w:id="495" w:name="_Toc14915"/>
      <w:bookmarkStart w:id="496" w:name="_Toc11035_WPSOffice_Level1"/>
      <w:bookmarkStart w:id="497" w:name="_Toc25031"/>
      <w:bookmarkStart w:id="498" w:name="_Toc11823"/>
      <w:bookmarkStart w:id="499" w:name="_Toc23706"/>
      <w:r>
        <w:rPr>
          <w:rFonts w:hint="eastAsia"/>
          <w:lang w:val="en-US" w:eastAsia="zh-CN"/>
        </w:rPr>
        <w:t>3</w:t>
      </w:r>
      <w:r>
        <w:t>.</w:t>
      </w:r>
      <w:r>
        <w:rPr>
          <w:rFonts w:hint="eastAsia"/>
        </w:rPr>
        <w:t>4、</w:t>
      </w:r>
      <w:r>
        <w:rPr>
          <w:rFonts w:hint="eastAsia"/>
          <w:lang w:val="en-US" w:eastAsia="zh-CN"/>
        </w:rPr>
        <w:t>拟建</w:t>
      </w:r>
      <w:r>
        <w:t>项目依托</w:t>
      </w:r>
      <w:r>
        <w:rPr>
          <w:rFonts w:hint="eastAsia"/>
        </w:rPr>
        <w:t>原有建构筑物的</w:t>
      </w:r>
      <w:r>
        <w:t>可行性分析</w:t>
      </w:r>
      <w:bookmarkEnd w:id="495"/>
      <w:bookmarkEnd w:id="496"/>
      <w:bookmarkEnd w:id="497"/>
      <w:bookmarkEnd w:id="498"/>
      <w:bookmarkEnd w:id="499"/>
    </w:p>
    <w:p>
      <w:pPr>
        <w:ind w:firstLine="480"/>
      </w:pPr>
      <w:bookmarkStart w:id="500" w:name="_Toc31652_WPSOffice_Level2"/>
      <w:bookmarkStart w:id="501" w:name="_Toc16096_WPSOffice_Level2"/>
      <w:bookmarkStart w:id="502" w:name="_Toc23131"/>
      <w:bookmarkStart w:id="503" w:name="_Toc22521"/>
      <w:bookmarkStart w:id="504" w:name="_Toc19895"/>
      <w:bookmarkStart w:id="505" w:name="_Toc28488"/>
      <w:r>
        <w:rPr>
          <w:rFonts w:hint="eastAsia"/>
        </w:rPr>
        <w:t>本项目生活办公区、给水、排水、职工食宿等设施全部依托厂区现有的建构筑物。具体情况详见下表。</w:t>
      </w:r>
    </w:p>
    <w:p>
      <w:pPr>
        <w:spacing w:line="240" w:lineRule="auto"/>
        <w:ind w:firstLine="482"/>
        <w:jc w:val="center"/>
        <w:rPr>
          <w:b/>
          <w:bCs/>
        </w:rPr>
      </w:pPr>
      <w:r>
        <w:rPr>
          <w:rFonts w:hint="eastAsia"/>
          <w:b/>
          <w:bCs/>
        </w:rPr>
        <w:t>表2.1</w:t>
      </w:r>
      <w:r>
        <w:rPr>
          <w:rFonts w:hint="eastAsia"/>
          <w:b/>
          <w:bCs/>
          <w:lang w:val="en-US" w:eastAsia="zh-CN"/>
        </w:rPr>
        <w:t>1</w:t>
      </w:r>
      <w:r>
        <w:rPr>
          <w:rFonts w:hint="eastAsia"/>
          <w:b/>
          <w:bCs/>
        </w:rPr>
        <w:t xml:space="preserve">    本项目与原有建设内容依托关系一览表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1351"/>
        <w:gridCol w:w="7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b/>
                <w:bCs/>
                <w:sz w:val="21"/>
                <w:szCs w:val="21"/>
              </w:rPr>
            </w:pPr>
            <w:r>
              <w:rPr>
                <w:b/>
                <w:bCs/>
                <w:sz w:val="21"/>
                <w:szCs w:val="21"/>
              </w:rPr>
              <w:t>序号</w:t>
            </w:r>
          </w:p>
        </w:tc>
        <w:tc>
          <w:tcPr>
            <w:tcW w:w="678" w:type="pct"/>
            <w:vAlign w:val="center"/>
          </w:tcPr>
          <w:p>
            <w:pPr>
              <w:spacing w:line="240" w:lineRule="auto"/>
              <w:ind w:firstLine="0" w:firstLineChars="0"/>
              <w:jc w:val="center"/>
              <w:rPr>
                <w:b/>
                <w:bCs/>
                <w:sz w:val="21"/>
                <w:szCs w:val="21"/>
              </w:rPr>
            </w:pPr>
            <w:r>
              <w:rPr>
                <w:b/>
                <w:bCs/>
                <w:sz w:val="21"/>
                <w:szCs w:val="21"/>
              </w:rPr>
              <w:t>名称</w:t>
            </w:r>
          </w:p>
        </w:tc>
        <w:tc>
          <w:tcPr>
            <w:tcW w:w="3911" w:type="pct"/>
            <w:vAlign w:val="center"/>
          </w:tcPr>
          <w:p>
            <w:pPr>
              <w:spacing w:line="240" w:lineRule="auto"/>
              <w:ind w:firstLine="0" w:firstLineChars="0"/>
              <w:jc w:val="center"/>
              <w:rPr>
                <w:b/>
                <w:bCs/>
                <w:sz w:val="21"/>
                <w:szCs w:val="21"/>
              </w:rPr>
            </w:pPr>
            <w:r>
              <w:rPr>
                <w:b/>
                <w:bCs/>
                <w:sz w:val="21"/>
                <w:szCs w:val="21"/>
              </w:rPr>
              <w:t>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sz w:val="21"/>
                <w:szCs w:val="21"/>
              </w:rPr>
              <w:t>1</w:t>
            </w:r>
          </w:p>
        </w:tc>
        <w:tc>
          <w:tcPr>
            <w:tcW w:w="678" w:type="pct"/>
            <w:vAlign w:val="center"/>
          </w:tcPr>
          <w:p>
            <w:pPr>
              <w:spacing w:line="240" w:lineRule="auto"/>
              <w:ind w:firstLine="0" w:firstLineChars="0"/>
              <w:jc w:val="center"/>
              <w:rPr>
                <w:sz w:val="21"/>
                <w:szCs w:val="21"/>
              </w:rPr>
            </w:pPr>
            <w:r>
              <w:rPr>
                <w:sz w:val="21"/>
                <w:szCs w:val="21"/>
              </w:rPr>
              <w:t>办公楼</w:t>
            </w:r>
          </w:p>
        </w:tc>
        <w:tc>
          <w:tcPr>
            <w:tcW w:w="3911" w:type="pct"/>
            <w:vAlign w:val="center"/>
          </w:tcPr>
          <w:p>
            <w:pPr>
              <w:spacing w:line="240" w:lineRule="auto"/>
              <w:ind w:firstLine="0" w:firstLineChars="0"/>
              <w:jc w:val="left"/>
              <w:rPr>
                <w:sz w:val="21"/>
                <w:szCs w:val="21"/>
              </w:rPr>
            </w:pPr>
            <w:r>
              <w:rPr>
                <w:sz w:val="21"/>
                <w:szCs w:val="21"/>
              </w:rPr>
              <w:t>依托现有的办公大楼，三层钢筋砼框架结构，建筑面积2688m</w:t>
            </w:r>
            <w:r>
              <w:rPr>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sz w:val="21"/>
                <w:szCs w:val="21"/>
              </w:rPr>
              <w:t>2</w:t>
            </w:r>
          </w:p>
        </w:tc>
        <w:tc>
          <w:tcPr>
            <w:tcW w:w="678" w:type="pct"/>
            <w:vAlign w:val="center"/>
          </w:tcPr>
          <w:p>
            <w:pPr>
              <w:spacing w:line="240" w:lineRule="auto"/>
              <w:ind w:firstLine="0" w:firstLineChars="0"/>
              <w:jc w:val="center"/>
              <w:rPr>
                <w:sz w:val="21"/>
                <w:szCs w:val="21"/>
              </w:rPr>
            </w:pPr>
            <w:r>
              <w:rPr>
                <w:sz w:val="21"/>
                <w:szCs w:val="21"/>
              </w:rPr>
              <w:t>职工宿舍</w:t>
            </w:r>
          </w:p>
        </w:tc>
        <w:tc>
          <w:tcPr>
            <w:tcW w:w="3911" w:type="pct"/>
            <w:vAlign w:val="center"/>
          </w:tcPr>
          <w:p>
            <w:pPr>
              <w:spacing w:line="240" w:lineRule="auto"/>
              <w:ind w:firstLine="0" w:firstLineChars="0"/>
              <w:jc w:val="left"/>
              <w:rPr>
                <w:sz w:val="21"/>
                <w:szCs w:val="21"/>
              </w:rPr>
            </w:pPr>
            <w:r>
              <w:rPr>
                <w:sz w:val="21"/>
                <w:szCs w:val="21"/>
              </w:rPr>
              <w:t>依托现有的职工宿舍，建筑面积1344m</w:t>
            </w:r>
            <w:r>
              <w:rPr>
                <w:sz w:val="21"/>
                <w:szCs w:val="21"/>
                <w:vertAlign w:val="superscript"/>
              </w:rPr>
              <w:t>2</w:t>
            </w:r>
            <w:r>
              <w:rPr>
                <w:sz w:val="21"/>
                <w:szCs w:val="21"/>
              </w:rPr>
              <w:t>，二层钢筋砼框架结构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sz w:val="21"/>
                <w:szCs w:val="21"/>
              </w:rPr>
              <w:t>3</w:t>
            </w:r>
          </w:p>
        </w:tc>
        <w:tc>
          <w:tcPr>
            <w:tcW w:w="678" w:type="pct"/>
            <w:vAlign w:val="center"/>
          </w:tcPr>
          <w:p>
            <w:pPr>
              <w:spacing w:line="240" w:lineRule="auto"/>
              <w:ind w:firstLine="0" w:firstLineChars="0"/>
              <w:jc w:val="center"/>
              <w:rPr>
                <w:sz w:val="21"/>
                <w:szCs w:val="21"/>
              </w:rPr>
            </w:pPr>
            <w:r>
              <w:rPr>
                <w:rFonts w:hint="eastAsia"/>
                <w:sz w:val="21"/>
                <w:szCs w:val="21"/>
              </w:rPr>
              <w:t>职工食堂</w:t>
            </w:r>
          </w:p>
        </w:tc>
        <w:tc>
          <w:tcPr>
            <w:tcW w:w="3911" w:type="pct"/>
            <w:vAlign w:val="center"/>
          </w:tcPr>
          <w:p>
            <w:pPr>
              <w:spacing w:line="240" w:lineRule="auto"/>
              <w:ind w:firstLine="0" w:firstLineChars="0"/>
              <w:jc w:val="left"/>
              <w:rPr>
                <w:sz w:val="21"/>
                <w:szCs w:val="21"/>
              </w:rPr>
            </w:pPr>
            <w:r>
              <w:rPr>
                <w:rFonts w:hint="eastAsia"/>
                <w:sz w:val="21"/>
                <w:szCs w:val="21"/>
              </w:rPr>
              <w:t>依托现有的</w:t>
            </w:r>
            <w:r>
              <w:rPr>
                <w:sz w:val="21"/>
                <w:szCs w:val="21"/>
              </w:rPr>
              <w:t>职工食堂，建筑面积945m</w:t>
            </w:r>
            <w:r>
              <w:rPr>
                <w:sz w:val="21"/>
                <w:szCs w:val="21"/>
                <w:vertAlign w:val="superscript"/>
              </w:rPr>
              <w:t>2</w:t>
            </w:r>
            <w:r>
              <w:rPr>
                <w:sz w:val="21"/>
                <w:szCs w:val="21"/>
              </w:rPr>
              <w:t>，单层钢筋砼结构</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sz w:val="21"/>
                <w:szCs w:val="21"/>
              </w:rPr>
              <w:t>4</w:t>
            </w:r>
          </w:p>
        </w:tc>
        <w:tc>
          <w:tcPr>
            <w:tcW w:w="678" w:type="pct"/>
            <w:vAlign w:val="center"/>
          </w:tcPr>
          <w:p>
            <w:pPr>
              <w:spacing w:line="240" w:lineRule="auto"/>
              <w:ind w:firstLine="0" w:firstLineChars="0"/>
              <w:jc w:val="center"/>
              <w:rPr>
                <w:sz w:val="21"/>
                <w:szCs w:val="21"/>
              </w:rPr>
            </w:pPr>
            <w:r>
              <w:rPr>
                <w:sz w:val="21"/>
                <w:szCs w:val="21"/>
              </w:rPr>
              <w:t>运输道路</w:t>
            </w:r>
          </w:p>
        </w:tc>
        <w:tc>
          <w:tcPr>
            <w:tcW w:w="3911" w:type="pct"/>
            <w:vAlign w:val="center"/>
          </w:tcPr>
          <w:p>
            <w:pPr>
              <w:spacing w:line="240" w:lineRule="auto"/>
              <w:ind w:firstLine="0" w:firstLineChars="0"/>
              <w:jc w:val="left"/>
              <w:rPr>
                <w:sz w:val="21"/>
                <w:szCs w:val="21"/>
              </w:rPr>
            </w:pPr>
            <w:r>
              <w:rPr>
                <w:sz w:val="21"/>
                <w:szCs w:val="21"/>
              </w:rPr>
              <w:t>外部运输主要依托厂区南侧的S18（张掖至肃南），厂内运输依托现有的厂内道路。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sz w:val="21"/>
                <w:szCs w:val="21"/>
              </w:rPr>
              <w:t>5</w:t>
            </w:r>
          </w:p>
        </w:tc>
        <w:tc>
          <w:tcPr>
            <w:tcW w:w="678" w:type="pct"/>
            <w:vAlign w:val="center"/>
          </w:tcPr>
          <w:p>
            <w:pPr>
              <w:spacing w:line="240" w:lineRule="auto"/>
              <w:ind w:firstLine="0" w:firstLineChars="0"/>
              <w:jc w:val="center"/>
              <w:rPr>
                <w:sz w:val="21"/>
                <w:szCs w:val="21"/>
              </w:rPr>
            </w:pPr>
            <w:r>
              <w:rPr>
                <w:sz w:val="21"/>
                <w:szCs w:val="21"/>
              </w:rPr>
              <w:t>供水</w:t>
            </w:r>
          </w:p>
        </w:tc>
        <w:tc>
          <w:tcPr>
            <w:tcW w:w="3911" w:type="pct"/>
            <w:vAlign w:val="center"/>
          </w:tcPr>
          <w:p>
            <w:pPr>
              <w:spacing w:line="240" w:lineRule="auto"/>
              <w:ind w:firstLine="0" w:firstLineChars="0"/>
              <w:jc w:val="left"/>
              <w:rPr>
                <w:sz w:val="21"/>
                <w:szCs w:val="21"/>
              </w:rPr>
            </w:pPr>
            <w:r>
              <w:rPr>
                <w:sz w:val="21"/>
                <w:szCs w:val="21"/>
              </w:rPr>
              <w:t>依托园区供水管网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rFonts w:hint="eastAsia"/>
                <w:sz w:val="21"/>
                <w:szCs w:val="21"/>
              </w:rPr>
              <w:t>6</w:t>
            </w:r>
          </w:p>
        </w:tc>
        <w:tc>
          <w:tcPr>
            <w:tcW w:w="678" w:type="pct"/>
            <w:vAlign w:val="center"/>
          </w:tcPr>
          <w:p>
            <w:pPr>
              <w:spacing w:line="240" w:lineRule="auto"/>
              <w:ind w:firstLine="0" w:firstLineChars="0"/>
              <w:jc w:val="center"/>
              <w:rPr>
                <w:sz w:val="21"/>
                <w:szCs w:val="21"/>
              </w:rPr>
            </w:pPr>
            <w:r>
              <w:rPr>
                <w:sz w:val="21"/>
                <w:szCs w:val="21"/>
              </w:rPr>
              <w:t>污水处理站</w:t>
            </w:r>
          </w:p>
        </w:tc>
        <w:tc>
          <w:tcPr>
            <w:tcW w:w="3911" w:type="pct"/>
            <w:vAlign w:val="center"/>
          </w:tcPr>
          <w:p>
            <w:pPr>
              <w:spacing w:line="240" w:lineRule="auto"/>
              <w:ind w:firstLine="0" w:firstLineChars="0"/>
              <w:jc w:val="left"/>
              <w:rPr>
                <w:rFonts w:hint="eastAsia" w:eastAsia="宋体"/>
                <w:sz w:val="21"/>
                <w:szCs w:val="21"/>
                <w:lang w:val="en-US" w:eastAsia="zh-CN"/>
              </w:rPr>
            </w:pPr>
            <w:r>
              <w:rPr>
                <w:sz w:val="21"/>
                <w:szCs w:val="21"/>
              </w:rPr>
              <w:t>依托现有的污水处理站，处理能力为</w:t>
            </w:r>
            <w:r>
              <w:rPr>
                <w:rFonts w:hint="eastAsia"/>
                <w:sz w:val="21"/>
                <w:szCs w:val="21"/>
                <w:lang w:val="en-US" w:eastAsia="zh-CN"/>
              </w:rPr>
              <w:t>7</w:t>
            </w:r>
            <w:r>
              <w:rPr>
                <w:rFonts w:hint="eastAsia"/>
                <w:sz w:val="21"/>
                <w:szCs w:val="21"/>
              </w:rPr>
              <w:t>0</w:t>
            </w:r>
            <w:r>
              <w:rPr>
                <w:sz w:val="21"/>
                <w:szCs w:val="21"/>
              </w:rPr>
              <w:t>0m</w:t>
            </w:r>
            <w:r>
              <w:rPr>
                <w:sz w:val="21"/>
                <w:szCs w:val="21"/>
                <w:vertAlign w:val="superscript"/>
              </w:rPr>
              <w:t>3</w:t>
            </w:r>
            <w:r>
              <w:rPr>
                <w:sz w:val="21"/>
                <w:szCs w:val="21"/>
              </w:rPr>
              <w:t>/d，污水处理工艺为：预处理+二级生化处理+消毒处理</w:t>
            </w:r>
            <w:r>
              <w:rPr>
                <w:rFonts w:hint="eastAsia"/>
                <w:sz w:val="21"/>
                <w:szCs w:val="21"/>
                <w:lang w:eastAsia="zh-CN"/>
              </w:rPr>
              <w:t>，</w:t>
            </w:r>
            <w:r>
              <w:rPr>
                <w:rFonts w:hint="eastAsia"/>
                <w:sz w:val="21"/>
                <w:szCs w:val="21"/>
                <w:lang w:val="en-US" w:eastAsia="zh-CN"/>
              </w:rPr>
              <w:t>同时建设单位拟计划对现有的污水处理站进行扩容，扩容后废水处理规模为1500</w:t>
            </w:r>
            <w:r>
              <w:rPr>
                <w:sz w:val="21"/>
                <w:szCs w:val="21"/>
              </w:rPr>
              <w:t>m</w:t>
            </w:r>
            <w:r>
              <w:rPr>
                <w:sz w:val="21"/>
                <w:szCs w:val="21"/>
                <w:vertAlign w:val="superscript"/>
              </w:rPr>
              <w:t>3</w:t>
            </w:r>
            <w:r>
              <w:rPr>
                <w:sz w:val="21"/>
                <w:szCs w:val="21"/>
              </w:rPr>
              <w:t>/d</w:t>
            </w:r>
            <w:r>
              <w:rPr>
                <w:rFonts w:hint="eastAsia"/>
                <w:sz w:val="21"/>
                <w:szCs w:val="21"/>
                <w:lang w:eastAsia="zh-CN"/>
              </w:rPr>
              <w:t>（</w:t>
            </w:r>
            <w:r>
              <w:rPr>
                <w:rFonts w:hint="eastAsia"/>
                <w:sz w:val="21"/>
                <w:szCs w:val="21"/>
                <w:lang w:val="en-US" w:eastAsia="zh-CN"/>
              </w:rPr>
              <w:t>污水处理站扩容工程不再本环评范围内</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rFonts w:hint="eastAsia"/>
                <w:sz w:val="21"/>
                <w:szCs w:val="21"/>
              </w:rPr>
              <w:t>7</w:t>
            </w:r>
          </w:p>
        </w:tc>
        <w:tc>
          <w:tcPr>
            <w:tcW w:w="678" w:type="pct"/>
            <w:vAlign w:val="center"/>
          </w:tcPr>
          <w:p>
            <w:pPr>
              <w:spacing w:line="240" w:lineRule="auto"/>
              <w:ind w:firstLine="0" w:firstLineChars="0"/>
              <w:jc w:val="center"/>
              <w:rPr>
                <w:sz w:val="21"/>
                <w:szCs w:val="21"/>
              </w:rPr>
            </w:pPr>
            <w:r>
              <w:rPr>
                <w:sz w:val="21"/>
                <w:szCs w:val="21"/>
              </w:rPr>
              <w:t>供电</w:t>
            </w:r>
          </w:p>
        </w:tc>
        <w:tc>
          <w:tcPr>
            <w:tcW w:w="3911" w:type="pct"/>
            <w:vAlign w:val="center"/>
          </w:tcPr>
          <w:p>
            <w:pPr>
              <w:spacing w:line="240" w:lineRule="auto"/>
              <w:ind w:firstLine="0" w:firstLineChars="0"/>
              <w:jc w:val="left"/>
              <w:rPr>
                <w:sz w:val="21"/>
                <w:szCs w:val="21"/>
              </w:rPr>
            </w:pPr>
            <w:r>
              <w:rPr>
                <w:sz w:val="21"/>
                <w:szCs w:val="21"/>
              </w:rPr>
              <w:t>由园区电网供电。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rFonts w:hint="eastAsia"/>
                <w:sz w:val="21"/>
                <w:szCs w:val="21"/>
              </w:rPr>
              <w:t>8</w:t>
            </w:r>
          </w:p>
        </w:tc>
        <w:tc>
          <w:tcPr>
            <w:tcW w:w="678" w:type="pct"/>
            <w:vAlign w:val="center"/>
          </w:tcPr>
          <w:p>
            <w:pPr>
              <w:spacing w:line="240" w:lineRule="auto"/>
              <w:ind w:firstLine="0" w:firstLineChars="0"/>
              <w:jc w:val="center"/>
              <w:rPr>
                <w:sz w:val="21"/>
                <w:szCs w:val="21"/>
              </w:rPr>
            </w:pPr>
            <w:r>
              <w:rPr>
                <w:sz w:val="21"/>
                <w:szCs w:val="21"/>
              </w:rPr>
              <w:t>采暖</w:t>
            </w:r>
          </w:p>
        </w:tc>
        <w:tc>
          <w:tcPr>
            <w:tcW w:w="3911" w:type="pct"/>
            <w:vAlign w:val="center"/>
          </w:tcPr>
          <w:p>
            <w:pPr>
              <w:spacing w:line="240" w:lineRule="auto"/>
              <w:ind w:firstLine="0" w:firstLineChars="0"/>
              <w:jc w:val="left"/>
              <w:rPr>
                <w:sz w:val="21"/>
                <w:szCs w:val="21"/>
              </w:rPr>
            </w:pPr>
            <w:r>
              <w:rPr>
                <w:sz w:val="21"/>
                <w:szCs w:val="21"/>
              </w:rPr>
              <w:t>冬季生活办公区采暖依托厂区现有的锅炉房，综合生产车间不供热。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rFonts w:hint="eastAsia"/>
                <w:sz w:val="21"/>
                <w:szCs w:val="21"/>
              </w:rPr>
              <w:t>9</w:t>
            </w:r>
          </w:p>
        </w:tc>
        <w:tc>
          <w:tcPr>
            <w:tcW w:w="678" w:type="pct"/>
            <w:vAlign w:val="center"/>
          </w:tcPr>
          <w:p>
            <w:pPr>
              <w:spacing w:line="240" w:lineRule="auto"/>
              <w:ind w:firstLine="0" w:firstLineChars="0"/>
              <w:jc w:val="center"/>
              <w:rPr>
                <w:sz w:val="21"/>
                <w:szCs w:val="21"/>
              </w:rPr>
            </w:pPr>
            <w:r>
              <w:rPr>
                <w:sz w:val="21"/>
                <w:szCs w:val="21"/>
              </w:rPr>
              <w:t>其他设施</w:t>
            </w:r>
          </w:p>
        </w:tc>
        <w:tc>
          <w:tcPr>
            <w:tcW w:w="3911" w:type="pct"/>
            <w:vAlign w:val="center"/>
          </w:tcPr>
          <w:p>
            <w:pPr>
              <w:spacing w:line="240" w:lineRule="auto"/>
              <w:ind w:firstLine="0" w:firstLineChars="0"/>
              <w:jc w:val="left"/>
              <w:rPr>
                <w:sz w:val="21"/>
                <w:szCs w:val="21"/>
              </w:rPr>
            </w:pPr>
            <w:r>
              <w:rPr>
                <w:sz w:val="21"/>
                <w:szCs w:val="21"/>
              </w:rPr>
              <w:t>厂区大门、门房等基础设施全部依托现有的建构筑物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Align w:val="center"/>
          </w:tcPr>
          <w:p>
            <w:pPr>
              <w:spacing w:line="240" w:lineRule="auto"/>
              <w:ind w:firstLine="0" w:firstLineChars="0"/>
              <w:jc w:val="center"/>
              <w:rPr>
                <w:sz w:val="21"/>
                <w:szCs w:val="21"/>
              </w:rPr>
            </w:pPr>
            <w:r>
              <w:rPr>
                <w:rFonts w:hint="eastAsia"/>
                <w:sz w:val="21"/>
                <w:szCs w:val="21"/>
              </w:rPr>
              <w:t>10</w:t>
            </w:r>
          </w:p>
        </w:tc>
        <w:tc>
          <w:tcPr>
            <w:tcW w:w="678" w:type="pct"/>
            <w:vAlign w:val="center"/>
          </w:tcPr>
          <w:p>
            <w:pPr>
              <w:spacing w:line="240" w:lineRule="auto"/>
              <w:ind w:firstLine="0" w:firstLineChars="0"/>
              <w:jc w:val="center"/>
              <w:rPr>
                <w:sz w:val="21"/>
                <w:szCs w:val="21"/>
              </w:rPr>
            </w:pPr>
            <w:r>
              <w:rPr>
                <w:sz w:val="21"/>
                <w:szCs w:val="21"/>
              </w:rPr>
              <w:t>管理制度</w:t>
            </w:r>
          </w:p>
        </w:tc>
        <w:tc>
          <w:tcPr>
            <w:tcW w:w="3911" w:type="pct"/>
            <w:vAlign w:val="center"/>
          </w:tcPr>
          <w:p>
            <w:pPr>
              <w:spacing w:line="240" w:lineRule="auto"/>
              <w:ind w:firstLine="0" w:firstLineChars="0"/>
              <w:jc w:val="left"/>
              <w:rPr>
                <w:sz w:val="21"/>
                <w:szCs w:val="21"/>
              </w:rPr>
            </w:pPr>
            <w:r>
              <w:rPr>
                <w:sz w:val="21"/>
                <w:szCs w:val="21"/>
              </w:rPr>
              <w:t>项目建成后管理制度沿袭现有的管理制度</w:t>
            </w:r>
          </w:p>
        </w:tc>
      </w:tr>
    </w:tbl>
    <w:p>
      <w:pPr>
        <w:pStyle w:val="6"/>
        <w:ind w:firstLine="482"/>
      </w:pPr>
      <w:bookmarkStart w:id="506" w:name="_Toc8929"/>
      <w:r>
        <w:rPr>
          <w:rFonts w:hint="eastAsia"/>
          <w:lang w:val="en-US" w:eastAsia="zh-CN"/>
        </w:rPr>
        <w:t>3</w:t>
      </w:r>
      <w:r>
        <w:rPr>
          <w:rFonts w:hint="eastAsia"/>
        </w:rPr>
        <w:t>.4.1、生活办公区依托的可行性分析</w:t>
      </w:r>
      <w:bookmarkEnd w:id="506"/>
    </w:p>
    <w:p>
      <w:pPr>
        <w:adjustRightInd w:val="0"/>
        <w:snapToGrid w:val="0"/>
        <w:spacing w:line="500" w:lineRule="exact"/>
        <w:ind w:firstLine="482"/>
        <w:rPr>
          <w:b/>
          <w:bCs/>
        </w:rPr>
      </w:pPr>
      <w:r>
        <w:rPr>
          <w:rFonts w:hint="eastAsia"/>
          <w:b/>
          <w:bCs/>
        </w:rPr>
        <w:t>（1）办公区</w:t>
      </w:r>
    </w:p>
    <w:p>
      <w:pPr>
        <w:adjustRightInd w:val="0"/>
        <w:snapToGrid w:val="0"/>
        <w:spacing w:line="500" w:lineRule="exact"/>
        <w:ind w:firstLine="480"/>
      </w:pPr>
      <w:r>
        <w:rPr>
          <w:rFonts w:hint="eastAsia"/>
        </w:rPr>
        <w:t>本项目已经建成办公大楼1座，</w:t>
      </w:r>
      <w:r>
        <w:t>三层钢筋砼框架结构</w:t>
      </w:r>
      <w:r>
        <w:rPr>
          <w:rFonts w:hint="eastAsia"/>
        </w:rPr>
        <w:t>，总体上位于拟建区域西侧，根据建设单位提供的资料，办公楼现有剩余办公间24间，可设置办公位56个，本项目新增管理人员20人，故现有的办公楼能够满足本项目办公需求。</w:t>
      </w:r>
    </w:p>
    <w:p>
      <w:pPr>
        <w:adjustRightInd w:val="0"/>
        <w:snapToGrid w:val="0"/>
        <w:spacing w:line="500" w:lineRule="exact"/>
        <w:ind w:firstLine="482"/>
      </w:pPr>
      <w:r>
        <w:rPr>
          <w:rFonts w:hint="eastAsia"/>
          <w:b/>
          <w:bCs/>
        </w:rPr>
        <w:t>（2）生活区</w:t>
      </w:r>
    </w:p>
    <w:p>
      <w:pPr>
        <w:adjustRightInd w:val="0"/>
        <w:snapToGrid w:val="0"/>
        <w:spacing w:line="500" w:lineRule="exact"/>
        <w:ind w:firstLine="480"/>
      </w:pPr>
      <w:r>
        <w:t>目前企业已建成职工宿舍</w:t>
      </w:r>
      <w:r>
        <w:rPr>
          <w:rFonts w:hint="eastAsia"/>
        </w:rPr>
        <w:t>，建筑面积</w:t>
      </w:r>
      <w:r>
        <w:t>1344m</w:t>
      </w:r>
      <w:r>
        <w:rPr>
          <w:vertAlign w:val="superscript"/>
        </w:rPr>
        <w:t>2</w:t>
      </w:r>
      <w:r>
        <w:t>（设计容纳人数为</w:t>
      </w:r>
      <w:r>
        <w:rPr>
          <w:rFonts w:hint="eastAsia"/>
        </w:rPr>
        <w:t>4</w:t>
      </w:r>
      <w:r>
        <w:t>00人，宿舍床铺为上下铺）</w:t>
      </w:r>
      <w:r>
        <w:rPr>
          <w:rFonts w:hint="eastAsia"/>
        </w:rPr>
        <w:t>，二层钢筋砼框架结构</w:t>
      </w:r>
      <w:r>
        <w:t>，根据调查，目前入住职工约为</w:t>
      </w:r>
      <w:r>
        <w:rPr>
          <w:rFonts w:hint="eastAsia"/>
        </w:rPr>
        <w:t>262</w:t>
      </w:r>
      <w:r>
        <w:t>人，入住率</w:t>
      </w:r>
      <w:r>
        <w:rPr>
          <w:rFonts w:hint="eastAsia"/>
        </w:rPr>
        <w:t>65</w:t>
      </w:r>
      <w:r>
        <w:t>%，本项目建成后新增员工</w:t>
      </w:r>
      <w:r>
        <w:rPr>
          <w:rFonts w:hint="eastAsia"/>
        </w:rPr>
        <w:t>100</w:t>
      </w:r>
      <w:r>
        <w:t>名，按全部住宿考虑，则住宿总人数为</w:t>
      </w:r>
      <w:r>
        <w:rPr>
          <w:rFonts w:hint="eastAsia"/>
        </w:rPr>
        <w:t>362</w:t>
      </w:r>
      <w:r>
        <w:t>人，职工宿舍尚未饱和，依托可行</w:t>
      </w:r>
      <w:r>
        <w:rPr>
          <w:rFonts w:hint="eastAsia"/>
        </w:rPr>
        <w:t>。</w:t>
      </w:r>
    </w:p>
    <w:p>
      <w:pPr>
        <w:adjustRightInd w:val="0"/>
        <w:snapToGrid w:val="0"/>
        <w:spacing w:line="500" w:lineRule="exact"/>
        <w:ind w:firstLine="482"/>
        <w:outlineLvl w:val="2"/>
        <w:rPr>
          <w:b/>
          <w:bCs/>
        </w:rPr>
      </w:pPr>
      <w:bookmarkStart w:id="507" w:name="_Toc11652"/>
      <w:r>
        <w:rPr>
          <w:rFonts w:hint="eastAsia"/>
          <w:b/>
          <w:bCs/>
          <w:lang w:val="en-US" w:eastAsia="zh-CN"/>
        </w:rPr>
        <w:t>3</w:t>
      </w:r>
      <w:r>
        <w:rPr>
          <w:rFonts w:hint="eastAsia"/>
          <w:b/>
          <w:bCs/>
        </w:rPr>
        <w:t>.4.2、</w:t>
      </w:r>
      <w:r>
        <w:rPr>
          <w:b/>
          <w:bCs/>
        </w:rPr>
        <w:t>职工食堂</w:t>
      </w:r>
      <w:r>
        <w:rPr>
          <w:rFonts w:hint="eastAsia"/>
          <w:b/>
          <w:bCs/>
        </w:rPr>
        <w:t>依托的可行性分析</w:t>
      </w:r>
      <w:bookmarkEnd w:id="507"/>
    </w:p>
    <w:p>
      <w:pPr>
        <w:adjustRightInd w:val="0"/>
        <w:snapToGrid w:val="0"/>
        <w:spacing w:line="500" w:lineRule="exact"/>
        <w:ind w:firstLine="480"/>
      </w:pPr>
      <w:r>
        <w:rPr>
          <w:rFonts w:hint="eastAsia"/>
        </w:rPr>
        <w:t>目前建设单位建设有</w:t>
      </w:r>
      <w:r>
        <w:t>职工食堂</w:t>
      </w:r>
      <w:r>
        <w:rPr>
          <w:rFonts w:hint="eastAsia"/>
        </w:rPr>
        <w:t>1处，建筑面积</w:t>
      </w:r>
      <w:r>
        <w:t>945m</w:t>
      </w:r>
      <w:r>
        <w:rPr>
          <w:vertAlign w:val="superscript"/>
        </w:rPr>
        <w:t>2</w:t>
      </w:r>
      <w:r>
        <w:t>，单层钢筋砼结构</w:t>
      </w:r>
      <w:r>
        <w:rPr>
          <w:rFonts w:hint="eastAsia"/>
        </w:rPr>
        <w:t>，</w:t>
      </w:r>
      <w:r>
        <w:t>职工食堂可同时容纳</w:t>
      </w:r>
      <w:r>
        <w:rPr>
          <w:rFonts w:hint="eastAsia"/>
        </w:rPr>
        <w:t>500</w:t>
      </w:r>
      <w:r>
        <w:t>人就餐，厂区现有职工</w:t>
      </w:r>
      <w:r>
        <w:rPr>
          <w:rFonts w:hint="eastAsia"/>
        </w:rPr>
        <w:t>353</w:t>
      </w:r>
      <w:r>
        <w:t>人，本项目建成后新增员工</w:t>
      </w:r>
      <w:r>
        <w:rPr>
          <w:rFonts w:hint="eastAsia"/>
        </w:rPr>
        <w:t>100</w:t>
      </w:r>
      <w:r>
        <w:t>人，日最大就餐人数</w:t>
      </w:r>
      <w:r>
        <w:rPr>
          <w:rFonts w:hint="eastAsia"/>
        </w:rPr>
        <w:t>453</w:t>
      </w:r>
      <w:r>
        <w:t>人，</w:t>
      </w:r>
      <w:r>
        <w:rPr>
          <w:rFonts w:hint="eastAsia"/>
        </w:rPr>
        <w:t>因此整体上本项目员工用餐依托现有的职工食堂可行，但是由于用餐人数的增加仍会</w:t>
      </w:r>
      <w:r>
        <w:t>对食堂产生一定的影响，主要体现在油烟治理设施运行负荷上，根据</w:t>
      </w:r>
      <w:r>
        <w:rPr>
          <w:rFonts w:hint="eastAsia"/>
        </w:rPr>
        <w:t>建设单位提供的《节水型工农业复合循环体系改造升级项目竣工环境保护验收监测报告》（甘肃沁园环保科技有限公司，2022年2月）可知，</w:t>
      </w:r>
      <w:r>
        <w:t>企业现有油烟净化装置处理效率</w:t>
      </w:r>
      <w:r>
        <w:rPr>
          <w:rFonts w:hint="eastAsia"/>
        </w:rPr>
        <w:t>大于</w:t>
      </w:r>
      <w:r>
        <w:t>85%，在本项目建成后，食堂就餐人数</w:t>
      </w:r>
      <w:r>
        <w:rPr>
          <w:rFonts w:hint="eastAsia"/>
        </w:rPr>
        <w:t>虽然</w:t>
      </w:r>
      <w:r>
        <w:t>增加</w:t>
      </w:r>
      <w:r>
        <w:rPr>
          <w:rFonts w:hint="eastAsia"/>
        </w:rPr>
        <w:t>但未超过设计就餐人数</w:t>
      </w:r>
      <w:r>
        <w:t>，油烟产生量</w:t>
      </w:r>
      <w:r>
        <w:rPr>
          <w:rFonts w:hint="eastAsia"/>
        </w:rPr>
        <w:t>虽然</w:t>
      </w:r>
      <w:r>
        <w:t>增大</w:t>
      </w:r>
      <w:r>
        <w:rPr>
          <w:rFonts w:hint="eastAsia"/>
        </w:rPr>
        <w:t>但是仍控制在设计范围内</w:t>
      </w:r>
      <w:r>
        <w:t>，</w:t>
      </w:r>
      <w:r>
        <w:rPr>
          <w:rFonts w:hint="eastAsia"/>
        </w:rPr>
        <w:t>因此</w:t>
      </w:r>
      <w:r>
        <w:t>不会对</w:t>
      </w:r>
      <w:r>
        <w:rPr>
          <w:rFonts w:hint="eastAsia"/>
        </w:rPr>
        <w:t>油烟净化设施</w:t>
      </w:r>
      <w:r>
        <w:t>造成</w:t>
      </w:r>
      <w:r>
        <w:rPr>
          <w:rFonts w:hint="eastAsia"/>
        </w:rPr>
        <w:t>较</w:t>
      </w:r>
      <w:r>
        <w:t>大的冲击，依托可行。</w:t>
      </w:r>
    </w:p>
    <w:p>
      <w:pPr>
        <w:pStyle w:val="6"/>
        <w:ind w:firstLine="482"/>
      </w:pPr>
      <w:bookmarkStart w:id="508" w:name="_Toc20214"/>
      <w:r>
        <w:rPr>
          <w:rFonts w:hint="eastAsia"/>
          <w:lang w:val="en-US" w:eastAsia="zh-CN"/>
        </w:rPr>
        <w:t>3</w:t>
      </w:r>
      <w:r>
        <w:rPr>
          <w:rFonts w:hint="eastAsia"/>
        </w:rPr>
        <w:t>.4.3、运输道路依托的可行性</w:t>
      </w:r>
      <w:bookmarkEnd w:id="508"/>
    </w:p>
    <w:p>
      <w:pPr>
        <w:ind w:firstLine="480"/>
      </w:pPr>
      <w:r>
        <w:rPr>
          <w:rFonts w:hint="eastAsia"/>
        </w:rPr>
        <w:t>本项目厂内建设有完善的运输道路，且运输道路已经完成硬化处理，厂内运输道路整体宽6m，冷链运输车最大宽度3.0m，肉羊（活）运输车最大宽度2.5m，故本项目产品及原料运输依托厂区现有道路可行，同时厂区南侧临S18（张掖至肃南，一级公路），能够直达张掖市，故也能够满足本项目运输要求。</w:t>
      </w:r>
    </w:p>
    <w:p>
      <w:pPr>
        <w:pStyle w:val="6"/>
        <w:ind w:firstLine="482"/>
      </w:pPr>
      <w:bookmarkStart w:id="509" w:name="_Toc25850"/>
      <w:r>
        <w:rPr>
          <w:rFonts w:hint="eastAsia"/>
          <w:lang w:val="en-US" w:eastAsia="zh-CN"/>
        </w:rPr>
        <w:t>3</w:t>
      </w:r>
      <w:r>
        <w:t>.</w:t>
      </w:r>
      <w:r>
        <w:rPr>
          <w:rFonts w:hint="eastAsia"/>
        </w:rPr>
        <w:t>4</w:t>
      </w:r>
      <w:r>
        <w:t>.</w:t>
      </w:r>
      <w:r>
        <w:rPr>
          <w:rFonts w:hint="eastAsia"/>
        </w:rPr>
        <w:t>4、供水</w:t>
      </w:r>
      <w:r>
        <w:t>依托可行性</w:t>
      </w:r>
      <w:bookmarkEnd w:id="500"/>
      <w:bookmarkEnd w:id="501"/>
      <w:bookmarkEnd w:id="509"/>
    </w:p>
    <w:p>
      <w:pPr>
        <w:adjustRightInd w:val="0"/>
        <w:snapToGrid w:val="0"/>
        <w:spacing w:line="500" w:lineRule="exact"/>
        <w:ind w:firstLine="480"/>
      </w:pPr>
      <w:r>
        <w:rPr>
          <w:rFonts w:hint="eastAsia"/>
          <w:lang w:eastAsia="zh-CN"/>
        </w:rPr>
        <w:t>张掖市沅博农牧产业开发有限公司</w:t>
      </w:r>
      <w:r>
        <w:rPr>
          <w:rFonts w:hint="eastAsia"/>
        </w:rPr>
        <w:t>内建设有完善的供水管网，拟建项目建成后可直接与公司现有的供水管网连接，能够保证本项目的用水需求。</w:t>
      </w:r>
    </w:p>
    <w:p>
      <w:pPr>
        <w:pStyle w:val="6"/>
        <w:ind w:firstLine="482"/>
      </w:pPr>
      <w:bookmarkStart w:id="510" w:name="_Toc14484"/>
      <w:bookmarkStart w:id="511" w:name="_Toc28465_WPSOffice_Level2"/>
      <w:bookmarkStart w:id="512" w:name="_Toc24604_WPSOffice_Level2"/>
      <w:r>
        <w:rPr>
          <w:rFonts w:hint="eastAsia"/>
          <w:lang w:val="en-US" w:eastAsia="zh-CN"/>
        </w:rPr>
        <w:t>3</w:t>
      </w:r>
      <w:r>
        <w:t>.</w:t>
      </w:r>
      <w:r>
        <w:rPr>
          <w:rFonts w:hint="eastAsia"/>
        </w:rPr>
        <w:t>4.5、污水处理站</w:t>
      </w:r>
      <w:r>
        <w:t>依托可行性</w:t>
      </w:r>
      <w:bookmarkEnd w:id="510"/>
      <w:bookmarkEnd w:id="511"/>
      <w:bookmarkEnd w:id="512"/>
    </w:p>
    <w:p>
      <w:pPr>
        <w:adjustRightInd w:val="0"/>
        <w:snapToGrid w:val="0"/>
        <w:spacing w:line="500" w:lineRule="exact"/>
        <w:ind w:firstLine="480"/>
      </w:pPr>
      <w:r>
        <w:rPr>
          <w:rFonts w:hint="eastAsia"/>
        </w:rPr>
        <w:t>污水处理站</w:t>
      </w:r>
      <w:r>
        <w:t>依托可行性分析详</w:t>
      </w:r>
      <w:r>
        <w:rPr>
          <w:rFonts w:eastAsiaTheme="minorEastAsia"/>
        </w:rPr>
        <w:t>见</w:t>
      </w:r>
      <w:r>
        <w:rPr>
          <w:rFonts w:hint="eastAsia" w:eastAsiaTheme="minorEastAsia"/>
        </w:rPr>
        <w:t>“</w:t>
      </w:r>
      <w:r>
        <w:rPr>
          <w:rFonts w:eastAsiaTheme="minorEastAsia"/>
        </w:rPr>
        <w:t>污染防治措施及其可行性分析</w:t>
      </w:r>
      <w:r>
        <w:rPr>
          <w:rFonts w:hint="eastAsia" w:eastAsiaTheme="minorEastAsia"/>
        </w:rPr>
        <w:t>”章</w:t>
      </w:r>
      <w:r>
        <w:t>节。</w:t>
      </w:r>
    </w:p>
    <w:p>
      <w:pPr>
        <w:pStyle w:val="6"/>
        <w:ind w:firstLine="482"/>
      </w:pPr>
      <w:bookmarkStart w:id="513" w:name="_Toc12866_WPSOffice_Level2"/>
      <w:bookmarkStart w:id="514" w:name="_Toc29594_WPSOffice_Level2"/>
      <w:bookmarkStart w:id="515" w:name="_Toc11978"/>
      <w:r>
        <w:rPr>
          <w:rFonts w:hint="eastAsia"/>
          <w:lang w:val="en-US" w:eastAsia="zh-CN"/>
        </w:rPr>
        <w:t>3</w:t>
      </w:r>
      <w:r>
        <w:t>.</w:t>
      </w:r>
      <w:r>
        <w:rPr>
          <w:rFonts w:hint="eastAsia"/>
        </w:rPr>
        <w:t>4.6、</w:t>
      </w:r>
      <w:r>
        <w:t>供电依托可行性</w:t>
      </w:r>
      <w:bookmarkEnd w:id="513"/>
      <w:bookmarkEnd w:id="514"/>
      <w:bookmarkEnd w:id="515"/>
    </w:p>
    <w:p>
      <w:pPr>
        <w:spacing w:line="500" w:lineRule="exact"/>
        <w:ind w:firstLine="480"/>
        <w:contextualSpacing/>
      </w:pPr>
      <w:r>
        <w:t>目前企业供电由张掖市甘州区电力局供给，企业现有720m</w:t>
      </w:r>
      <w:r>
        <w:rPr>
          <w:vertAlign w:val="superscript"/>
        </w:rPr>
        <w:t>2</w:t>
      </w:r>
      <w:r>
        <w:t>的配电室1座，1000KVA变压器2台，现有电力供应充足。</w:t>
      </w:r>
    </w:p>
    <w:p>
      <w:pPr>
        <w:pStyle w:val="6"/>
        <w:ind w:firstLine="482"/>
        <w:rPr>
          <w:color w:val="FF0000"/>
        </w:rPr>
      </w:pPr>
      <w:bookmarkStart w:id="516" w:name="_Toc9032"/>
      <w:bookmarkStart w:id="517" w:name="_Toc25742_WPSOffice_Level2"/>
      <w:bookmarkStart w:id="518" w:name="_Toc10091_WPSOffice_Level2"/>
      <w:r>
        <w:rPr>
          <w:rFonts w:hint="eastAsia"/>
          <w:lang w:val="en-US" w:eastAsia="zh-CN"/>
        </w:rPr>
        <w:t>3</w:t>
      </w:r>
      <w:r>
        <w:rPr>
          <w:rFonts w:hint="eastAsia"/>
        </w:rPr>
        <w:t>.4.7、生活办公区采暖依托的可行性</w:t>
      </w:r>
      <w:bookmarkEnd w:id="516"/>
    </w:p>
    <w:p>
      <w:pPr>
        <w:ind w:firstLine="480"/>
      </w:pPr>
      <w:r>
        <w:rPr>
          <w:rFonts w:hint="eastAsia"/>
          <w:lang w:eastAsia="zh-CN"/>
        </w:rPr>
        <w:t>张掖市沅博农牧产业开发有限公司</w:t>
      </w:r>
      <w:r>
        <w:rPr>
          <w:rFonts w:hint="eastAsia"/>
        </w:rPr>
        <w:t>目前建设有完善的供热管网，且设置锅炉房1座，锅炉房内设置电锅炉4台，能够满足现有厂区内供热符合要求，本项目建成后不新增供热面积，故不增加供热符合，因此，本项目生活办公区供热依托现有的供热设施可行。</w:t>
      </w:r>
    </w:p>
    <w:bookmarkEnd w:id="517"/>
    <w:bookmarkEnd w:id="518"/>
    <w:p>
      <w:pPr>
        <w:pStyle w:val="6"/>
        <w:ind w:firstLine="482"/>
      </w:pPr>
      <w:bookmarkStart w:id="519" w:name="_Toc475"/>
      <w:bookmarkStart w:id="520" w:name="_Toc25462_WPSOffice_Level2"/>
      <w:bookmarkStart w:id="521" w:name="_Toc20309_WPSOffice_Level2"/>
      <w:r>
        <w:rPr>
          <w:rFonts w:hint="eastAsia"/>
          <w:lang w:val="en-US" w:eastAsia="zh-CN"/>
        </w:rPr>
        <w:t>3</w:t>
      </w:r>
      <w:r>
        <w:t>.</w:t>
      </w:r>
      <w:r>
        <w:rPr>
          <w:rFonts w:hint="eastAsia"/>
        </w:rPr>
        <w:t>4.8、</w:t>
      </w:r>
      <w:r>
        <w:t>其他基础设施依托可行性</w:t>
      </w:r>
      <w:bookmarkEnd w:id="519"/>
      <w:bookmarkEnd w:id="520"/>
      <w:bookmarkEnd w:id="521"/>
    </w:p>
    <w:p>
      <w:pPr>
        <w:spacing w:line="500" w:lineRule="exact"/>
        <w:ind w:firstLine="480"/>
        <w:contextualSpacing/>
      </w:pPr>
      <w:r>
        <w:t>其他基础设施包括厂区大门、门房等，依托性质均为共用型依托，基本不会对现有设施造成压力，</w:t>
      </w:r>
      <w:r>
        <w:rPr>
          <w:rFonts w:hint="eastAsia"/>
        </w:rPr>
        <w:t>因此</w:t>
      </w:r>
      <w:r>
        <w:t>依托可行。</w:t>
      </w:r>
    </w:p>
    <w:p>
      <w:pPr>
        <w:pStyle w:val="6"/>
        <w:ind w:firstLine="482"/>
      </w:pPr>
      <w:bookmarkStart w:id="522" w:name="_Toc11696"/>
      <w:bookmarkStart w:id="523" w:name="_Toc17283_WPSOffice_Level2"/>
      <w:bookmarkStart w:id="524" w:name="_Toc19655_WPSOffice_Level2"/>
      <w:r>
        <w:rPr>
          <w:rFonts w:hint="eastAsia"/>
          <w:lang w:val="en-US" w:eastAsia="zh-CN"/>
        </w:rPr>
        <w:t>3</w:t>
      </w:r>
      <w:r>
        <w:t>.</w:t>
      </w:r>
      <w:r>
        <w:rPr>
          <w:rFonts w:hint="eastAsia"/>
        </w:rPr>
        <w:t>4.9、</w:t>
      </w:r>
      <w:r>
        <w:t>管理制度依托</w:t>
      </w:r>
      <w:bookmarkEnd w:id="522"/>
      <w:bookmarkEnd w:id="523"/>
      <w:bookmarkEnd w:id="524"/>
    </w:p>
    <w:p>
      <w:pPr>
        <w:spacing w:line="500" w:lineRule="exact"/>
        <w:ind w:firstLine="480"/>
        <w:contextualSpacing/>
      </w:pPr>
      <w:r>
        <w:rPr>
          <w:rFonts w:hint="eastAsia"/>
          <w:lang w:eastAsia="zh-CN"/>
        </w:rPr>
        <w:t>张掖市沅博农牧产业开发有限公司</w:t>
      </w:r>
      <w:r>
        <w:rPr>
          <w:rFonts w:hint="eastAsia"/>
        </w:rPr>
        <w:t>的前身为</w:t>
      </w:r>
      <w:r>
        <w:t>张掖市沅博农牧产业开发有限公司</w:t>
      </w:r>
      <w:r>
        <w:rPr>
          <w:rFonts w:hint="eastAsia"/>
        </w:rPr>
        <w:t>，公司</w:t>
      </w:r>
      <w:r>
        <w:t>最早建厂于2001年，目前，企业已形成相对较为完善的管理制度。</w:t>
      </w:r>
      <w:r>
        <w:rPr>
          <w:rFonts w:hint="eastAsia"/>
        </w:rPr>
        <w:t>本项目建成后可沿袭原有的生产制度，依托可行。</w:t>
      </w:r>
    </w:p>
    <w:p>
      <w:pPr>
        <w:pStyle w:val="5"/>
        <w:spacing w:before="78" w:after="78"/>
        <w:ind w:firstLine="562"/>
      </w:pPr>
      <w:bookmarkStart w:id="525" w:name="_Toc5038"/>
      <w:bookmarkStart w:id="526" w:name="_Toc8310"/>
      <w:bookmarkStart w:id="527" w:name="_Toc3225_WPSOffice_Level1"/>
      <w:r>
        <w:rPr>
          <w:rFonts w:hint="eastAsia"/>
          <w:lang w:val="en-US" w:eastAsia="zh-CN"/>
        </w:rPr>
        <w:t>3</w:t>
      </w:r>
      <w:r>
        <w:t>.</w:t>
      </w:r>
      <w:r>
        <w:rPr>
          <w:rFonts w:hint="eastAsia"/>
        </w:rPr>
        <w:t>5、</w:t>
      </w:r>
      <w:r>
        <w:rPr>
          <w:rFonts w:hint="eastAsia"/>
          <w:lang w:val="en-US" w:eastAsia="zh-CN"/>
        </w:rPr>
        <w:t>拟建</w:t>
      </w:r>
      <w:r>
        <w:t>项目</w:t>
      </w:r>
      <w:r>
        <w:rPr>
          <w:rFonts w:hint="eastAsia"/>
        </w:rPr>
        <w:t>工艺流程</w:t>
      </w:r>
      <w:r>
        <w:t>分析</w:t>
      </w:r>
      <w:bookmarkEnd w:id="502"/>
      <w:bookmarkEnd w:id="503"/>
      <w:bookmarkEnd w:id="504"/>
      <w:bookmarkEnd w:id="505"/>
      <w:bookmarkEnd w:id="525"/>
      <w:bookmarkEnd w:id="526"/>
      <w:bookmarkEnd w:id="527"/>
    </w:p>
    <w:p>
      <w:pPr>
        <w:pStyle w:val="6"/>
        <w:ind w:firstLine="482"/>
      </w:pPr>
      <w:bookmarkStart w:id="528" w:name="_Toc14886"/>
      <w:bookmarkStart w:id="529" w:name="_Toc28217_WPSOffice_Level2"/>
      <w:bookmarkStart w:id="530" w:name="_Toc11536_WPSOffice_Level2"/>
      <w:bookmarkStart w:id="531" w:name="_Toc28352"/>
      <w:bookmarkStart w:id="532" w:name="_Toc16006"/>
      <w:bookmarkStart w:id="533" w:name="_Toc13764"/>
      <w:bookmarkStart w:id="534" w:name="_Toc83"/>
      <w:r>
        <w:rPr>
          <w:rFonts w:hint="eastAsia"/>
          <w:lang w:val="en-US" w:eastAsia="zh-CN"/>
        </w:rPr>
        <w:t>3</w:t>
      </w:r>
      <w:r>
        <w:t>.</w:t>
      </w:r>
      <w:r>
        <w:rPr>
          <w:rFonts w:hint="eastAsia"/>
        </w:rPr>
        <w:t>5</w:t>
      </w:r>
      <w:r>
        <w:t>.1</w:t>
      </w:r>
      <w:r>
        <w:rPr>
          <w:rFonts w:hint="eastAsia"/>
        </w:rPr>
        <w:t>、</w:t>
      </w:r>
      <w:r>
        <w:rPr>
          <w:rFonts w:hint="eastAsia"/>
          <w:lang w:val="en-US" w:eastAsia="zh-CN"/>
        </w:rPr>
        <w:t>拟建</w:t>
      </w:r>
      <w:r>
        <w:t>项目施工期</w:t>
      </w:r>
      <w:bookmarkEnd w:id="528"/>
      <w:bookmarkEnd w:id="529"/>
      <w:bookmarkEnd w:id="530"/>
      <w:bookmarkEnd w:id="531"/>
      <w:r>
        <w:t>工艺</w:t>
      </w:r>
      <w:r>
        <w:rPr>
          <w:rFonts w:hint="eastAsia"/>
        </w:rPr>
        <w:t>流程</w:t>
      </w:r>
      <w:bookmarkEnd w:id="532"/>
    </w:p>
    <w:p>
      <w:pPr>
        <w:ind w:firstLine="482"/>
        <w:rPr>
          <w:b/>
          <w:bCs/>
        </w:rPr>
      </w:pPr>
      <w:r>
        <w:rPr>
          <w:b/>
          <w:bCs/>
        </w:rPr>
        <w:t>1、施工周期</w:t>
      </w:r>
    </w:p>
    <w:p>
      <w:pPr>
        <w:ind w:firstLine="480"/>
      </w:pPr>
      <w:r>
        <w:t>本项目施工期约12个月，施工</w:t>
      </w:r>
      <w:r>
        <w:rPr>
          <w:rFonts w:hint="eastAsia"/>
        </w:rPr>
        <w:t>期主要</w:t>
      </w:r>
      <w:r>
        <w:t>涉及</w:t>
      </w:r>
      <w:r>
        <w:rPr>
          <w:rFonts w:hint="eastAsia"/>
        </w:rPr>
        <w:t>生产</w:t>
      </w:r>
      <w:r>
        <w:t>车间</w:t>
      </w:r>
      <w:r>
        <w:rPr>
          <w:rFonts w:hint="eastAsia"/>
        </w:rPr>
        <w:t>的</w:t>
      </w:r>
      <w:r>
        <w:t>建设、车间装修及设备安装几个过程。施工时间为8:30~18:00，夜间不施工。</w:t>
      </w:r>
    </w:p>
    <w:p>
      <w:pPr>
        <w:ind w:firstLine="482"/>
        <w:rPr>
          <w:b/>
          <w:bCs/>
        </w:rPr>
      </w:pPr>
      <w:r>
        <w:rPr>
          <w:b/>
          <w:bCs/>
        </w:rPr>
        <w:t>2、施工内容</w:t>
      </w:r>
    </w:p>
    <w:p>
      <w:pPr>
        <w:ind w:firstLine="480"/>
      </w:pPr>
      <w:r>
        <w:t>施工期主要内容为基础开挖、建构筑物建设</w:t>
      </w:r>
      <w:r>
        <w:rPr>
          <w:rFonts w:hint="eastAsia"/>
          <w:lang w:eastAsia="zh-CN"/>
        </w:rPr>
        <w:t>、</w:t>
      </w:r>
      <w:r>
        <w:t>供水、供电、供</w:t>
      </w:r>
      <w:r>
        <w:rPr>
          <w:rFonts w:hint="eastAsia"/>
        </w:rPr>
        <w:t>电</w:t>
      </w:r>
      <w:r>
        <w:t>、道路工程及绿化景观等工程。</w:t>
      </w:r>
    </w:p>
    <w:p>
      <w:pPr>
        <w:ind w:firstLine="482"/>
        <w:rPr>
          <w:b/>
          <w:bCs/>
        </w:rPr>
      </w:pPr>
      <w:r>
        <w:rPr>
          <w:b/>
          <w:bCs/>
        </w:rPr>
        <w:t>3、施工机械</w:t>
      </w:r>
    </w:p>
    <w:p>
      <w:pPr>
        <w:ind w:firstLine="480"/>
      </w:pPr>
      <w:r>
        <w:t>主要有载重汽车、振捣棒、电锤、</w:t>
      </w:r>
      <w:r>
        <w:rPr>
          <w:rFonts w:hint="eastAsia"/>
        </w:rPr>
        <w:t>挖掘机</w:t>
      </w:r>
      <w:r>
        <w:t>等。</w:t>
      </w:r>
    </w:p>
    <w:p>
      <w:pPr>
        <w:ind w:firstLine="482"/>
        <w:rPr>
          <w:b/>
          <w:bCs/>
        </w:rPr>
      </w:pPr>
      <w:r>
        <w:rPr>
          <w:rFonts w:hint="eastAsia"/>
          <w:b/>
          <w:bCs/>
        </w:rPr>
        <w:t>4</w:t>
      </w:r>
      <w:r>
        <w:rPr>
          <w:b/>
          <w:bCs/>
        </w:rPr>
        <w:t>、施工营地布置</w:t>
      </w:r>
    </w:p>
    <w:p>
      <w:pPr>
        <w:ind w:firstLine="480"/>
      </w:pPr>
      <w:r>
        <w:rPr>
          <w:rFonts w:hint="eastAsia"/>
        </w:rPr>
        <w:t>施工区临时办公用房全部利用厂区闲置房屋，不再新建</w:t>
      </w:r>
      <w:r>
        <w:t>。</w:t>
      </w:r>
    </w:p>
    <w:p>
      <w:pPr>
        <w:ind w:firstLine="482"/>
        <w:rPr>
          <w:b/>
          <w:bCs/>
        </w:rPr>
      </w:pPr>
      <w:r>
        <w:rPr>
          <w:rFonts w:hint="eastAsia"/>
          <w:b/>
          <w:bCs/>
        </w:rPr>
        <w:t>5、施工工艺</w:t>
      </w:r>
    </w:p>
    <w:p>
      <w:pPr>
        <w:ind w:firstLine="480"/>
      </w:pPr>
      <w:r>
        <w:t>施工计划大体分</w:t>
      </w:r>
      <w:r>
        <w:rPr>
          <w:rFonts w:hint="eastAsia"/>
        </w:rPr>
        <w:t>五</w:t>
      </w:r>
      <w:r>
        <w:t>步进行</w:t>
      </w:r>
      <w:r>
        <w:rPr>
          <w:rFonts w:hint="eastAsia"/>
        </w:rPr>
        <w:t>，分别为基础施工、主体工程、</w:t>
      </w:r>
      <w:r>
        <w:t>设备安装</w:t>
      </w:r>
      <w:r>
        <w:rPr>
          <w:rFonts w:hint="eastAsia"/>
        </w:rPr>
        <w:t>、</w:t>
      </w:r>
      <w:r>
        <w:t>建筑装饰</w:t>
      </w:r>
      <w:r>
        <w:rPr>
          <w:rFonts w:hint="eastAsia"/>
        </w:rPr>
        <w:t>、</w:t>
      </w:r>
      <w:r>
        <w:t>竣</w:t>
      </w:r>
      <w:r>
        <w:rPr>
          <w:rFonts w:hint="eastAsia"/>
        </w:rPr>
        <w:t>工验收</w:t>
      </w:r>
      <w:r>
        <w:t>。施工期工艺流程及产污情况见图2-</w:t>
      </w:r>
      <w:r>
        <w:rPr>
          <w:rFonts w:hint="eastAsia"/>
        </w:rPr>
        <w:t>8</w:t>
      </w:r>
      <w:r>
        <w:t>。</w:t>
      </w:r>
    </w:p>
    <w:p>
      <w:pPr>
        <w:ind w:firstLine="0" w:firstLineChars="0"/>
        <w:jc w:val="center"/>
        <w:rPr>
          <w:b/>
          <w:bCs/>
        </w:rPr>
      </w:pPr>
      <w:r>
        <w:rPr>
          <w:b/>
          <w:bCs/>
        </w:rPr>
        <w:object>
          <v:shape id="_x0000_i1040" o:spt="75" type="#_x0000_t75" style="height:180.85pt;width:485.65pt;" o:ole="t" filled="f" o:preferrelative="t" stroked="f" coordsize="21600,21600">
            <v:path/>
            <v:fill on="f" focussize="0,0"/>
            <v:stroke on="f"/>
            <v:imagedata r:id="rId51" o:title=""/>
            <o:lock v:ext="edit" aspectratio="f"/>
            <w10:wrap type="none"/>
            <w10:anchorlock/>
          </v:shape>
          <o:OLEObject Type="Embed" ProgID="Visio.Drawing.15" ShapeID="_x0000_i1040" DrawAspect="Content" ObjectID="_1468075740" r:id="rId50">
            <o:LockedField>false</o:LockedField>
          </o:OLEObject>
        </w:object>
      </w:r>
    </w:p>
    <w:p>
      <w:pPr>
        <w:ind w:firstLine="0" w:firstLineChars="0"/>
        <w:jc w:val="center"/>
      </w:pPr>
      <w:r>
        <w:rPr>
          <w:b/>
          <w:bCs/>
        </w:rPr>
        <w:t>图</w:t>
      </w:r>
      <w:r>
        <w:rPr>
          <w:rFonts w:hint="eastAsia"/>
          <w:b/>
          <w:bCs/>
          <w:lang w:val="en-US" w:eastAsia="zh-CN"/>
        </w:rPr>
        <w:t>3</w:t>
      </w:r>
      <w:r>
        <w:rPr>
          <w:b/>
          <w:bCs/>
        </w:rPr>
        <w:t>-</w:t>
      </w:r>
      <w:r>
        <w:rPr>
          <w:rFonts w:hint="eastAsia"/>
          <w:b/>
          <w:bCs/>
          <w:lang w:val="en-US" w:eastAsia="zh-CN"/>
        </w:rPr>
        <w:t>7</w:t>
      </w:r>
      <w:r>
        <w:rPr>
          <w:b/>
          <w:bCs/>
        </w:rPr>
        <w:t xml:space="preserve"> </w:t>
      </w:r>
      <w:r>
        <w:rPr>
          <w:rFonts w:hint="eastAsia"/>
          <w:b/>
          <w:bCs/>
        </w:rPr>
        <w:t xml:space="preserve">  </w:t>
      </w:r>
      <w:r>
        <w:rPr>
          <w:b/>
          <w:bCs/>
        </w:rPr>
        <w:t xml:space="preserve"> 施工期工艺流程及产污</w:t>
      </w:r>
      <w:r>
        <w:rPr>
          <w:rFonts w:hint="eastAsia"/>
          <w:b/>
          <w:bCs/>
        </w:rPr>
        <w:t>环节</w:t>
      </w:r>
      <w:r>
        <w:rPr>
          <w:b/>
          <w:bCs/>
        </w:rPr>
        <w:t>图</w:t>
      </w:r>
    </w:p>
    <w:p>
      <w:pPr>
        <w:ind w:firstLine="482"/>
        <w:rPr>
          <w:b/>
          <w:bCs/>
        </w:rPr>
      </w:pPr>
      <w:r>
        <w:rPr>
          <w:rFonts w:hint="eastAsia"/>
          <w:b/>
          <w:bCs/>
        </w:rPr>
        <w:t>（1）基础施工</w:t>
      </w:r>
    </w:p>
    <w:p>
      <w:pPr>
        <w:ind w:firstLine="480"/>
      </w:pPr>
      <w:r>
        <w:rPr>
          <w:rFonts w:hint="eastAsia"/>
        </w:rPr>
        <w:t>基础施工主要</w:t>
      </w:r>
      <w:r>
        <w:rPr>
          <w:rFonts w:hint="eastAsia"/>
          <w:lang w:val="en-US" w:eastAsia="zh-CN"/>
        </w:rPr>
        <w:t>为基础开挖、场地平整、</w:t>
      </w:r>
      <w:r>
        <w:rPr>
          <w:rFonts w:hint="eastAsia"/>
        </w:rPr>
        <w:t>厂房及冷库钢柱桩坑的开挖、给排水及供电管道的开挖以及循环冷却水池池体的开挖</w:t>
      </w:r>
      <w:r>
        <w:rPr>
          <w:rFonts w:hint="eastAsia"/>
          <w:lang w:val="en-US" w:eastAsia="zh-CN"/>
        </w:rPr>
        <w:t>等</w:t>
      </w:r>
      <w:r>
        <w:rPr>
          <w:rFonts w:hint="eastAsia"/>
        </w:rPr>
        <w:t>。</w:t>
      </w:r>
    </w:p>
    <w:p>
      <w:pPr>
        <w:ind w:firstLine="480"/>
      </w:pPr>
      <w:r>
        <w:rPr>
          <w:rFonts w:hint="eastAsia"/>
        </w:rPr>
        <w:t>产污环节分析：基础开挖</w:t>
      </w:r>
      <w:r>
        <w:rPr>
          <w:rFonts w:hint="eastAsia"/>
          <w:lang w:eastAsia="zh-CN"/>
        </w:rPr>
        <w:t>、</w:t>
      </w:r>
      <w:r>
        <w:rPr>
          <w:rFonts w:hint="eastAsia"/>
          <w:lang w:val="en-US" w:eastAsia="zh-CN"/>
        </w:rPr>
        <w:t>场地平整等</w:t>
      </w:r>
      <w:r>
        <w:rPr>
          <w:rFonts w:hint="eastAsia"/>
        </w:rPr>
        <w:t>过程中会产生施工扬尘；循环冷却水池</w:t>
      </w:r>
      <w:r>
        <w:rPr>
          <w:rFonts w:hint="eastAsia"/>
          <w:lang w:val="en-US" w:eastAsia="zh-CN"/>
        </w:rPr>
        <w:t>等</w:t>
      </w:r>
      <w:r>
        <w:rPr>
          <w:rFonts w:hint="eastAsia"/>
        </w:rPr>
        <w:t>池体的开挖过程中会产生一定量的土石方，这部分土石方无法回填，故会产生一定量的工程弃土；施工人员在生活过程中会产生一定量的生活垃圾和生活污水；</w:t>
      </w:r>
      <w:r>
        <w:rPr>
          <w:rFonts w:hint="eastAsia"/>
          <w:lang w:val="en-US" w:eastAsia="zh-CN"/>
        </w:rPr>
        <w:t>混凝土地面</w:t>
      </w:r>
      <w:r>
        <w:rPr>
          <w:rFonts w:hint="eastAsia"/>
        </w:rPr>
        <w:t>在养护过程中会产生一定量的养护废水；施工机械在作业过程中也会产生机械尾气和机械噪声。</w:t>
      </w:r>
    </w:p>
    <w:p>
      <w:pPr>
        <w:ind w:firstLine="482"/>
        <w:rPr>
          <w:b/>
          <w:bCs/>
        </w:rPr>
      </w:pPr>
      <w:r>
        <w:rPr>
          <w:rFonts w:hint="eastAsia"/>
          <w:b/>
          <w:bCs/>
        </w:rPr>
        <w:t>（2）主体工程</w:t>
      </w:r>
    </w:p>
    <w:p>
      <w:pPr>
        <w:ind w:firstLine="480"/>
      </w:pPr>
      <w:r>
        <w:rPr>
          <w:rFonts w:hint="eastAsia"/>
        </w:rPr>
        <w:t>主体工程主要为生产厂房和冷库的建设，本项目生产厂房和冷库</w:t>
      </w:r>
      <w:r>
        <w:rPr>
          <w:rFonts w:hint="eastAsia"/>
          <w:lang w:val="en-US" w:eastAsia="zh-CN"/>
        </w:rPr>
        <w:t>屋面采用轻型钢屋架，砖墙围护，基础采用钢筋混凝土独立基础。</w:t>
      </w:r>
    </w:p>
    <w:p>
      <w:pPr>
        <w:ind w:firstLine="480"/>
      </w:pPr>
      <w:r>
        <w:rPr>
          <w:rFonts w:hint="eastAsia"/>
        </w:rPr>
        <w:t>产污环节分析：主体工程建设过程中会产生一定量的建筑垃圾，建筑垃圾主要为废钢筋、废钢材</w:t>
      </w:r>
      <w:r>
        <w:rPr>
          <w:rFonts w:hint="eastAsia"/>
          <w:lang w:eastAsia="zh-CN"/>
        </w:rPr>
        <w:t>、</w:t>
      </w:r>
      <w:r>
        <w:rPr>
          <w:rFonts w:hint="eastAsia"/>
          <w:lang w:val="en-US" w:eastAsia="zh-CN"/>
        </w:rPr>
        <w:t>飞砖头</w:t>
      </w:r>
      <w:r>
        <w:rPr>
          <w:rFonts w:hint="eastAsia"/>
        </w:rPr>
        <w:t>为主；钢结构焊接过程中会产生焊接烟尘；施工机械作业时会产生机械噪声；施工人员生活过程会产生生活污水和生活垃圾。</w:t>
      </w:r>
    </w:p>
    <w:p>
      <w:pPr>
        <w:ind w:firstLine="482"/>
        <w:rPr>
          <w:b/>
          <w:bCs/>
        </w:rPr>
      </w:pPr>
      <w:r>
        <w:rPr>
          <w:rFonts w:hint="eastAsia"/>
          <w:b/>
          <w:bCs/>
        </w:rPr>
        <w:t>（3）设备安装</w:t>
      </w:r>
    </w:p>
    <w:p>
      <w:pPr>
        <w:ind w:firstLine="480"/>
      </w:pPr>
      <w:r>
        <w:rPr>
          <w:rFonts w:hint="eastAsia"/>
        </w:rPr>
        <w:t>设备安装主要为肉羊精深加工生产线设备、牛羊预制品菜生产设备以及冷库生产设备的安装，生产设备全部外购正规单位生产的合格产品，采用载重运输汽车拉运至厂区，然后利用人力车将设备运输至安装区域进行安装。</w:t>
      </w:r>
    </w:p>
    <w:p>
      <w:pPr>
        <w:ind w:firstLine="480"/>
      </w:pPr>
      <w:r>
        <w:rPr>
          <w:rFonts w:hint="eastAsia"/>
        </w:rPr>
        <w:t>产污环节分析：设备外包装拆包过程中会产生一定量的废包装，废包装主要以废纸壳、废塑料为主；施工人员生活过程中会产生生活污水和生活垃圾。</w:t>
      </w:r>
    </w:p>
    <w:p>
      <w:pPr>
        <w:ind w:firstLine="482"/>
        <w:rPr>
          <w:b/>
          <w:bCs/>
        </w:rPr>
      </w:pPr>
      <w:r>
        <w:rPr>
          <w:rFonts w:hint="eastAsia"/>
          <w:b/>
          <w:bCs/>
        </w:rPr>
        <w:t>（4）建筑装饰</w:t>
      </w:r>
    </w:p>
    <w:p>
      <w:pPr>
        <w:ind w:firstLine="480"/>
      </w:pPr>
      <w:r>
        <w:rPr>
          <w:rFonts w:hint="eastAsia"/>
        </w:rPr>
        <w:t>根据建设单位提供的资料，本项目建筑主体</w:t>
      </w:r>
      <w:r>
        <w:rPr>
          <w:rFonts w:hint="eastAsia"/>
          <w:lang w:val="en-US" w:eastAsia="zh-CN"/>
        </w:rPr>
        <w:t>地面采用混凝土硬化处理，同时</w:t>
      </w:r>
      <w:r>
        <w:rPr>
          <w:rFonts w:hint="eastAsia"/>
        </w:rPr>
        <w:t>覆环氧树脂漆（水性）</w:t>
      </w:r>
      <w:r>
        <w:rPr>
          <w:rFonts w:hint="eastAsia"/>
          <w:lang w:eastAsia="zh-CN"/>
        </w:rPr>
        <w:t>，</w:t>
      </w:r>
      <w:r>
        <w:rPr>
          <w:rFonts w:hint="eastAsia"/>
          <w:lang w:val="en-US" w:eastAsia="zh-CN"/>
        </w:rPr>
        <w:t>车间内墙面及墙裙采用无毒、不渗水、耐冲洗的材料制作，墙裙贴磁砖高度≥3m，屋面采用三布五胶防水层，沥青膨胀珍珠岩保温层，门窗采用钢窗，平开钢大门，内墙面采用混合砂浆抹面，106刷白，外墙做水刷石墙面。</w:t>
      </w:r>
    </w:p>
    <w:p>
      <w:pPr>
        <w:ind w:firstLine="480"/>
      </w:pPr>
      <w:r>
        <w:rPr>
          <w:rFonts w:hint="eastAsia"/>
        </w:rPr>
        <w:t>产污环节分析：地面涂覆环氧树脂漆（水性）过程中会挥发有机废气。</w:t>
      </w:r>
    </w:p>
    <w:p>
      <w:pPr>
        <w:pStyle w:val="6"/>
        <w:ind w:firstLine="482"/>
      </w:pPr>
      <w:bookmarkStart w:id="535" w:name="_Toc13727"/>
      <w:r>
        <w:rPr>
          <w:rFonts w:hint="eastAsia"/>
          <w:lang w:val="en-US" w:eastAsia="zh-CN"/>
        </w:rPr>
        <w:t>3</w:t>
      </w:r>
      <w:r>
        <w:rPr>
          <w:rFonts w:hint="eastAsia"/>
        </w:rPr>
        <w:t>.5.2、</w:t>
      </w:r>
      <w:r>
        <w:rPr>
          <w:rFonts w:hint="eastAsia"/>
          <w:lang w:val="en-US" w:eastAsia="zh-CN"/>
        </w:rPr>
        <w:t>拟建</w:t>
      </w:r>
      <w:r>
        <w:t>项目</w:t>
      </w:r>
      <w:r>
        <w:rPr>
          <w:rFonts w:hint="eastAsia"/>
        </w:rPr>
        <w:t>施工期主要的污染工序</w:t>
      </w:r>
      <w:bookmarkEnd w:id="535"/>
    </w:p>
    <w:p>
      <w:pPr>
        <w:spacing w:line="500" w:lineRule="exact"/>
        <w:ind w:firstLine="480"/>
      </w:pPr>
      <w:r>
        <w:rPr>
          <w:rFonts w:hint="eastAsia"/>
        </w:rPr>
        <w:t>施工期具体的污染工序及</w:t>
      </w:r>
      <w:r>
        <w:t>产污环节</w:t>
      </w:r>
      <w:r>
        <w:rPr>
          <w:rFonts w:hint="eastAsia"/>
        </w:rPr>
        <w:t>详见表2.1</w:t>
      </w:r>
      <w:r>
        <w:rPr>
          <w:rFonts w:hint="eastAsia"/>
          <w:lang w:val="en-US" w:eastAsia="zh-CN"/>
        </w:rPr>
        <w:t>2</w:t>
      </w:r>
      <w:r>
        <w:t>。</w:t>
      </w:r>
    </w:p>
    <w:p>
      <w:pPr>
        <w:spacing w:line="240" w:lineRule="auto"/>
        <w:ind w:firstLine="482"/>
        <w:jc w:val="center"/>
        <w:rPr>
          <w:b/>
          <w:bCs/>
        </w:rPr>
      </w:pPr>
      <w:bookmarkStart w:id="536" w:name="_Toc1925_WPSOffice_Level3"/>
      <w:bookmarkStart w:id="537" w:name="_Toc19952_WPSOffice_Level3"/>
      <w:bookmarkStart w:id="538" w:name="_Toc30837_WPSOffice_Level3"/>
      <w:bookmarkStart w:id="539" w:name="_Toc31586_WPSOffice_Level3"/>
      <w:bookmarkStart w:id="540" w:name="_Toc25281_WPSOffice_Level3"/>
      <w:bookmarkStart w:id="541" w:name="_Toc657_WPSOffice_Level3"/>
      <w:bookmarkStart w:id="542" w:name="_Toc27663_WPSOffice_Level3"/>
      <w:bookmarkStart w:id="543" w:name="_Toc12023_WPSOffice_Level3"/>
      <w:r>
        <w:rPr>
          <w:b/>
          <w:bCs/>
        </w:rPr>
        <w:t>表</w:t>
      </w:r>
      <w:r>
        <w:rPr>
          <w:rFonts w:hint="eastAsia"/>
          <w:b/>
          <w:bCs/>
        </w:rPr>
        <w:t>2.1</w:t>
      </w:r>
      <w:r>
        <w:rPr>
          <w:rFonts w:hint="eastAsia"/>
          <w:b/>
          <w:bCs/>
          <w:lang w:val="en-US" w:eastAsia="zh-CN"/>
        </w:rPr>
        <w:t>2</w:t>
      </w:r>
      <w:r>
        <w:rPr>
          <w:b/>
          <w:bCs/>
        </w:rPr>
        <w:t xml:space="preserve">    </w:t>
      </w:r>
      <w:r>
        <w:rPr>
          <w:rFonts w:hint="eastAsia"/>
          <w:b/>
          <w:bCs/>
        </w:rPr>
        <w:t>施工期</w:t>
      </w:r>
      <w:r>
        <w:rPr>
          <w:b/>
          <w:bCs/>
        </w:rPr>
        <w:t>主要污染工序一览表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1"/>
        <w:gridCol w:w="2342"/>
        <w:gridCol w:w="2324"/>
        <w:gridCol w:w="2692"/>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tcBorders>
              <w:tl2br w:val="nil"/>
              <w:tr2bl w:val="nil"/>
            </w:tcBorders>
            <w:vAlign w:val="center"/>
          </w:tcPr>
          <w:p>
            <w:pPr>
              <w:spacing w:line="240" w:lineRule="auto"/>
              <w:ind w:firstLine="0" w:firstLineChars="0"/>
              <w:jc w:val="center"/>
              <w:rPr>
                <w:sz w:val="21"/>
                <w:szCs w:val="21"/>
              </w:rPr>
            </w:pPr>
            <w:r>
              <w:rPr>
                <w:b/>
                <w:bCs/>
                <w:sz w:val="21"/>
                <w:szCs w:val="21"/>
              </w:rPr>
              <w:t>污染类别</w:t>
            </w:r>
          </w:p>
        </w:tc>
        <w:tc>
          <w:tcPr>
            <w:tcW w:w="1175" w:type="pct"/>
            <w:tcBorders>
              <w:tl2br w:val="nil"/>
              <w:tr2bl w:val="nil"/>
            </w:tcBorders>
            <w:vAlign w:val="center"/>
          </w:tcPr>
          <w:p>
            <w:pPr>
              <w:spacing w:line="240" w:lineRule="auto"/>
              <w:ind w:firstLine="0" w:firstLineChars="0"/>
              <w:jc w:val="center"/>
              <w:rPr>
                <w:b/>
                <w:bCs/>
                <w:sz w:val="21"/>
                <w:szCs w:val="21"/>
              </w:rPr>
            </w:pPr>
            <w:r>
              <w:rPr>
                <w:b/>
                <w:bCs/>
                <w:sz w:val="21"/>
                <w:szCs w:val="21"/>
              </w:rPr>
              <w:t>污染源名称</w:t>
            </w:r>
          </w:p>
        </w:tc>
        <w:tc>
          <w:tcPr>
            <w:tcW w:w="1166" w:type="pct"/>
            <w:tcBorders>
              <w:tl2br w:val="nil"/>
              <w:tr2bl w:val="nil"/>
            </w:tcBorders>
            <w:vAlign w:val="center"/>
          </w:tcPr>
          <w:p>
            <w:pPr>
              <w:spacing w:line="240" w:lineRule="auto"/>
              <w:ind w:firstLine="0" w:firstLineChars="0"/>
              <w:jc w:val="center"/>
              <w:rPr>
                <w:b/>
                <w:bCs/>
                <w:sz w:val="21"/>
                <w:szCs w:val="21"/>
              </w:rPr>
            </w:pPr>
            <w:r>
              <w:rPr>
                <w:b/>
                <w:bCs/>
                <w:sz w:val="21"/>
                <w:szCs w:val="21"/>
              </w:rPr>
              <w:t>产污环节</w:t>
            </w:r>
          </w:p>
        </w:tc>
        <w:tc>
          <w:tcPr>
            <w:tcW w:w="1351" w:type="pct"/>
            <w:tcBorders>
              <w:tl2br w:val="nil"/>
              <w:tr2bl w:val="nil"/>
            </w:tcBorders>
            <w:vAlign w:val="center"/>
          </w:tcPr>
          <w:p>
            <w:pPr>
              <w:spacing w:line="240" w:lineRule="auto"/>
              <w:ind w:firstLine="0" w:firstLineChars="0"/>
              <w:jc w:val="center"/>
              <w:rPr>
                <w:b/>
                <w:bCs/>
                <w:sz w:val="21"/>
                <w:szCs w:val="21"/>
              </w:rPr>
            </w:pPr>
            <w:r>
              <w:rPr>
                <w:b/>
                <w:bCs/>
                <w:sz w:val="21"/>
                <w:szCs w:val="21"/>
              </w:rPr>
              <w:t>主要污染因子</w:t>
            </w:r>
          </w:p>
        </w:tc>
        <w:tc>
          <w:tcPr>
            <w:tcW w:w="672" w:type="pct"/>
            <w:tcBorders>
              <w:tl2br w:val="nil"/>
              <w:tr2bl w:val="nil"/>
            </w:tcBorders>
            <w:vAlign w:val="center"/>
          </w:tcPr>
          <w:p>
            <w:pPr>
              <w:spacing w:line="240" w:lineRule="auto"/>
              <w:ind w:firstLine="0" w:firstLineChars="0"/>
              <w:jc w:val="center"/>
              <w:rPr>
                <w:b/>
                <w:bCs/>
                <w:color w:val="FF0000"/>
                <w:sz w:val="21"/>
                <w:szCs w:val="21"/>
              </w:rPr>
            </w:pPr>
            <w:r>
              <w:rPr>
                <w:b/>
                <w:bCs/>
                <w:sz w:val="21"/>
                <w:szCs w:val="21"/>
              </w:rPr>
              <w:t>排放形式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restart"/>
            <w:tcBorders>
              <w:tl2br w:val="nil"/>
              <w:tr2bl w:val="nil"/>
            </w:tcBorders>
            <w:vAlign w:val="center"/>
          </w:tcPr>
          <w:p>
            <w:pPr>
              <w:spacing w:line="240" w:lineRule="auto"/>
              <w:ind w:firstLine="0" w:firstLineChars="0"/>
              <w:jc w:val="center"/>
              <w:rPr>
                <w:sz w:val="21"/>
                <w:szCs w:val="21"/>
              </w:rPr>
            </w:pPr>
            <w:r>
              <w:rPr>
                <w:sz w:val="21"/>
                <w:szCs w:val="21"/>
              </w:rPr>
              <w:t>废气</w:t>
            </w: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施工扬尘</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基础开挖</w:t>
            </w:r>
            <w:r>
              <w:rPr>
                <w:rFonts w:hint="eastAsia"/>
                <w:sz w:val="21"/>
                <w:szCs w:val="21"/>
                <w:lang w:eastAsia="zh-CN"/>
              </w:rPr>
              <w:t>、</w:t>
            </w:r>
            <w:r>
              <w:rPr>
                <w:rFonts w:hint="eastAsia"/>
                <w:sz w:val="21"/>
                <w:szCs w:val="21"/>
                <w:lang w:val="en-US" w:eastAsia="zh-CN"/>
              </w:rPr>
              <w:t>场地平整等</w:t>
            </w:r>
            <w:r>
              <w:rPr>
                <w:rFonts w:hint="eastAsia"/>
                <w:sz w:val="21"/>
                <w:szCs w:val="21"/>
              </w:rPr>
              <w:t>过程</w:t>
            </w:r>
          </w:p>
        </w:tc>
        <w:tc>
          <w:tcPr>
            <w:tcW w:w="1351" w:type="pct"/>
            <w:tcBorders>
              <w:tl2br w:val="nil"/>
              <w:tr2bl w:val="nil"/>
            </w:tcBorders>
            <w:vAlign w:val="center"/>
          </w:tcPr>
          <w:p>
            <w:pPr>
              <w:spacing w:line="240" w:lineRule="auto"/>
              <w:ind w:firstLine="0" w:firstLineChars="0"/>
              <w:jc w:val="center"/>
              <w:rPr>
                <w:sz w:val="21"/>
                <w:szCs w:val="21"/>
              </w:rPr>
            </w:pPr>
            <w:r>
              <w:rPr>
                <w:sz w:val="21"/>
                <w:szCs w:val="21"/>
              </w:rPr>
              <w:t>颗粒物</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道路扬尘</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弃土外运</w:t>
            </w:r>
          </w:p>
        </w:tc>
        <w:tc>
          <w:tcPr>
            <w:tcW w:w="1351" w:type="pct"/>
            <w:tcBorders>
              <w:tl2br w:val="nil"/>
              <w:tr2bl w:val="nil"/>
            </w:tcBorders>
            <w:vAlign w:val="center"/>
          </w:tcPr>
          <w:p>
            <w:pPr>
              <w:spacing w:line="240" w:lineRule="auto"/>
              <w:ind w:firstLine="0" w:firstLineChars="0"/>
              <w:jc w:val="center"/>
              <w:rPr>
                <w:sz w:val="21"/>
                <w:szCs w:val="21"/>
              </w:rPr>
            </w:pPr>
            <w:r>
              <w:rPr>
                <w:sz w:val="21"/>
                <w:szCs w:val="21"/>
              </w:rPr>
              <w:t>颗粒物</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机械尾气</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施工车辆作业过程</w:t>
            </w:r>
          </w:p>
        </w:tc>
        <w:tc>
          <w:tcPr>
            <w:tcW w:w="1351" w:type="pct"/>
            <w:tcBorders>
              <w:tl2br w:val="nil"/>
              <w:tr2bl w:val="nil"/>
            </w:tcBorders>
            <w:vAlign w:val="center"/>
          </w:tcPr>
          <w:p>
            <w:pPr>
              <w:spacing w:line="240" w:lineRule="auto"/>
              <w:ind w:firstLine="0" w:firstLineChars="0"/>
              <w:jc w:val="center"/>
              <w:rPr>
                <w:sz w:val="21"/>
                <w:szCs w:val="21"/>
              </w:rPr>
            </w:pPr>
            <w:r>
              <w:rPr>
                <w:rFonts w:hint="eastAsia"/>
                <w:sz w:val="21"/>
                <w:szCs w:val="21"/>
              </w:rPr>
              <w:t>烯烃类有机物、CO、SO</w:t>
            </w:r>
            <w:r>
              <w:rPr>
                <w:rFonts w:hint="eastAsia"/>
                <w:sz w:val="21"/>
                <w:szCs w:val="21"/>
                <w:vertAlign w:val="subscript"/>
              </w:rPr>
              <w:t>2</w:t>
            </w:r>
            <w:r>
              <w:rPr>
                <w:rFonts w:hint="eastAsia"/>
                <w:sz w:val="21"/>
                <w:szCs w:val="21"/>
              </w:rPr>
              <w:t>、NOx等</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焊接烟尘</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焊接过程</w:t>
            </w:r>
          </w:p>
        </w:tc>
        <w:tc>
          <w:tcPr>
            <w:tcW w:w="1351" w:type="pct"/>
            <w:tcBorders>
              <w:tl2br w:val="nil"/>
              <w:tr2bl w:val="nil"/>
            </w:tcBorders>
            <w:vAlign w:val="center"/>
          </w:tcPr>
          <w:p>
            <w:pPr>
              <w:spacing w:line="240" w:lineRule="auto"/>
              <w:ind w:firstLine="0" w:firstLineChars="0"/>
              <w:jc w:val="center"/>
              <w:rPr>
                <w:sz w:val="21"/>
                <w:szCs w:val="21"/>
              </w:rPr>
            </w:pPr>
            <w:r>
              <w:rPr>
                <w:sz w:val="21"/>
                <w:szCs w:val="21"/>
              </w:rPr>
              <w:t>颗粒物</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装修废气</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装修过程</w:t>
            </w:r>
          </w:p>
        </w:tc>
        <w:tc>
          <w:tcPr>
            <w:tcW w:w="1351" w:type="pct"/>
            <w:tcBorders>
              <w:tl2br w:val="nil"/>
              <w:tr2bl w:val="nil"/>
            </w:tcBorders>
            <w:vAlign w:val="center"/>
          </w:tcPr>
          <w:p>
            <w:pPr>
              <w:spacing w:line="240" w:lineRule="auto"/>
              <w:ind w:firstLine="0" w:firstLineChars="0"/>
              <w:jc w:val="center"/>
              <w:rPr>
                <w:sz w:val="21"/>
                <w:szCs w:val="21"/>
              </w:rPr>
            </w:pPr>
            <w:r>
              <w:rPr>
                <w:rFonts w:hint="eastAsia"/>
                <w:sz w:val="21"/>
                <w:szCs w:val="21"/>
              </w:rPr>
              <w:t>甲苯、丁醇等</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废水</w:t>
            </w: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砼养护废水</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砼养护过程</w:t>
            </w:r>
          </w:p>
        </w:tc>
        <w:tc>
          <w:tcPr>
            <w:tcW w:w="1351" w:type="pct"/>
            <w:tcBorders>
              <w:tl2br w:val="nil"/>
              <w:tr2bl w:val="nil"/>
            </w:tcBorders>
            <w:vAlign w:val="center"/>
          </w:tcPr>
          <w:p>
            <w:pPr>
              <w:spacing w:line="240" w:lineRule="auto"/>
              <w:ind w:firstLine="0" w:firstLineChars="0"/>
              <w:jc w:val="center"/>
              <w:rPr>
                <w:sz w:val="21"/>
                <w:szCs w:val="21"/>
              </w:rPr>
            </w:pPr>
            <w:r>
              <w:rPr>
                <w:sz w:val="21"/>
                <w:szCs w:val="21"/>
              </w:rPr>
              <w:t>SS、氨氮、BOD</w:t>
            </w:r>
            <w:r>
              <w:rPr>
                <w:sz w:val="21"/>
                <w:szCs w:val="21"/>
                <w:vertAlign w:val="subscript"/>
              </w:rPr>
              <w:t>5</w:t>
            </w:r>
            <w:r>
              <w:rPr>
                <w:sz w:val="21"/>
                <w:szCs w:val="21"/>
              </w:rPr>
              <w:t>、CODcr</w:t>
            </w:r>
          </w:p>
        </w:tc>
        <w:tc>
          <w:tcPr>
            <w:tcW w:w="672" w:type="pct"/>
            <w:tcBorders>
              <w:tl2br w:val="nil"/>
              <w:tr2bl w:val="nil"/>
            </w:tcBorders>
            <w:vAlign w:val="center"/>
          </w:tcPr>
          <w:p>
            <w:pPr>
              <w:spacing w:line="240" w:lineRule="auto"/>
              <w:ind w:firstLine="0" w:firstLineChars="0"/>
              <w:jc w:val="center"/>
              <w:rPr>
                <w:sz w:val="21"/>
                <w:szCs w:val="21"/>
              </w:rPr>
            </w:pPr>
            <w:r>
              <w:rPr>
                <w:rFonts w:hint="eastAsia"/>
                <w:sz w:val="21"/>
                <w:szCs w:val="21"/>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施工人员生活污水</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施工人员生活过程</w:t>
            </w:r>
          </w:p>
        </w:tc>
        <w:tc>
          <w:tcPr>
            <w:tcW w:w="1351" w:type="pct"/>
            <w:tcBorders>
              <w:tl2br w:val="nil"/>
              <w:tr2bl w:val="nil"/>
            </w:tcBorders>
            <w:vAlign w:val="center"/>
          </w:tcPr>
          <w:p>
            <w:pPr>
              <w:spacing w:line="240" w:lineRule="auto"/>
              <w:ind w:firstLine="0" w:firstLineChars="0"/>
              <w:jc w:val="center"/>
              <w:rPr>
                <w:sz w:val="21"/>
                <w:szCs w:val="21"/>
              </w:rPr>
            </w:pPr>
            <w:r>
              <w:rPr>
                <w:sz w:val="21"/>
                <w:szCs w:val="21"/>
              </w:rPr>
              <w:t>SS、氨氮、BOD</w:t>
            </w:r>
            <w:r>
              <w:rPr>
                <w:sz w:val="21"/>
                <w:szCs w:val="21"/>
                <w:vertAlign w:val="subscript"/>
              </w:rPr>
              <w:t>5</w:t>
            </w:r>
            <w:r>
              <w:rPr>
                <w:sz w:val="21"/>
                <w:szCs w:val="21"/>
              </w:rPr>
              <w:t>、CODcr</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3" w:type="pct"/>
            <w:tcBorders>
              <w:tl2br w:val="nil"/>
              <w:tr2bl w:val="nil"/>
            </w:tcBorders>
            <w:vAlign w:val="center"/>
          </w:tcPr>
          <w:p>
            <w:pPr>
              <w:spacing w:line="240" w:lineRule="auto"/>
              <w:ind w:firstLine="0" w:firstLineChars="0"/>
              <w:jc w:val="center"/>
              <w:rPr>
                <w:sz w:val="21"/>
                <w:szCs w:val="21"/>
              </w:rPr>
            </w:pPr>
            <w:r>
              <w:rPr>
                <w:sz w:val="21"/>
                <w:szCs w:val="21"/>
              </w:rPr>
              <w:t>噪声</w:t>
            </w: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施工噪声</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整个施工过程</w:t>
            </w:r>
          </w:p>
        </w:tc>
        <w:tc>
          <w:tcPr>
            <w:tcW w:w="1351"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672"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3"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弃土</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基础开挖</w:t>
            </w:r>
          </w:p>
        </w:tc>
        <w:tc>
          <w:tcPr>
            <w:tcW w:w="1351" w:type="pct"/>
            <w:tcBorders>
              <w:tl2br w:val="nil"/>
              <w:tr2bl w:val="nil"/>
            </w:tcBorders>
            <w:vAlign w:val="center"/>
          </w:tcPr>
          <w:p>
            <w:pPr>
              <w:spacing w:line="240" w:lineRule="auto"/>
              <w:ind w:firstLine="0" w:firstLineChars="0"/>
              <w:jc w:val="center"/>
              <w:rPr>
                <w:sz w:val="21"/>
                <w:szCs w:val="21"/>
              </w:rPr>
            </w:pPr>
            <w:r>
              <w:rPr>
                <w:rFonts w:hint="eastAsia"/>
                <w:sz w:val="21"/>
                <w:szCs w:val="21"/>
              </w:rPr>
              <w:t>弃土</w:t>
            </w:r>
          </w:p>
        </w:tc>
        <w:tc>
          <w:tcPr>
            <w:tcW w:w="672"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建筑垃圾</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主体工程建设过程</w:t>
            </w:r>
          </w:p>
        </w:tc>
        <w:tc>
          <w:tcPr>
            <w:tcW w:w="1351" w:type="pct"/>
            <w:tcBorders>
              <w:tl2br w:val="nil"/>
              <w:tr2bl w:val="nil"/>
            </w:tcBorders>
            <w:vAlign w:val="center"/>
          </w:tcPr>
          <w:p>
            <w:pPr>
              <w:spacing w:line="240" w:lineRule="auto"/>
              <w:ind w:firstLine="0" w:firstLineChars="0"/>
              <w:jc w:val="center"/>
              <w:rPr>
                <w:sz w:val="21"/>
                <w:szCs w:val="21"/>
              </w:rPr>
            </w:pPr>
            <w:r>
              <w:rPr>
                <w:rFonts w:hint="eastAsia"/>
                <w:sz w:val="21"/>
                <w:szCs w:val="21"/>
              </w:rPr>
              <w:t>主要以废钢筋、废钢材</w:t>
            </w:r>
            <w:r>
              <w:rPr>
                <w:rFonts w:hint="eastAsia"/>
                <w:sz w:val="21"/>
                <w:szCs w:val="21"/>
                <w:lang w:eastAsia="zh-CN"/>
              </w:rPr>
              <w:t>、</w:t>
            </w:r>
            <w:r>
              <w:rPr>
                <w:rFonts w:hint="eastAsia"/>
                <w:sz w:val="21"/>
                <w:szCs w:val="21"/>
                <w:lang w:val="en-US" w:eastAsia="zh-CN"/>
              </w:rPr>
              <w:t>废砖头</w:t>
            </w:r>
            <w:r>
              <w:rPr>
                <w:rFonts w:hint="eastAsia"/>
                <w:sz w:val="21"/>
                <w:szCs w:val="21"/>
              </w:rPr>
              <w:t>为主</w:t>
            </w:r>
          </w:p>
        </w:tc>
        <w:tc>
          <w:tcPr>
            <w:tcW w:w="672"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废包装材料</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生产设备拆包过程</w:t>
            </w:r>
          </w:p>
        </w:tc>
        <w:tc>
          <w:tcPr>
            <w:tcW w:w="1351" w:type="pct"/>
            <w:tcBorders>
              <w:tl2br w:val="nil"/>
              <w:tr2bl w:val="nil"/>
            </w:tcBorders>
            <w:vAlign w:val="center"/>
          </w:tcPr>
          <w:p>
            <w:pPr>
              <w:spacing w:line="240" w:lineRule="auto"/>
              <w:ind w:firstLine="0" w:firstLineChars="0"/>
              <w:jc w:val="center"/>
              <w:rPr>
                <w:sz w:val="21"/>
                <w:szCs w:val="21"/>
              </w:rPr>
            </w:pPr>
            <w:r>
              <w:rPr>
                <w:rFonts w:hint="eastAsia"/>
                <w:sz w:val="21"/>
                <w:szCs w:val="21"/>
              </w:rPr>
              <w:t>主要以废纸壳、废塑料为主</w:t>
            </w:r>
          </w:p>
        </w:tc>
        <w:tc>
          <w:tcPr>
            <w:tcW w:w="672"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633" w:type="pct"/>
            <w:vMerge w:val="continue"/>
            <w:tcBorders>
              <w:tl2br w:val="nil"/>
              <w:tr2bl w:val="nil"/>
            </w:tcBorders>
            <w:vAlign w:val="center"/>
          </w:tcPr>
          <w:p>
            <w:pPr>
              <w:spacing w:line="240" w:lineRule="auto"/>
              <w:ind w:firstLine="0" w:firstLineChars="0"/>
              <w:jc w:val="center"/>
              <w:rPr>
                <w:sz w:val="21"/>
                <w:szCs w:val="21"/>
              </w:rPr>
            </w:pPr>
          </w:p>
        </w:tc>
        <w:tc>
          <w:tcPr>
            <w:tcW w:w="1175" w:type="pct"/>
            <w:tcBorders>
              <w:tl2br w:val="nil"/>
              <w:tr2bl w:val="nil"/>
            </w:tcBorders>
            <w:vAlign w:val="center"/>
          </w:tcPr>
          <w:p>
            <w:pPr>
              <w:spacing w:line="240" w:lineRule="auto"/>
              <w:ind w:firstLine="0" w:firstLineChars="0"/>
              <w:jc w:val="center"/>
              <w:rPr>
                <w:sz w:val="21"/>
                <w:szCs w:val="21"/>
              </w:rPr>
            </w:pPr>
            <w:r>
              <w:rPr>
                <w:rFonts w:hint="eastAsia"/>
                <w:sz w:val="21"/>
                <w:szCs w:val="21"/>
              </w:rPr>
              <w:t>施工人员生活垃圾</w:t>
            </w:r>
          </w:p>
        </w:tc>
        <w:tc>
          <w:tcPr>
            <w:tcW w:w="1166" w:type="pct"/>
            <w:tcBorders>
              <w:tl2br w:val="nil"/>
              <w:tr2bl w:val="nil"/>
            </w:tcBorders>
            <w:vAlign w:val="center"/>
          </w:tcPr>
          <w:p>
            <w:pPr>
              <w:spacing w:line="240" w:lineRule="auto"/>
              <w:ind w:firstLine="0" w:firstLineChars="0"/>
              <w:jc w:val="center"/>
              <w:rPr>
                <w:sz w:val="21"/>
                <w:szCs w:val="21"/>
              </w:rPr>
            </w:pPr>
            <w:r>
              <w:rPr>
                <w:rFonts w:hint="eastAsia"/>
                <w:sz w:val="21"/>
                <w:szCs w:val="21"/>
              </w:rPr>
              <w:t>整个施工过程</w:t>
            </w:r>
          </w:p>
        </w:tc>
        <w:tc>
          <w:tcPr>
            <w:tcW w:w="1351" w:type="pct"/>
            <w:tcBorders>
              <w:tl2br w:val="nil"/>
              <w:tr2bl w:val="nil"/>
            </w:tcBorders>
            <w:vAlign w:val="center"/>
          </w:tcPr>
          <w:p>
            <w:pPr>
              <w:spacing w:line="240" w:lineRule="auto"/>
              <w:ind w:firstLine="0" w:firstLineChars="0"/>
              <w:jc w:val="center"/>
              <w:rPr>
                <w:sz w:val="21"/>
                <w:szCs w:val="21"/>
              </w:rPr>
            </w:pPr>
            <w:r>
              <w:rPr>
                <w:rFonts w:hint="eastAsia"/>
                <w:sz w:val="21"/>
                <w:szCs w:val="21"/>
              </w:rPr>
              <w:t>生活垃圾</w:t>
            </w:r>
          </w:p>
        </w:tc>
        <w:tc>
          <w:tcPr>
            <w:tcW w:w="672"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bl>
    <w:p>
      <w:pPr>
        <w:pStyle w:val="6"/>
        <w:ind w:firstLine="482"/>
      </w:pPr>
      <w:bookmarkStart w:id="544" w:name="_Toc32553"/>
      <w:r>
        <w:rPr>
          <w:rFonts w:hint="eastAsia"/>
          <w:lang w:val="en-US" w:eastAsia="zh-CN"/>
        </w:rPr>
        <w:t>3</w:t>
      </w:r>
      <w:r>
        <w:rPr>
          <w:rFonts w:hint="eastAsia"/>
        </w:rPr>
        <w:t>.5.3、</w:t>
      </w:r>
      <w:r>
        <w:rPr>
          <w:rFonts w:hint="eastAsia"/>
          <w:lang w:val="en-US" w:eastAsia="zh-CN"/>
        </w:rPr>
        <w:t>拟建</w:t>
      </w:r>
      <w:r>
        <w:t>项目</w:t>
      </w:r>
      <w:r>
        <w:rPr>
          <w:rFonts w:hint="eastAsia"/>
          <w:lang w:val="en-US" w:eastAsia="zh-CN"/>
        </w:rPr>
        <w:t>运营期</w:t>
      </w:r>
      <w:r>
        <w:rPr>
          <w:rFonts w:hint="eastAsia"/>
        </w:rPr>
        <w:t>工艺流程</w:t>
      </w:r>
      <w:bookmarkEnd w:id="544"/>
    </w:p>
    <w:p>
      <w:pPr>
        <w:pStyle w:val="7"/>
        <w:ind w:firstLine="482"/>
      </w:pPr>
      <w:r>
        <w:rPr>
          <w:rFonts w:hint="eastAsia"/>
          <w:lang w:val="en-US" w:eastAsia="zh-CN"/>
        </w:rPr>
        <w:t>3</w:t>
      </w:r>
      <w:r>
        <w:rPr>
          <w:rFonts w:hint="eastAsia"/>
        </w:rPr>
        <w:t>.5.3.1、肉羊屠宰精深加工生产线工艺流程分析</w:t>
      </w:r>
    </w:p>
    <w:p>
      <w:pPr>
        <w:ind w:firstLine="480"/>
      </w:pPr>
      <w:r>
        <w:rPr>
          <w:rFonts w:hint="eastAsia"/>
        </w:rPr>
        <w:t>拟建</w:t>
      </w:r>
      <w:r>
        <w:t>项目引进了国内先进的全自动肉</w:t>
      </w:r>
      <w:r>
        <w:rPr>
          <w:rFonts w:hint="eastAsia"/>
        </w:rPr>
        <w:t>羊</w:t>
      </w:r>
      <w:r>
        <w:t>屠宰生产线1条，</w:t>
      </w:r>
      <w:r>
        <w:rPr>
          <w:rFonts w:hint="eastAsia"/>
        </w:rPr>
        <w:t>项目建成后可实现</w:t>
      </w:r>
      <w:r>
        <w:t>年屠宰肉</w:t>
      </w:r>
      <w:r>
        <w:rPr>
          <w:rFonts w:hint="eastAsia"/>
        </w:rPr>
        <w:t>羊60</w:t>
      </w:r>
      <w:r>
        <w:t>万头的生产能力。具体工艺流程如下：</w:t>
      </w:r>
    </w:p>
    <w:p>
      <w:pPr>
        <w:ind w:firstLine="0" w:firstLineChars="0"/>
        <w:jc w:val="center"/>
        <w:rPr>
          <w:rFonts w:hint="eastAsia"/>
          <w:b/>
          <w:bCs/>
        </w:rPr>
      </w:pPr>
      <w:r>
        <w:rPr>
          <w:rFonts w:hint="eastAsia"/>
          <w:b/>
          <w:bCs/>
        </w:rPr>
        <w:object>
          <v:shape id="_x0000_i1041" o:spt="75" type="#_x0000_t75" style="height:479.6pt;width:465.1pt;" o:ole="t" filled="f" o:preferrelative="t" stroked="f" coordsize="21600,21600">
            <v:path/>
            <v:fill on="f" focussize="0,0"/>
            <v:stroke on="f"/>
            <v:imagedata r:id="rId53" o:title=""/>
            <o:lock v:ext="edit" aspectratio="f"/>
            <w10:wrap type="none"/>
            <w10:anchorlock/>
          </v:shape>
          <o:OLEObject Type="Embed" ProgID="Visio.Drawing.15" ShapeID="_x0000_i1041" DrawAspect="Content" ObjectID="_1468075741" r:id="rId52">
            <o:LockedField>false</o:LockedField>
          </o:OLEObject>
        </w:object>
      </w:r>
    </w:p>
    <w:p>
      <w:pPr>
        <w:ind w:firstLine="0" w:firstLineChars="0"/>
        <w:jc w:val="center"/>
      </w:pPr>
      <w:r>
        <w:rPr>
          <w:rFonts w:hint="eastAsia"/>
          <w:b/>
          <w:bCs/>
        </w:rPr>
        <w:t>图</w:t>
      </w:r>
      <w:r>
        <w:rPr>
          <w:rFonts w:hint="eastAsia"/>
          <w:b/>
          <w:bCs/>
          <w:lang w:val="en-US" w:eastAsia="zh-CN"/>
        </w:rPr>
        <w:t>3</w:t>
      </w:r>
      <w:r>
        <w:rPr>
          <w:rFonts w:hint="eastAsia"/>
          <w:b/>
          <w:bCs/>
        </w:rPr>
        <w:t>-</w:t>
      </w:r>
      <w:r>
        <w:rPr>
          <w:rFonts w:hint="eastAsia"/>
          <w:b/>
          <w:bCs/>
          <w:lang w:val="en-US" w:eastAsia="zh-CN"/>
        </w:rPr>
        <w:t>8</w:t>
      </w:r>
      <w:r>
        <w:rPr>
          <w:rFonts w:hint="eastAsia"/>
          <w:b/>
          <w:bCs/>
        </w:rPr>
        <w:t xml:space="preserve">    肉羊屠宰工艺流程及产污环节图</w:t>
      </w:r>
    </w:p>
    <w:p>
      <w:pPr>
        <w:ind w:firstLine="482"/>
        <w:rPr>
          <w:b/>
          <w:bCs/>
        </w:rPr>
      </w:pPr>
      <w:r>
        <w:rPr>
          <w:b/>
          <w:bCs/>
        </w:rPr>
        <w:t>（1）宰前</w:t>
      </w:r>
      <w:r>
        <w:rPr>
          <w:rFonts w:hint="eastAsia"/>
          <w:b/>
          <w:bCs/>
        </w:rPr>
        <w:t>检验</w:t>
      </w:r>
    </w:p>
    <w:p>
      <w:pPr>
        <w:ind w:firstLine="480"/>
      </w:pPr>
      <w:r>
        <w:rPr>
          <w:rFonts w:hint="eastAsia"/>
        </w:rPr>
        <w:t>本项目肉羊全部来自建设单位自建的活畜交易市场，在肉羊到达待宰圈后需要进行</w:t>
      </w:r>
      <w:r>
        <w:t>宰前</w:t>
      </w:r>
      <w:r>
        <w:rPr>
          <w:rFonts w:hint="eastAsia"/>
        </w:rPr>
        <w:t>检验</w:t>
      </w:r>
      <w:r>
        <w:t>，</w:t>
      </w:r>
      <w:r>
        <w:rPr>
          <w:rFonts w:hint="eastAsia"/>
        </w:rPr>
        <w:t>主要对肉羊的外貌、行动、精神状况等进行检验，检验工作主要为人工检验，不涉及化学检验。</w:t>
      </w:r>
      <w:r>
        <w:t>确定健康状况良好</w:t>
      </w:r>
      <w:r>
        <w:rPr>
          <w:rFonts w:hint="eastAsia"/>
        </w:rPr>
        <w:t>的肉羊可以</w:t>
      </w:r>
      <w:r>
        <w:t>进入屠宰生产线</w:t>
      </w:r>
      <w:r>
        <w:rPr>
          <w:rFonts w:hint="eastAsia"/>
        </w:rPr>
        <w:t>进行屠宰</w:t>
      </w:r>
      <w:r>
        <w:t>，发现疑病的肉</w:t>
      </w:r>
      <w:r>
        <w:rPr>
          <w:rFonts w:hint="eastAsia"/>
        </w:rPr>
        <w:t>羊需要立即将其</w:t>
      </w:r>
      <w:r>
        <w:t>关至</w:t>
      </w:r>
      <w:r>
        <w:rPr>
          <w:rFonts w:hint="eastAsia"/>
        </w:rPr>
        <w:t>隔离间</w:t>
      </w:r>
      <w:r>
        <w:t>。在</w:t>
      </w:r>
      <w:r>
        <w:rPr>
          <w:rFonts w:hint="eastAsia"/>
        </w:rPr>
        <w:t>隔离间内</w:t>
      </w:r>
      <w:r>
        <w:t>，能恢复</w:t>
      </w:r>
      <w:r>
        <w:rPr>
          <w:rFonts w:hint="eastAsia"/>
        </w:rPr>
        <w:t>健康的肉羊</w:t>
      </w:r>
      <w:r>
        <w:t>则进入屠宰生产线；不能恢复或出现病死等情况的病</w:t>
      </w:r>
      <w:r>
        <w:rPr>
          <w:rFonts w:hint="eastAsia"/>
        </w:rPr>
        <w:t>害羊全部拉运至张掖市宏金雁再生能源科技发展有限责任公司进行无害化焚烧处理</w:t>
      </w:r>
      <w:r>
        <w:t>。</w:t>
      </w:r>
    </w:p>
    <w:p>
      <w:pPr>
        <w:ind w:firstLine="480"/>
      </w:pPr>
      <w:r>
        <w:rPr>
          <w:rFonts w:hint="eastAsia"/>
        </w:rPr>
        <w:t>产污环节分析：病死羊（S1.1）、隔离间的疫病肉羊产生的尿液（W1.1）、恶臭气体（G1.1）、羊叫声（N1.1）、羊粪便（S1.2）。</w:t>
      </w:r>
    </w:p>
    <w:p>
      <w:pPr>
        <w:ind w:firstLine="482"/>
        <w:rPr>
          <w:b/>
          <w:bCs/>
        </w:rPr>
      </w:pPr>
      <w:r>
        <w:rPr>
          <w:b/>
          <w:bCs/>
        </w:rPr>
        <w:t>（2）</w:t>
      </w:r>
      <w:r>
        <w:rPr>
          <w:rFonts w:hint="eastAsia"/>
          <w:b/>
          <w:bCs/>
        </w:rPr>
        <w:t>待宰、冲淋</w:t>
      </w:r>
    </w:p>
    <w:p>
      <w:pPr>
        <w:ind w:firstLine="480"/>
      </w:pPr>
      <w:r>
        <w:t>肉</w:t>
      </w:r>
      <w:r>
        <w:rPr>
          <w:rFonts w:hint="eastAsia"/>
        </w:rPr>
        <w:t>羊</w:t>
      </w:r>
      <w:r>
        <w:t>检验合格后进入待宰</w:t>
      </w:r>
      <w:r>
        <w:rPr>
          <w:rFonts w:hint="eastAsia"/>
        </w:rPr>
        <w:t>区</w:t>
      </w:r>
      <w:r>
        <w:t>，</w:t>
      </w:r>
      <w:r>
        <w:rPr>
          <w:rFonts w:hint="eastAsia"/>
        </w:rPr>
        <w:t>肉羊屠宰前需要停食静养12~24</w:t>
      </w:r>
      <w:r>
        <w:t>小时，</w:t>
      </w:r>
      <w:r>
        <w:rPr>
          <w:rFonts w:hint="eastAsia"/>
        </w:rPr>
        <w:t>屠宰前需要</w:t>
      </w:r>
      <w:r>
        <w:t>停水</w:t>
      </w:r>
      <w:r>
        <w:rPr>
          <w:rFonts w:hint="eastAsia"/>
        </w:rPr>
        <w:t>4</w:t>
      </w:r>
      <w:r>
        <w:t>小时。肉</w:t>
      </w:r>
      <w:r>
        <w:rPr>
          <w:rFonts w:hint="eastAsia"/>
        </w:rPr>
        <w:t>羊</w:t>
      </w:r>
      <w:r>
        <w:t>在屠宰前首先进行冲淋，</w:t>
      </w:r>
      <w:r>
        <w:rPr>
          <w:rFonts w:hint="eastAsia"/>
        </w:rPr>
        <w:t>冲淋使用自来水，冲淋过程中不见任何化学药剂，冲淋的主要目的是</w:t>
      </w:r>
      <w:r>
        <w:t>冲</w:t>
      </w:r>
      <w:r>
        <w:rPr>
          <w:rFonts w:hint="eastAsia"/>
        </w:rPr>
        <w:t>洗掉活羊身上的污垢，</w:t>
      </w:r>
      <w:r>
        <w:t>冲淋完成后</w:t>
      </w:r>
      <w:r>
        <w:rPr>
          <w:rFonts w:hint="eastAsia"/>
        </w:rPr>
        <w:t>的肉羊全部经V型肉羊输送机送至屠宰区。</w:t>
      </w:r>
    </w:p>
    <w:p>
      <w:pPr>
        <w:ind w:firstLine="480"/>
      </w:pPr>
      <w:r>
        <w:rPr>
          <w:rFonts w:hint="eastAsia"/>
        </w:rPr>
        <w:t>产污环节分析：羊尿液（W1.1）、恶臭气体（G1.1）、羊叫声（N1.1）、羊粪便（S1.2）、冲淋废水（W1.2）、高压水枪（N1.2）。</w:t>
      </w:r>
    </w:p>
    <w:p>
      <w:pPr>
        <w:ind w:firstLine="482"/>
      </w:pPr>
      <w:r>
        <w:rPr>
          <w:b/>
          <w:bCs/>
        </w:rPr>
        <w:t>（3）宰杀放血</w:t>
      </w:r>
    </w:p>
    <w:p>
      <w:pPr>
        <w:ind w:firstLine="480"/>
      </w:pPr>
      <w:r>
        <w:rPr>
          <w:rFonts w:hint="eastAsia"/>
        </w:rPr>
        <w:t>在V型肉羊输送机输送过程中采用手持麻电器将羊击晕，手持麻电器电压一般控制在90V左右，电流一般控制在0.2A左右，电麻时间一般为3~4s。将</w:t>
      </w:r>
      <w:r>
        <w:t>被电击晕的</w:t>
      </w:r>
      <w:r>
        <w:rPr>
          <w:rFonts w:hint="eastAsia"/>
        </w:rPr>
        <w:t>羊</w:t>
      </w:r>
      <w:r>
        <w:t>后肢悬挂在</w:t>
      </w:r>
      <w:r>
        <w:rPr>
          <w:rFonts w:hint="eastAsia"/>
        </w:rPr>
        <w:t>放血吊链拴上并进入肉羊放血线</w:t>
      </w:r>
      <w:r>
        <w:t>，</w:t>
      </w:r>
      <w:r>
        <w:rPr>
          <w:rFonts w:hint="eastAsia"/>
        </w:rPr>
        <w:t>进入肉羊放血线后屠宰人员采用屠宰刀具</w:t>
      </w:r>
      <w:r>
        <w:t>于颈下喉部切断血管、气管和食管</w:t>
      </w:r>
      <w:r>
        <w:rPr>
          <w:rFonts w:hint="eastAsia"/>
        </w:rPr>
        <w:t>进行放血</w:t>
      </w:r>
      <w:r>
        <w:t>，放血时间</w:t>
      </w:r>
      <w:r>
        <w:rPr>
          <w:rFonts w:hint="eastAsia"/>
        </w:rPr>
        <w:t>5</w:t>
      </w:r>
      <w:r>
        <w:t>分钟，</w:t>
      </w:r>
      <w:r>
        <w:rPr>
          <w:rFonts w:hint="eastAsia"/>
        </w:rPr>
        <w:t>羊</w:t>
      </w:r>
      <w:r>
        <w:t>血</w:t>
      </w:r>
      <w:r>
        <w:rPr>
          <w:rFonts w:hint="eastAsia"/>
        </w:rPr>
        <w:t>全部采用不锈钢沥血池</w:t>
      </w:r>
      <w:r>
        <w:t>统一收集后外售。</w:t>
      </w:r>
    </w:p>
    <w:p>
      <w:pPr>
        <w:ind w:firstLine="480"/>
      </w:pPr>
      <w:r>
        <w:rPr>
          <w:rFonts w:hint="eastAsia"/>
        </w:rPr>
        <w:t>产污环节分析：V型肉羊输送机输运转过程会产生机械噪声（N1.3）、不锈钢沥血池清洗废水（W1.3）。</w:t>
      </w:r>
    </w:p>
    <w:p>
      <w:pPr>
        <w:ind w:firstLine="482"/>
        <w:rPr>
          <w:b/>
          <w:bCs/>
        </w:rPr>
      </w:pPr>
      <w:r>
        <w:rPr>
          <w:b/>
          <w:bCs/>
        </w:rPr>
        <w:t>（4）</w:t>
      </w:r>
      <w:r>
        <w:rPr>
          <w:rFonts w:hint="eastAsia"/>
          <w:b/>
          <w:bCs/>
        </w:rPr>
        <w:t>预剥</w:t>
      </w:r>
    </w:p>
    <w:p>
      <w:pPr>
        <w:ind w:firstLine="480"/>
      </w:pPr>
      <w:r>
        <w:rPr>
          <w:rFonts w:hint="eastAsia"/>
        </w:rPr>
        <w:t>放血完成后的肉羊在手推轨道上移动至预剥区域，在预剥区工作人员先预剥前腿皮并去前蹄和羊头，接着剥悬空的那条后腿皮，并去后蹄，然后再用吊钩钩住已剥过的腿，然后剥另一条后腿皮、去蹄，最后将羊的腹部剥开。割下的羊头及羊蹄全部拉运至自动羊头羊蹄烫漂打毛机中进行去毛处理，经去毛后在拉运至冷库储存、待售。羊头及羊蹄烫漂设备使用电加热，因此此过程中产生的废气主要以水蒸气为主。</w:t>
      </w:r>
    </w:p>
    <w:p>
      <w:pPr>
        <w:ind w:firstLine="480"/>
      </w:pPr>
      <w:r>
        <w:rPr>
          <w:rFonts w:hint="eastAsia"/>
        </w:rPr>
        <w:t>产污环节分析：羊头及羊蹄烫漂废水（W1.4）、烫漂后的羊头及羊蹄清洗废水（W1.5）；头蹄处理设备噪声（N1.4）；羊毛、羊蹄匣、羊角等固废（S1.3）</w:t>
      </w:r>
    </w:p>
    <w:p>
      <w:pPr>
        <w:ind w:firstLine="482"/>
        <w:rPr>
          <w:b/>
          <w:bCs/>
        </w:rPr>
      </w:pPr>
      <w:r>
        <w:rPr>
          <w:b/>
          <w:bCs/>
        </w:rPr>
        <w:t>（5）机械剥皮</w:t>
      </w:r>
    </w:p>
    <w:p>
      <w:pPr>
        <w:ind w:firstLine="480"/>
      </w:pPr>
      <w:r>
        <w:rPr>
          <w:rFonts w:hint="eastAsia"/>
        </w:rPr>
        <w:t>将预剥后的</w:t>
      </w:r>
      <w:r>
        <w:t>羊</w:t>
      </w:r>
      <w:r>
        <w:rPr>
          <w:rFonts w:hint="eastAsia"/>
        </w:rPr>
        <w:t>胴体输送至液压剥皮机并用夹皮装置夹住羊皮</w:t>
      </w:r>
      <w:r>
        <w:t>，从羊的后腿往前腿方向扯下整张羊皮</w:t>
      </w:r>
      <w:r>
        <w:rPr>
          <w:rFonts w:hint="eastAsia"/>
        </w:rPr>
        <w:t>，</w:t>
      </w:r>
      <w:r>
        <w:t>扯下羊皮</w:t>
      </w:r>
      <w:r>
        <w:rPr>
          <w:rFonts w:hint="eastAsia"/>
        </w:rPr>
        <w:t>全部运输至羊皮暂存间暂存后外售。</w:t>
      </w:r>
    </w:p>
    <w:p>
      <w:pPr>
        <w:ind w:firstLine="480"/>
      </w:pPr>
      <w:r>
        <w:rPr>
          <w:rFonts w:hint="eastAsia"/>
        </w:rPr>
        <w:t>产污环节分析：此过程主要为机械剥皮设备噪声（N1.5）。</w:t>
      </w:r>
    </w:p>
    <w:p>
      <w:pPr>
        <w:ind w:firstLine="482"/>
        <w:rPr>
          <w:b/>
          <w:bCs/>
        </w:rPr>
      </w:pPr>
      <w:r>
        <w:rPr>
          <w:b/>
          <w:bCs/>
        </w:rPr>
        <w:t>（6）开膛</w:t>
      </w:r>
    </w:p>
    <w:p>
      <w:pPr>
        <w:ind w:firstLine="480"/>
      </w:pPr>
      <w:r>
        <w:t>沿腹中线切开腹部</w:t>
      </w:r>
      <w:r>
        <w:rPr>
          <w:rFonts w:hint="eastAsia"/>
        </w:rPr>
        <w:t>（人工作业）</w:t>
      </w:r>
      <w:r>
        <w:t>，并取出全部红白内脏，</w:t>
      </w:r>
      <w:r>
        <w:rPr>
          <w:rFonts w:hint="eastAsia"/>
        </w:rPr>
        <w:t>待红白内脏全部取出后对羊胴体进行清洗，同时将取出的</w:t>
      </w:r>
      <w:r>
        <w:t>红白内脏</w:t>
      </w:r>
      <w:r>
        <w:rPr>
          <w:rFonts w:hint="eastAsia"/>
        </w:rPr>
        <w:t>送入</w:t>
      </w:r>
      <w:r>
        <w:t>红白内脏处理</w:t>
      </w:r>
      <w:r>
        <w:rPr>
          <w:rFonts w:hint="eastAsia"/>
        </w:rPr>
        <w:t>处理间进行处理</w:t>
      </w:r>
      <w:r>
        <w:t>，酮体将进入排酸间进行排酸。红白内脏处理</w:t>
      </w:r>
      <w:r>
        <w:rPr>
          <w:rFonts w:hint="eastAsia"/>
        </w:rPr>
        <w:t>具体的处理工艺如下：</w:t>
      </w:r>
    </w:p>
    <w:p>
      <w:pPr>
        <w:ind w:firstLine="480"/>
      </w:pPr>
      <w:r>
        <w:t>红内脏</w:t>
      </w:r>
      <w:r>
        <w:rPr>
          <w:rFonts w:hint="eastAsia"/>
        </w:rPr>
        <w:t>处理工艺：</w:t>
      </w:r>
      <w:r>
        <w:t>红内脏主要包括心、肝、肺等红色内脏，红内脏统一收集后送至红内脏处理间。</w:t>
      </w:r>
      <w:r>
        <w:rPr>
          <w:rFonts w:hint="eastAsia"/>
        </w:rPr>
        <w:t>然后采用</w:t>
      </w:r>
      <w:r>
        <w:t>人工对红内脏进行分拣，将其按类收集，分拣同时对内脏所带肉屑进行剔除，肉屑经统一收集后外售。分拣后，对上述红内脏进行清洗、整理包装入冷藏库</w:t>
      </w:r>
      <w:r>
        <w:rPr>
          <w:rFonts w:hint="eastAsia"/>
        </w:rPr>
        <w:t>暂存，暂存后部分直接外售，部分拉运至牛羊预制品菜生产车间作为羊杂预制品菜原料使用</w:t>
      </w:r>
      <w:r>
        <w:t>。</w:t>
      </w:r>
    </w:p>
    <w:p>
      <w:pPr>
        <w:ind w:firstLine="480"/>
      </w:pPr>
      <w:r>
        <w:t>白内脏</w:t>
      </w:r>
      <w:r>
        <w:rPr>
          <w:rFonts w:hint="eastAsia"/>
        </w:rPr>
        <w:t>处理工艺：</w:t>
      </w:r>
      <w:r>
        <w:t>白内脏主要包括大肠、小肠、</w:t>
      </w:r>
      <w:r>
        <w:rPr>
          <w:rFonts w:hint="eastAsia"/>
        </w:rPr>
        <w:t>羊</w:t>
      </w:r>
      <w:r>
        <w:t>肚等白色内脏，该部分内脏主要属于</w:t>
      </w:r>
      <w:r>
        <w:rPr>
          <w:rFonts w:hint="eastAsia"/>
        </w:rPr>
        <w:t>羊</w:t>
      </w:r>
      <w:r>
        <w:t>消化系统，其中大量未消化物被包裹其中。白内脏统一收集送至白内脏处理间，人工对其进行分拣，将大肠、小肠、</w:t>
      </w:r>
      <w:r>
        <w:rPr>
          <w:rFonts w:hint="eastAsia"/>
        </w:rPr>
        <w:t>羊</w:t>
      </w:r>
      <w:r>
        <w:t>肚等分离归类，归类后对其中胃、肠容物进行去除。项目设置有专门的清洗机对白内脏进行清洗，将清洗后的肠、肚整理包装入冷藏库待售</w:t>
      </w:r>
      <w:r>
        <w:rPr>
          <w:rFonts w:hint="eastAsia"/>
        </w:rPr>
        <w:t>暂存，暂存后部分直接外售，部分拉运至牛羊预制品菜生产车间作为羊杂预制品菜原料使用</w:t>
      </w:r>
      <w:r>
        <w:t>。该过程中主要污染物为胃肠容物及清洗废水。</w:t>
      </w:r>
    </w:p>
    <w:p>
      <w:pPr>
        <w:ind w:firstLine="480"/>
      </w:pPr>
      <w:r>
        <w:rPr>
          <w:rFonts w:hint="eastAsia"/>
        </w:rPr>
        <w:t>产污环节分析：羊胴体</w:t>
      </w:r>
      <w:r>
        <w:t>清洗过程中产生</w:t>
      </w:r>
      <w:r>
        <w:rPr>
          <w:rFonts w:hint="eastAsia"/>
        </w:rPr>
        <w:t>清洗</w:t>
      </w:r>
      <w:r>
        <w:t>废水</w:t>
      </w:r>
      <w:r>
        <w:rPr>
          <w:rFonts w:hint="eastAsia"/>
        </w:rPr>
        <w:t>（W1.6）、红白内脏清洗</w:t>
      </w:r>
      <w:r>
        <w:t>废水</w:t>
      </w:r>
      <w:r>
        <w:rPr>
          <w:rFonts w:hint="eastAsia"/>
        </w:rPr>
        <w:t>（W1.7）、屠宰过程中产生的恶臭气体（G1.2）、白内脏预处理过程中产生的内容物（S1.4）、红白内脏清洗设备产生的噪声（N1.7）、屠宰过程及白内脏内容物清理过程中产生的恶臭气体（G1.2）</w:t>
      </w:r>
      <w:r>
        <w:t>。</w:t>
      </w:r>
    </w:p>
    <w:p>
      <w:pPr>
        <w:ind w:firstLine="482"/>
        <w:rPr>
          <w:b/>
          <w:bCs/>
        </w:rPr>
      </w:pPr>
      <w:r>
        <w:rPr>
          <w:b/>
          <w:bCs/>
        </w:rPr>
        <w:t>（</w:t>
      </w:r>
      <w:r>
        <w:rPr>
          <w:rFonts w:hint="eastAsia"/>
          <w:b/>
          <w:bCs/>
        </w:rPr>
        <w:t>7</w:t>
      </w:r>
      <w:r>
        <w:rPr>
          <w:b/>
          <w:bCs/>
        </w:rPr>
        <w:t>）排酸</w:t>
      </w:r>
    </w:p>
    <w:p>
      <w:pPr>
        <w:ind w:firstLine="480"/>
      </w:pPr>
      <w:r>
        <w:rPr>
          <w:rFonts w:hint="eastAsia"/>
        </w:rPr>
        <w:t>羊</w:t>
      </w:r>
      <w:r>
        <w:t>经屠宰后，除去皮、头、蹄和内脏剩下的部分叫胴体，胴体肌肉在一定温度下产生一系列变化，使肉质变得柔软、多汁，并产生特殊的肉香，这一过程称为肉的</w:t>
      </w:r>
      <w:r>
        <w:rPr>
          <w:rFonts w:hint="eastAsia"/>
        </w:rPr>
        <w:t>“</w:t>
      </w:r>
      <w:r>
        <w:t>排酸</w:t>
      </w:r>
      <w:r>
        <w:rPr>
          <w:rFonts w:hint="eastAsia"/>
        </w:rPr>
        <w:t>”</w:t>
      </w:r>
      <w:r>
        <w:t>嫩化</w:t>
      </w:r>
      <w:r>
        <w:rPr>
          <w:rFonts w:hint="eastAsia"/>
        </w:rPr>
        <w:t>，排酸间温度一般控制在0～4℃之间</w:t>
      </w:r>
      <w:r>
        <w:t>。</w:t>
      </w:r>
    </w:p>
    <w:p>
      <w:pPr>
        <w:ind w:firstLine="480"/>
      </w:pPr>
      <w:r>
        <w:rPr>
          <w:rFonts w:hint="eastAsia"/>
        </w:rPr>
        <w:t>产污环节分析：此过程无污染物产生。</w:t>
      </w:r>
    </w:p>
    <w:p>
      <w:pPr>
        <w:ind w:firstLine="482"/>
        <w:rPr>
          <w:b/>
          <w:bCs/>
        </w:rPr>
      </w:pPr>
      <w:r>
        <w:rPr>
          <w:b/>
          <w:bCs/>
        </w:rPr>
        <w:t>（</w:t>
      </w:r>
      <w:r>
        <w:rPr>
          <w:rFonts w:hint="eastAsia"/>
          <w:b/>
          <w:bCs/>
        </w:rPr>
        <w:t>8</w:t>
      </w:r>
      <w:r>
        <w:rPr>
          <w:b/>
          <w:bCs/>
        </w:rPr>
        <w:t>）剔骨、分割</w:t>
      </w:r>
      <w:r>
        <w:rPr>
          <w:rFonts w:hint="eastAsia"/>
          <w:b/>
          <w:bCs/>
        </w:rPr>
        <w:t>、包装、冷藏</w:t>
      </w:r>
    </w:p>
    <w:p>
      <w:pPr>
        <w:ind w:firstLine="480"/>
      </w:pPr>
      <w:r>
        <w:t>排酸后的胴体经过剔骨分割进行肉骨分离，分离出来的</w:t>
      </w:r>
      <w:r>
        <w:rPr>
          <w:rFonts w:hint="eastAsia"/>
        </w:rPr>
        <w:t>羊</w:t>
      </w:r>
      <w:r>
        <w:t>肉一分部</w:t>
      </w:r>
      <w:r>
        <w:rPr>
          <w:rFonts w:hint="eastAsia"/>
        </w:rPr>
        <w:t>拉运至</w:t>
      </w:r>
      <w:r>
        <w:t>冷库</w:t>
      </w:r>
      <w:r>
        <w:rPr>
          <w:rFonts w:hint="eastAsia"/>
        </w:rPr>
        <w:t>暂存外售</w:t>
      </w:r>
      <w:r>
        <w:t>，一部分</w:t>
      </w:r>
      <w:r>
        <w:rPr>
          <w:rFonts w:hint="eastAsia"/>
        </w:rPr>
        <w:t>拉运至牛羊预制品菜生产车间作为羊肉预制品菜原料使用，分离的羊骨全部集中收集后拉运至冷库暂存，经暂存后外售</w:t>
      </w:r>
      <w:r>
        <w:t>。</w:t>
      </w:r>
    </w:p>
    <w:p>
      <w:pPr>
        <w:ind w:firstLine="480"/>
      </w:pPr>
      <w:r>
        <w:rPr>
          <w:rFonts w:hint="eastAsia"/>
        </w:rPr>
        <w:t>产污环节分析：此过程无污染物产生。</w:t>
      </w:r>
    </w:p>
    <w:p>
      <w:pPr>
        <w:pStyle w:val="7"/>
        <w:ind w:firstLine="482"/>
      </w:pPr>
      <w:r>
        <w:rPr>
          <w:rFonts w:hint="eastAsia"/>
          <w:lang w:val="en-US" w:eastAsia="zh-CN"/>
        </w:rPr>
        <w:t>3</w:t>
      </w:r>
      <w:r>
        <w:rPr>
          <w:rFonts w:hint="eastAsia"/>
        </w:rPr>
        <w:t>.5.3.2、牛羊预制品菜加工生产线工艺流程分析</w:t>
      </w:r>
    </w:p>
    <w:p>
      <w:pPr>
        <w:ind w:firstLine="480"/>
      </w:pPr>
      <w:r>
        <w:rPr>
          <w:rFonts w:hint="eastAsia"/>
        </w:rPr>
        <w:t>预制品菜主要是指对不同的食材，运用不同的制作方法并采用真空或气调锁鲜包装技术进行包装，食用时通过简单的加热或蒸炒等烹饪方式，就能直接作为餐桌上的便捷特色菜品。本项目牛羊预制品菜主要大致可以分为蒸煮卤制类和炒制类。蒸煮卤制类主要以酱紫牛肉、牛肉罐头、清汤羊肉、羊肉罐头等为主；炒制类主要以黑椒牛柳、小炒牛肉、孜然羊肉、葱爆羊肉等。具体的工艺流程详见下图。</w:t>
      </w:r>
    </w:p>
    <w:p>
      <w:pPr>
        <w:ind w:firstLine="0" w:firstLineChars="0"/>
        <w:jc w:val="center"/>
      </w:pPr>
      <w:r>
        <w:object>
          <v:shape id="_x0000_i1042" o:spt="75" type="#_x0000_t75" style="height:402.45pt;width:465.85pt;" o:ole="t" filled="f" o:preferrelative="t" stroked="f" coordsize="21600,21600">
            <v:path/>
            <v:fill on="f" focussize="0,0"/>
            <v:stroke on="f"/>
            <v:imagedata r:id="rId55" o:title=""/>
            <o:lock v:ext="edit" aspectratio="f"/>
            <w10:wrap type="none"/>
            <w10:anchorlock/>
          </v:shape>
          <o:OLEObject Type="Embed" ProgID="Visio.Drawing.15" ShapeID="_x0000_i1042" DrawAspect="Content" ObjectID="_1468075742" r:id="rId54">
            <o:LockedField>false</o:LockedField>
          </o:OLEObject>
        </w:object>
      </w:r>
    </w:p>
    <w:p>
      <w:pPr>
        <w:ind w:firstLine="0" w:firstLineChars="0"/>
        <w:jc w:val="center"/>
      </w:pPr>
      <w:r>
        <w:rPr>
          <w:rFonts w:hint="eastAsia"/>
          <w:b/>
          <w:bCs/>
        </w:rPr>
        <w:t>图</w:t>
      </w:r>
      <w:r>
        <w:rPr>
          <w:rFonts w:hint="eastAsia"/>
          <w:b/>
          <w:bCs/>
          <w:lang w:val="en-US" w:eastAsia="zh-CN"/>
        </w:rPr>
        <w:t>3</w:t>
      </w:r>
      <w:r>
        <w:rPr>
          <w:rFonts w:hint="eastAsia"/>
          <w:b/>
          <w:bCs/>
        </w:rPr>
        <w:t>-</w:t>
      </w:r>
      <w:r>
        <w:rPr>
          <w:rFonts w:hint="eastAsia"/>
          <w:b/>
          <w:bCs/>
          <w:lang w:val="en-US" w:eastAsia="zh-CN"/>
        </w:rPr>
        <w:t>9</w:t>
      </w:r>
      <w:r>
        <w:rPr>
          <w:rFonts w:hint="eastAsia"/>
          <w:b/>
          <w:bCs/>
        </w:rPr>
        <w:t xml:space="preserve">    牛羊预制品菜工艺流程及产物环节图</w:t>
      </w:r>
    </w:p>
    <w:p>
      <w:pPr>
        <w:ind w:firstLine="482"/>
        <w:rPr>
          <w:b/>
          <w:bCs/>
        </w:rPr>
      </w:pPr>
      <w:r>
        <w:rPr>
          <w:rFonts w:hint="eastAsia"/>
          <w:b/>
          <w:bCs/>
        </w:rPr>
        <w:t>（1）原料拆包解冻</w:t>
      </w:r>
    </w:p>
    <w:p>
      <w:pPr>
        <w:ind w:firstLine="480"/>
      </w:pPr>
      <w:r>
        <w:rPr>
          <w:rFonts w:hint="eastAsia"/>
        </w:rPr>
        <w:t>本项目使用的牛羊肉全部来自公司自产的牛羊肉，由于鲜冻牛羊肉中不带有大量的水分，故解冻时不产生废水，同时拆包过程全部以采用人工作业，因此也无噪声产生。</w:t>
      </w:r>
    </w:p>
    <w:p>
      <w:pPr>
        <w:ind w:firstLine="480"/>
      </w:pPr>
      <w:r>
        <w:rPr>
          <w:rFonts w:hint="eastAsia"/>
        </w:rPr>
        <w:t>产污环节分析：该过程中产生的污染物主要为鲜冻牛羊肉外包装及内包装（S2.1），外包装主要以废纸壳为主，内包装主要以废塑料为主。</w:t>
      </w:r>
    </w:p>
    <w:p>
      <w:pPr>
        <w:ind w:firstLine="482"/>
        <w:rPr>
          <w:b/>
          <w:bCs/>
        </w:rPr>
      </w:pPr>
      <w:r>
        <w:rPr>
          <w:rFonts w:hint="eastAsia"/>
          <w:b/>
          <w:bCs/>
        </w:rPr>
        <w:t>（2）清洗</w:t>
      </w:r>
    </w:p>
    <w:p>
      <w:pPr>
        <w:ind w:firstLine="480"/>
      </w:pPr>
      <w:r>
        <w:rPr>
          <w:rFonts w:hint="eastAsia"/>
        </w:rPr>
        <w:t>解冻后的牛羊肉需要进行清洗，清洗水一天更换2次。</w:t>
      </w:r>
    </w:p>
    <w:p>
      <w:pPr>
        <w:ind w:firstLine="480"/>
      </w:pPr>
      <w:r>
        <w:rPr>
          <w:rFonts w:hint="eastAsia"/>
        </w:rPr>
        <w:t>产污环节分析：牛羊肉清洗设备产生的噪声（N2.1）、牛羊肉清洗废水（W2.1）。</w:t>
      </w:r>
    </w:p>
    <w:p>
      <w:pPr>
        <w:ind w:firstLine="482"/>
        <w:rPr>
          <w:b/>
          <w:bCs/>
        </w:rPr>
      </w:pPr>
      <w:r>
        <w:rPr>
          <w:rFonts w:hint="eastAsia"/>
          <w:b/>
          <w:bCs/>
        </w:rPr>
        <w:t>（3）切丝、切块、切丁等</w:t>
      </w:r>
    </w:p>
    <w:p>
      <w:pPr>
        <w:ind w:firstLine="480"/>
      </w:pPr>
      <w:r>
        <w:rPr>
          <w:rFonts w:hint="eastAsia"/>
        </w:rPr>
        <w:t>对清洗后的牛羊肉进行切丝、切块、切丁等，切成需要的尺寸，切割时使用全自动切丝、切块、切丁机。</w:t>
      </w:r>
    </w:p>
    <w:p>
      <w:pPr>
        <w:ind w:firstLine="480"/>
      </w:pPr>
      <w:r>
        <w:rPr>
          <w:rFonts w:hint="eastAsia"/>
        </w:rPr>
        <w:t>产污环节分析：切割设备在运行过程中产生的噪声（N2.2）</w:t>
      </w:r>
    </w:p>
    <w:p>
      <w:pPr>
        <w:ind w:firstLine="482"/>
        <w:rPr>
          <w:b/>
          <w:bCs/>
        </w:rPr>
      </w:pPr>
      <w:r>
        <w:rPr>
          <w:rFonts w:hint="eastAsia"/>
          <w:b/>
          <w:bCs/>
        </w:rPr>
        <w:t>（4）焯水</w:t>
      </w:r>
    </w:p>
    <w:p>
      <w:pPr>
        <w:ind w:firstLine="480"/>
      </w:pPr>
      <w:r>
        <w:rPr>
          <w:rFonts w:hint="eastAsia"/>
        </w:rPr>
        <w:t>焯水就是将牛羊肉放在开水锅中加热至半熟或全熟，取出以备进一步烹调或调味。焯水的目的主要是去除牛羊肉中的血污及腥膻等异味。焯水过程中会产生一定的血沫、浮油等。同时焯水蒸煮锅在清洗时会产生一定量的废水。焯水蒸煮锅采用电加热，焯水过程中的废气主要以水蒸气为主。</w:t>
      </w:r>
    </w:p>
    <w:p>
      <w:pPr>
        <w:ind w:firstLine="480"/>
      </w:pPr>
      <w:r>
        <w:rPr>
          <w:rFonts w:hint="eastAsia"/>
        </w:rPr>
        <w:t>产污环节分析：血沫、浮油（S2.2）、焯水蒸煮锅清洗废水（W2.2）。</w:t>
      </w:r>
    </w:p>
    <w:p>
      <w:pPr>
        <w:ind w:firstLine="482"/>
        <w:rPr>
          <w:b/>
          <w:bCs/>
        </w:rPr>
      </w:pPr>
      <w:r>
        <w:rPr>
          <w:rFonts w:hint="eastAsia"/>
          <w:b/>
          <w:bCs/>
        </w:rPr>
        <w:t>（5）卤制或蒸煮</w:t>
      </w:r>
    </w:p>
    <w:p>
      <w:pPr>
        <w:ind w:firstLine="480"/>
      </w:pPr>
      <w:r>
        <w:rPr>
          <w:rFonts w:hint="eastAsia"/>
        </w:rPr>
        <w:t>将经过焯水的牛羊肉放入蒸煮锅中进行卤制（如酱紫牛肉）或蒸煮（如清汤羊肉、水煮牛肉等），卤制菜主要为牛肉卤制，羊肉不涉及卤制。</w:t>
      </w:r>
    </w:p>
    <w:p>
      <w:pPr>
        <w:ind w:firstLine="480"/>
      </w:pPr>
      <w:r>
        <w:rPr>
          <w:rFonts w:hint="eastAsia"/>
        </w:rPr>
        <w:t>卤制时需要加入卤料，根据建设单位介绍，本项目卤料全部外购正规单位生产的合格产品，然后建设单位根据自己的工艺秘方进行调配，调配过程中不涉及卤料的粉碎。卤制时间约2小时，同时根据煮锅中水量，卤制过程中适当补水，由于在焯水阶段已经对牛羊肉中的血沫、浮油进行了去除，因此在卤制时基本无血沫、浮油产生。卤制老汤循环使用，卤制完成后及时捞出各卤制食品，卤水循环至一定时间后需更换，一般一天更换一次，更换的卤水</w:t>
      </w:r>
      <w:r>
        <w:rPr>
          <w:rFonts w:hint="eastAsia"/>
          <w:lang w:val="en-US" w:eastAsia="zh-CN"/>
        </w:rPr>
        <w:t>全部经污水管网收集后排入厂区污水处理站深度处理</w:t>
      </w:r>
      <w:r>
        <w:rPr>
          <w:rFonts w:hint="eastAsia"/>
        </w:rPr>
        <w:t>。</w:t>
      </w:r>
    </w:p>
    <w:p>
      <w:pPr>
        <w:ind w:firstLine="480"/>
      </w:pPr>
      <w:r>
        <w:rPr>
          <w:rFonts w:hint="eastAsia"/>
        </w:rPr>
        <w:t>蒸煮过程则是将焯水后的牛羊肉放入蒸煮锅中进行蒸煮全熟，蒸煮时根据不同的菜品加入不同的蔬菜和调料。本项目使用的调料全部外购正规厂家生产的合格产品，购入后厂区不再进行破碎、粉碎等加工。蒸煮时间一般为40分钟左右，蒸煮过程中需要定期补充新鲜水，蒸煮完成后及时捞出各蒸煮食品，蒸煮水循环至一定时间后需更换，一般一天更换一次，更换的蒸煮水</w:t>
      </w:r>
      <w:r>
        <w:rPr>
          <w:rFonts w:hint="eastAsia"/>
          <w:lang w:val="en-US" w:eastAsia="zh-CN"/>
        </w:rPr>
        <w:t>全部经污水管网收集后排入厂区污水处理站深度处理</w:t>
      </w:r>
      <w:r>
        <w:rPr>
          <w:rFonts w:hint="eastAsia"/>
        </w:rPr>
        <w:t>。</w:t>
      </w:r>
    </w:p>
    <w:p>
      <w:pPr>
        <w:ind w:firstLine="480"/>
      </w:pPr>
      <w:r>
        <w:rPr>
          <w:rFonts w:hint="eastAsia"/>
        </w:rPr>
        <w:t>产污环节分析：蔬菜清洗时产生的清洗废水（W2.3）、蔬菜在择菜时去除的不能食用的根茎叶（S2.3）、外购卤料、调料拆包过程中产生的废包装（S2.4）、蒸煮锅清洗废水以及焯水废水（W2.4）、废卤料（S2.5）、蒸煮设备噪声（N2.3）</w:t>
      </w:r>
    </w:p>
    <w:p>
      <w:pPr>
        <w:ind w:firstLine="482"/>
        <w:rPr>
          <w:b/>
          <w:bCs/>
        </w:rPr>
      </w:pPr>
      <w:r>
        <w:rPr>
          <w:rFonts w:hint="eastAsia"/>
          <w:b/>
          <w:bCs/>
        </w:rPr>
        <w:t>（6）炒制</w:t>
      </w:r>
    </w:p>
    <w:p>
      <w:pPr>
        <w:ind w:firstLine="480"/>
      </w:pPr>
      <w:r>
        <w:rPr>
          <w:rFonts w:hint="eastAsia"/>
        </w:rPr>
        <w:t>将切好的牛羊肉、蔬菜、葱姜蒜、调料等放入加油的全自动搅拌式电炒锅中进行炒制，炒熟后的预制品菜全部存放在包装容器中，炒制过程中会产生一定量烹饪油烟，烹饪油烟经油烟净化装置处理后引至生产车间屋顶排放，同时电炒锅在运行一段时间后需要进行清洗，一般一天清洗一次，其次蔬菜、葱姜蒜等在使用时需要进行择菜和清洗。</w:t>
      </w:r>
    </w:p>
    <w:p>
      <w:pPr>
        <w:ind w:firstLine="480"/>
      </w:pPr>
      <w:r>
        <w:rPr>
          <w:rFonts w:hint="eastAsia"/>
        </w:rPr>
        <w:t>产污环节分析：烹饪油烟（G2.1）、电炒锅噪声（N2.4）、电炒锅清洗废水（W2.5）、蔬菜在择菜时去除的不能食用的根茎叶（S2.6）、外购调料、食用油拆包过程中产生的废包装（S2.7）、蔬菜清洗时产生的清洗废水（W2.6）</w:t>
      </w:r>
    </w:p>
    <w:p>
      <w:pPr>
        <w:ind w:firstLine="482"/>
        <w:rPr>
          <w:b/>
          <w:bCs/>
        </w:rPr>
      </w:pPr>
      <w:r>
        <w:rPr>
          <w:rFonts w:hint="eastAsia"/>
          <w:b/>
          <w:bCs/>
        </w:rPr>
        <w:t>（7）冷却</w:t>
      </w:r>
    </w:p>
    <w:p>
      <w:pPr>
        <w:ind w:firstLine="480"/>
      </w:pPr>
      <w:r>
        <w:rPr>
          <w:rFonts w:hint="eastAsia"/>
        </w:rPr>
        <w:t>卤制、蒸煮、炒制好预制品菜在进入包装之间需要进行冷却，冷却采用自然冷却，夏季高温时节需要对冷却区域进行降温。</w:t>
      </w:r>
    </w:p>
    <w:p>
      <w:pPr>
        <w:ind w:firstLine="480"/>
      </w:pPr>
      <w:r>
        <w:rPr>
          <w:rFonts w:hint="eastAsia"/>
        </w:rPr>
        <w:t>产污环节分析：此过程无污染物产生。</w:t>
      </w:r>
    </w:p>
    <w:p>
      <w:pPr>
        <w:ind w:firstLine="482"/>
        <w:rPr>
          <w:b/>
          <w:bCs/>
        </w:rPr>
      </w:pPr>
      <w:r>
        <w:rPr>
          <w:rFonts w:hint="eastAsia"/>
          <w:b/>
          <w:bCs/>
        </w:rPr>
        <w:t>（8）包装</w:t>
      </w:r>
    </w:p>
    <w:p>
      <w:pPr>
        <w:ind w:firstLine="480"/>
      </w:pPr>
      <w:r>
        <w:rPr>
          <w:rFonts w:hint="eastAsia"/>
        </w:rPr>
        <w:t>预制品菜经冷却时候进行包装，包装主要以罐装（牛、羊肉罐头）和袋装为主（其他预支品菜）。罐装主要以人工罐装为主，罐装之前需要根据罐装的质量进行称量，经称量后放入罐装容器内，然后采用封口机进行封口，本项目包装罐全部外购正规单位生产的合格产品，包装之前不需要进行洗罐。袋装主要以真空包装为主，袋装过程中不需要进行洗袋，包装时将冷却后牛羊预制品菜全部放入真空包装袋中，然后利用真空包装机进行包装。</w:t>
      </w:r>
    </w:p>
    <w:p>
      <w:pPr>
        <w:ind w:firstLine="480"/>
      </w:pPr>
      <w:r>
        <w:rPr>
          <w:rFonts w:hint="eastAsia"/>
        </w:rPr>
        <w:t>产污环节分析：此过程主要为包装设备噪声（N2.5）。</w:t>
      </w:r>
    </w:p>
    <w:p>
      <w:pPr>
        <w:ind w:firstLine="482"/>
        <w:rPr>
          <w:b/>
          <w:bCs/>
        </w:rPr>
      </w:pPr>
      <w:r>
        <w:rPr>
          <w:rFonts w:hint="eastAsia"/>
          <w:b/>
          <w:bCs/>
        </w:rPr>
        <w:t>（9）杀菌、速冻、入库待售</w:t>
      </w:r>
    </w:p>
    <w:p>
      <w:pPr>
        <w:ind w:firstLine="480"/>
      </w:pPr>
      <w:r>
        <w:rPr>
          <w:rFonts w:hint="eastAsia"/>
        </w:rPr>
        <w:t>包装后利用高压灭菌罐（采用电加热，温度约130℃）进行杀菌，杀菌后进行装箱，然后全部拉运至冷库暂存，暂存后全部外售。</w:t>
      </w:r>
    </w:p>
    <w:p>
      <w:pPr>
        <w:ind w:firstLine="480"/>
      </w:pPr>
      <w:r>
        <w:rPr>
          <w:rFonts w:hint="eastAsia"/>
        </w:rPr>
        <w:t>产污环节分析：此过程主要为杀菌设备噪声（N2.6）。</w:t>
      </w:r>
    </w:p>
    <w:p>
      <w:pPr>
        <w:pStyle w:val="7"/>
        <w:ind w:firstLine="482"/>
      </w:pPr>
      <w:r>
        <w:rPr>
          <w:rFonts w:hint="eastAsia"/>
          <w:lang w:val="en-US" w:eastAsia="zh-CN"/>
        </w:rPr>
        <w:t>3</w:t>
      </w:r>
      <w:r>
        <w:rPr>
          <w:rFonts w:hint="eastAsia"/>
        </w:rPr>
        <w:t>.5.3.3、羊杂预制品加工生产线工艺流程分析</w:t>
      </w:r>
    </w:p>
    <w:p>
      <w:pPr>
        <w:ind w:firstLine="480"/>
      </w:pPr>
      <w:r>
        <w:rPr>
          <w:rFonts w:hint="eastAsia"/>
        </w:rPr>
        <w:t>羊杂主要包括羊红白内脏。本项目羊杂全部来自肉羊精深加工生产线，肉羊精深加工生产线产生的羊杂一部分经副产物生产车间处理后直接冷藏外售，一部分拉运至羊杂预制品生产车间作为羊杂预制品原料使用。</w:t>
      </w:r>
    </w:p>
    <w:p>
      <w:pPr>
        <w:ind w:firstLine="480"/>
        <w:jc w:val="center"/>
      </w:pPr>
      <w:r>
        <w:object>
          <v:shape id="_x0000_i1043" o:spt="75" type="#_x0000_t75" style="height:251.6pt;width:232.4pt;" o:ole="t" filled="f" o:preferrelative="t" stroked="f" coordsize="21600,21600">
            <v:path/>
            <v:fill on="f" focussize="0,0"/>
            <v:stroke on="f"/>
            <v:imagedata r:id="rId57" o:title=""/>
            <o:lock v:ext="edit" aspectratio="f"/>
            <w10:wrap type="none"/>
            <w10:anchorlock/>
          </v:shape>
          <o:OLEObject Type="Embed" ProgID="Visio.Drawing.15" ShapeID="_x0000_i1043" DrawAspect="Content" ObjectID="_1468075743" r:id="rId56">
            <o:LockedField>false</o:LockedField>
          </o:OLEObject>
        </w:object>
      </w:r>
    </w:p>
    <w:p>
      <w:pPr>
        <w:spacing w:line="240" w:lineRule="auto"/>
        <w:ind w:firstLine="482"/>
        <w:jc w:val="center"/>
        <w:rPr>
          <w:b/>
          <w:bCs/>
        </w:rPr>
      </w:pPr>
      <w:r>
        <w:rPr>
          <w:rFonts w:hint="eastAsia"/>
          <w:b/>
          <w:bCs/>
        </w:rPr>
        <w:t>图</w:t>
      </w:r>
      <w:r>
        <w:rPr>
          <w:rFonts w:hint="eastAsia"/>
          <w:b/>
          <w:bCs/>
          <w:lang w:val="en-US" w:eastAsia="zh-CN"/>
        </w:rPr>
        <w:t>3</w:t>
      </w:r>
      <w:r>
        <w:rPr>
          <w:rFonts w:hint="eastAsia"/>
          <w:b/>
          <w:bCs/>
        </w:rPr>
        <w:t>-1</w:t>
      </w:r>
      <w:r>
        <w:rPr>
          <w:rFonts w:hint="eastAsia"/>
          <w:b/>
          <w:bCs/>
          <w:lang w:val="en-US" w:eastAsia="zh-CN"/>
        </w:rPr>
        <w:t>0</w:t>
      </w:r>
      <w:r>
        <w:rPr>
          <w:rFonts w:hint="eastAsia"/>
          <w:b/>
          <w:bCs/>
        </w:rPr>
        <w:t xml:space="preserve">    羊杂预制品生产线工艺流程及产污环节图</w:t>
      </w:r>
    </w:p>
    <w:p>
      <w:pPr>
        <w:ind w:firstLine="482"/>
      </w:pPr>
      <w:r>
        <w:rPr>
          <w:rFonts w:hint="eastAsia"/>
          <w:b/>
          <w:bCs/>
        </w:rPr>
        <w:t>（1）原料清洗</w:t>
      </w:r>
    </w:p>
    <w:p>
      <w:pPr>
        <w:ind w:firstLine="480"/>
      </w:pPr>
      <w:r>
        <w:rPr>
          <w:rFonts w:hint="eastAsia"/>
        </w:rPr>
        <w:t>羊杂预制品在生产之前需要现对羊杂进行清洗，清洗水一天更换1次，清洗采用自来水，清洗过程中不添加任何清洗剂。</w:t>
      </w:r>
    </w:p>
    <w:p>
      <w:pPr>
        <w:ind w:firstLine="480"/>
      </w:pPr>
      <w:r>
        <w:rPr>
          <w:rFonts w:hint="eastAsia"/>
        </w:rPr>
        <w:t>产污环节分析：羊杂清洗废水（W3.1）</w:t>
      </w:r>
    </w:p>
    <w:p>
      <w:pPr>
        <w:ind w:firstLine="482"/>
        <w:rPr>
          <w:b/>
          <w:bCs/>
        </w:rPr>
      </w:pPr>
      <w:r>
        <w:rPr>
          <w:rFonts w:hint="eastAsia"/>
          <w:b/>
          <w:bCs/>
        </w:rPr>
        <w:t>（2）蒸煮</w:t>
      </w:r>
    </w:p>
    <w:p>
      <w:pPr>
        <w:ind w:firstLine="480"/>
      </w:pPr>
      <w:r>
        <w:rPr>
          <w:rFonts w:hint="eastAsia"/>
        </w:rPr>
        <w:t>清洗后将羊杂全部放入放入蒸煮锅中进行蒸煮，蒸煮时间约1小时，根据锅中水量，蒸煮过程中适当补水，适时捞出煮锅中的血沫、浮油等，蒸煮完成后及时捞出。</w:t>
      </w:r>
    </w:p>
    <w:p>
      <w:pPr>
        <w:ind w:firstLine="480"/>
      </w:pPr>
      <w:r>
        <w:rPr>
          <w:rFonts w:hint="eastAsia"/>
        </w:rPr>
        <w:t>产污环节分析：蒸煮过程中产生的血沫、浮油等（S3.1）、废调料（S3.2）、蒸煮锅清洗废水（W3.2）。</w:t>
      </w:r>
    </w:p>
    <w:p>
      <w:pPr>
        <w:ind w:firstLine="482"/>
        <w:rPr>
          <w:b/>
          <w:bCs/>
        </w:rPr>
      </w:pPr>
      <w:r>
        <w:rPr>
          <w:rFonts w:hint="eastAsia"/>
          <w:b/>
          <w:bCs/>
        </w:rPr>
        <w:t>（3）清洗</w:t>
      </w:r>
    </w:p>
    <w:p>
      <w:pPr>
        <w:ind w:firstLine="480"/>
      </w:pPr>
      <w:r>
        <w:rPr>
          <w:rFonts w:hint="eastAsia"/>
        </w:rPr>
        <w:t>蒸煮完成后需要对羊杂进行清洗，清洗水一天更换2次</w:t>
      </w:r>
      <w:r>
        <w:rPr>
          <w:rFonts w:hint="eastAsia"/>
          <w:lang w:eastAsia="zh-CN"/>
        </w:rPr>
        <w:t>，</w:t>
      </w:r>
      <w:r>
        <w:rPr>
          <w:rFonts w:hint="eastAsia"/>
          <w:lang w:val="en-US" w:eastAsia="zh-CN"/>
        </w:rPr>
        <w:t>清洗废水全部经污水管网收集后排入厂区污水处理站深度处理</w:t>
      </w:r>
      <w:r>
        <w:rPr>
          <w:rFonts w:hint="eastAsia"/>
        </w:rPr>
        <w:t>。清洗的目的主要是去除羊杂表面附着的调料等杂质。</w:t>
      </w:r>
    </w:p>
    <w:p>
      <w:pPr>
        <w:ind w:firstLine="480"/>
      </w:pPr>
      <w:r>
        <w:rPr>
          <w:rFonts w:hint="eastAsia"/>
        </w:rPr>
        <w:t>产污环节分析：羊杂预制品清洗废水（W3.3）</w:t>
      </w:r>
    </w:p>
    <w:p>
      <w:pPr>
        <w:ind w:firstLine="482"/>
      </w:pPr>
      <w:r>
        <w:rPr>
          <w:rFonts w:hint="eastAsia"/>
          <w:b/>
          <w:bCs/>
        </w:rPr>
        <w:t>（4）包装、杀菌、冷库暂存外售</w:t>
      </w:r>
    </w:p>
    <w:p>
      <w:pPr>
        <w:ind w:firstLine="480"/>
      </w:pPr>
      <w:r>
        <w:rPr>
          <w:rFonts w:hint="eastAsia"/>
        </w:rPr>
        <w:t>将清洗干净的食品利用真空包装机进行包装，包装后利用高压灭菌罐（采用电加热，温度约130℃）进行杀菌，杀菌后进行装箱存放入冷库待售。</w:t>
      </w:r>
    </w:p>
    <w:p>
      <w:pPr>
        <w:ind w:firstLine="480"/>
      </w:pPr>
      <w:r>
        <w:rPr>
          <w:rFonts w:hint="eastAsia"/>
        </w:rPr>
        <w:t>产污环节分析：此过程主要产生设备噪声（N3.1）。</w:t>
      </w:r>
    </w:p>
    <w:p>
      <w:pPr>
        <w:pStyle w:val="7"/>
        <w:ind w:firstLine="482"/>
      </w:pPr>
      <w:r>
        <w:rPr>
          <w:rFonts w:hint="eastAsia"/>
          <w:lang w:val="en-US" w:eastAsia="zh-CN"/>
        </w:rPr>
        <w:t>3</w:t>
      </w:r>
      <w:r>
        <w:rPr>
          <w:rFonts w:hint="eastAsia"/>
        </w:rPr>
        <w:t>.5.3.4、其他</w:t>
      </w:r>
    </w:p>
    <w:p>
      <w:pPr>
        <w:ind w:firstLine="482"/>
        <w:rPr>
          <w:b/>
          <w:bCs/>
        </w:rPr>
      </w:pPr>
      <w:r>
        <w:rPr>
          <w:rFonts w:hint="eastAsia"/>
          <w:b/>
          <w:bCs/>
        </w:rPr>
        <w:t>（1）冷库</w:t>
      </w:r>
    </w:p>
    <w:p>
      <w:pPr>
        <w:ind w:firstLine="480"/>
      </w:pPr>
      <w:r>
        <w:rPr>
          <w:rFonts w:hint="eastAsia"/>
        </w:rPr>
        <w:t>本项目制冷系统采用环保制冷剂R404A作为制冷工质，</w:t>
      </w:r>
      <w:r>
        <w:t>库内冷却设备采用吊顶式冷风机，压缩机采用螺杆式压缩机，</w:t>
      </w:r>
      <w:r>
        <w:rPr>
          <w:rFonts w:hint="eastAsia"/>
        </w:rPr>
        <w:t>制冷系统为全封闭自动化，制冷剂损耗量较少，定期进行补充。项目制冷系统主要由4大部分组成，分别为制冷压缩机、节流膨胀阀、蒸发器、冷凝器，由无缝钢管将各部分连接形成一个密闭系统。制冷剂在系统压力下通过节流膨胀阀进入冷库内蒸发器吸收库内热量，吸收热量的制冷剂又经制冷压缩机吸入冷凝器进行降温、冷凝处理，经降温、冷凝处理后制冷剂在制冷系统中循环使用，以达到所需要的温度和目的。降温、冷凝处理介质采用水冷，冷凝水经风冷水塔、循环冷却水池处理后循环使用，不外排。</w:t>
      </w:r>
    </w:p>
    <w:p>
      <w:pPr>
        <w:ind w:firstLine="480"/>
      </w:pPr>
      <w:r>
        <w:rPr>
          <w:rFonts w:hint="eastAsia"/>
        </w:rPr>
        <w:t>产物环节：冷库制冷设备在运行过程中会产生噪声（N4.1）；冷凝处理过程中产生的冷凝废水（W4.1）。</w:t>
      </w:r>
    </w:p>
    <w:p>
      <w:pPr>
        <w:ind w:firstLine="482"/>
        <w:rPr>
          <w:b/>
          <w:bCs/>
        </w:rPr>
      </w:pPr>
      <w:r>
        <w:rPr>
          <w:rFonts w:hint="eastAsia"/>
          <w:b/>
          <w:bCs/>
        </w:rPr>
        <w:t>（2）职工生活</w:t>
      </w:r>
    </w:p>
    <w:p>
      <w:pPr>
        <w:ind w:firstLine="480"/>
      </w:pPr>
      <w:r>
        <w:rPr>
          <w:rFonts w:hint="eastAsia"/>
        </w:rPr>
        <w:t>产污环节：职工生活过程中会产生生活垃圾（S4.1）、生活污水（W4.2）、食堂油烟（G4.1）。</w:t>
      </w:r>
    </w:p>
    <w:p>
      <w:pPr>
        <w:ind w:firstLine="482"/>
      </w:pPr>
      <w:bookmarkStart w:id="545" w:name="_Toc28428"/>
      <w:bookmarkStart w:id="546" w:name="_Toc107375200"/>
      <w:r>
        <w:rPr>
          <w:rFonts w:hint="eastAsia"/>
          <w:b/>
          <w:bCs/>
        </w:rPr>
        <w:t>（3）活性炭吸附装置</w:t>
      </w:r>
    </w:p>
    <w:p>
      <w:pPr>
        <w:ind w:firstLine="480"/>
      </w:pPr>
      <w:r>
        <w:rPr>
          <w:rFonts w:hint="eastAsia"/>
        </w:rPr>
        <w:t>活性炭吸附装置在运行过程中会产生废活性炭（S4.2）。</w:t>
      </w:r>
    </w:p>
    <w:p>
      <w:pPr>
        <w:pStyle w:val="6"/>
        <w:ind w:firstLine="482"/>
      </w:pPr>
      <w:bookmarkStart w:id="547" w:name="_Toc28154"/>
      <w:r>
        <w:rPr>
          <w:rFonts w:hint="eastAsia"/>
          <w:lang w:val="en-US" w:eastAsia="zh-CN"/>
        </w:rPr>
        <w:t>3</w:t>
      </w:r>
      <w:r>
        <w:t>.</w:t>
      </w:r>
      <w:r>
        <w:rPr>
          <w:rFonts w:hint="eastAsia"/>
        </w:rPr>
        <w:t>5.4、</w:t>
      </w:r>
      <w:r>
        <w:rPr>
          <w:rFonts w:hint="eastAsia"/>
          <w:lang w:val="en-US" w:eastAsia="zh-CN"/>
        </w:rPr>
        <w:t>拟建</w:t>
      </w:r>
      <w:r>
        <w:t>项目</w:t>
      </w:r>
      <w:r>
        <w:rPr>
          <w:rFonts w:hint="eastAsia"/>
        </w:rPr>
        <w:t>运营期</w:t>
      </w:r>
      <w:r>
        <w:t>主要</w:t>
      </w:r>
      <w:r>
        <w:rPr>
          <w:rFonts w:hint="eastAsia"/>
        </w:rPr>
        <w:t>的</w:t>
      </w:r>
      <w:r>
        <w:t>污染工序</w:t>
      </w:r>
      <w:bookmarkEnd w:id="545"/>
      <w:bookmarkEnd w:id="547"/>
    </w:p>
    <w:bookmarkEnd w:id="546"/>
    <w:p>
      <w:pPr>
        <w:ind w:firstLine="480"/>
        <w:rPr>
          <w:color w:val="000000" w:themeColor="text1"/>
          <w14:textFill>
            <w14:solidFill>
              <w14:schemeClr w14:val="tx1"/>
            </w14:solidFill>
          </w14:textFill>
        </w:rPr>
      </w:pPr>
      <w:r>
        <w:rPr>
          <w:color w:val="000000" w:themeColor="text1"/>
          <w14:textFill>
            <w14:solidFill>
              <w14:schemeClr w14:val="tx1"/>
            </w14:solidFill>
          </w14:textFill>
        </w:rPr>
        <w:t>根据工艺分析，项目运营期生产及生活主要污染工序一览表见表</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w:t>
      </w:r>
      <w:r>
        <w:rPr>
          <w:color w:val="000000" w:themeColor="text1"/>
          <w14:textFill>
            <w14:solidFill>
              <w14:schemeClr w14:val="tx1"/>
            </w14:solidFill>
          </w14:textFill>
        </w:rPr>
        <w:t>。</w:t>
      </w:r>
    </w:p>
    <w:p>
      <w:pPr>
        <w:ind w:firstLine="482"/>
        <w:jc w:val="center"/>
        <w:rPr>
          <w:b/>
          <w:bCs/>
          <w:szCs w:val="32"/>
        </w:rPr>
      </w:pPr>
    </w:p>
    <w:p>
      <w:pPr>
        <w:ind w:firstLine="482"/>
        <w:jc w:val="center"/>
        <w:rPr>
          <w:b/>
          <w:bCs/>
          <w:szCs w:val="32"/>
        </w:rPr>
        <w:sectPr>
          <w:type w:val="continuous"/>
          <w:pgSz w:w="11906" w:h="16838"/>
          <w:pgMar w:top="1440" w:right="1080" w:bottom="1440" w:left="1080" w:header="964" w:footer="737" w:gutter="0"/>
          <w:pgBorders>
            <w:top w:val="none" w:sz="0" w:space="0"/>
            <w:left w:val="none" w:sz="0" w:space="0"/>
            <w:bottom w:val="none" w:sz="0" w:space="0"/>
            <w:right w:val="none" w:sz="0" w:space="0"/>
          </w:pgBorders>
          <w:cols w:space="425" w:num="1"/>
          <w:docGrid w:type="lines" w:linePitch="312" w:charSpace="0"/>
        </w:sectPr>
      </w:pPr>
    </w:p>
    <w:p>
      <w:pPr>
        <w:spacing w:line="240" w:lineRule="auto"/>
        <w:ind w:firstLine="482"/>
        <w:jc w:val="center"/>
        <w:rPr>
          <w:b/>
          <w:bCs/>
          <w:szCs w:val="32"/>
        </w:rPr>
      </w:pPr>
      <w:r>
        <w:rPr>
          <w:b/>
          <w:bCs/>
          <w:szCs w:val="32"/>
        </w:rPr>
        <w:t>表</w:t>
      </w:r>
      <w:r>
        <w:rPr>
          <w:rFonts w:hint="eastAsia"/>
          <w:b/>
          <w:bCs/>
          <w:szCs w:val="32"/>
          <w:lang w:val="en-US" w:eastAsia="zh-CN"/>
        </w:rPr>
        <w:t>3</w:t>
      </w:r>
      <w:r>
        <w:rPr>
          <w:rFonts w:hint="eastAsia"/>
          <w:b/>
          <w:bCs/>
          <w:szCs w:val="32"/>
        </w:rPr>
        <w:t>.1</w:t>
      </w:r>
      <w:r>
        <w:rPr>
          <w:rFonts w:hint="eastAsia"/>
          <w:b/>
          <w:bCs/>
          <w:szCs w:val="32"/>
          <w:lang w:val="en-US" w:eastAsia="zh-CN"/>
        </w:rPr>
        <w:t>3</w:t>
      </w:r>
      <w:r>
        <w:rPr>
          <w:b/>
          <w:bCs/>
          <w:szCs w:val="32"/>
        </w:rPr>
        <w:t xml:space="preserve">    主要污染工序一览表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4"/>
        <w:gridCol w:w="959"/>
        <w:gridCol w:w="769"/>
        <w:gridCol w:w="998"/>
        <w:gridCol w:w="2232"/>
        <w:gridCol w:w="3060"/>
        <w:gridCol w:w="4806"/>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tcBorders>
              <w:tl2br w:val="nil"/>
              <w:tr2bl w:val="nil"/>
            </w:tcBorders>
            <w:vAlign w:val="center"/>
          </w:tcPr>
          <w:p>
            <w:pPr>
              <w:spacing w:line="240" w:lineRule="auto"/>
              <w:ind w:firstLine="0" w:firstLineChars="0"/>
              <w:jc w:val="center"/>
              <w:rPr>
                <w:b/>
                <w:bCs/>
                <w:sz w:val="21"/>
                <w:szCs w:val="21"/>
              </w:rPr>
            </w:pPr>
            <w:r>
              <w:rPr>
                <w:b/>
                <w:bCs/>
                <w:sz w:val="21"/>
                <w:szCs w:val="21"/>
              </w:rPr>
              <w:t>生产线名称</w:t>
            </w:r>
          </w:p>
        </w:tc>
        <w:tc>
          <w:tcPr>
            <w:tcW w:w="322" w:type="pct"/>
            <w:tcBorders>
              <w:tl2br w:val="nil"/>
              <w:tr2bl w:val="nil"/>
            </w:tcBorders>
            <w:vAlign w:val="center"/>
          </w:tcPr>
          <w:p>
            <w:pPr>
              <w:spacing w:line="240" w:lineRule="auto"/>
              <w:ind w:firstLine="0" w:firstLineChars="0"/>
              <w:jc w:val="center"/>
              <w:rPr>
                <w:b/>
                <w:bCs/>
                <w:sz w:val="21"/>
                <w:szCs w:val="21"/>
              </w:rPr>
            </w:pPr>
            <w:r>
              <w:rPr>
                <w:b/>
                <w:bCs/>
                <w:sz w:val="21"/>
                <w:szCs w:val="21"/>
              </w:rPr>
              <w:t>编号</w:t>
            </w:r>
          </w:p>
        </w:tc>
        <w:tc>
          <w:tcPr>
            <w:tcW w:w="258" w:type="pct"/>
            <w:tcBorders>
              <w:tl2br w:val="nil"/>
              <w:tr2bl w:val="nil"/>
            </w:tcBorders>
            <w:vAlign w:val="center"/>
          </w:tcPr>
          <w:p>
            <w:pPr>
              <w:spacing w:line="240" w:lineRule="auto"/>
              <w:ind w:firstLine="0" w:firstLineChars="0"/>
              <w:jc w:val="center"/>
              <w:rPr>
                <w:sz w:val="21"/>
                <w:szCs w:val="21"/>
              </w:rPr>
            </w:pPr>
            <w:r>
              <w:rPr>
                <w:b/>
                <w:bCs/>
                <w:sz w:val="21"/>
                <w:szCs w:val="21"/>
              </w:rPr>
              <w:t>污染类别</w:t>
            </w:r>
          </w:p>
        </w:tc>
        <w:tc>
          <w:tcPr>
            <w:tcW w:w="108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污染源名称</w:t>
            </w:r>
          </w:p>
        </w:tc>
        <w:tc>
          <w:tcPr>
            <w:tcW w:w="1027" w:type="pct"/>
            <w:tcBorders>
              <w:tl2br w:val="nil"/>
              <w:tr2bl w:val="nil"/>
            </w:tcBorders>
            <w:vAlign w:val="center"/>
          </w:tcPr>
          <w:p>
            <w:pPr>
              <w:spacing w:line="240" w:lineRule="auto"/>
              <w:ind w:firstLine="0" w:firstLineChars="0"/>
              <w:jc w:val="center"/>
              <w:rPr>
                <w:b/>
                <w:bCs/>
                <w:sz w:val="21"/>
                <w:szCs w:val="21"/>
              </w:rPr>
            </w:pPr>
            <w:r>
              <w:rPr>
                <w:b/>
                <w:bCs/>
                <w:sz w:val="21"/>
                <w:szCs w:val="21"/>
              </w:rPr>
              <w:t>产污环节</w:t>
            </w:r>
          </w:p>
        </w:tc>
        <w:tc>
          <w:tcPr>
            <w:tcW w:w="1613" w:type="pct"/>
            <w:tcBorders>
              <w:tl2br w:val="nil"/>
              <w:tr2bl w:val="nil"/>
            </w:tcBorders>
            <w:vAlign w:val="center"/>
          </w:tcPr>
          <w:p>
            <w:pPr>
              <w:spacing w:line="240" w:lineRule="auto"/>
              <w:ind w:firstLine="0" w:firstLineChars="0"/>
              <w:jc w:val="center"/>
              <w:rPr>
                <w:b/>
                <w:bCs/>
                <w:sz w:val="21"/>
                <w:szCs w:val="21"/>
              </w:rPr>
            </w:pPr>
            <w:r>
              <w:rPr>
                <w:b/>
                <w:bCs/>
                <w:sz w:val="21"/>
                <w:szCs w:val="21"/>
              </w:rPr>
              <w:t>主要污染因子</w:t>
            </w:r>
          </w:p>
        </w:tc>
        <w:tc>
          <w:tcPr>
            <w:tcW w:w="359" w:type="pct"/>
            <w:tcBorders>
              <w:tl2br w:val="nil"/>
              <w:tr2bl w:val="nil"/>
            </w:tcBorders>
            <w:vAlign w:val="center"/>
          </w:tcPr>
          <w:p>
            <w:pPr>
              <w:spacing w:line="240" w:lineRule="auto"/>
              <w:ind w:firstLine="0" w:firstLineChars="0"/>
              <w:jc w:val="center"/>
              <w:rPr>
                <w:b/>
                <w:bCs/>
                <w:sz w:val="21"/>
                <w:szCs w:val="21"/>
              </w:rPr>
            </w:pPr>
            <w:r>
              <w:rPr>
                <w:b/>
                <w:bCs/>
                <w:sz w:val="21"/>
                <w:szCs w:val="21"/>
              </w:rPr>
              <w:t>排放</w:t>
            </w:r>
          </w:p>
          <w:p>
            <w:pPr>
              <w:spacing w:line="240" w:lineRule="auto"/>
              <w:ind w:firstLine="0" w:firstLineChars="0"/>
              <w:jc w:val="center"/>
              <w:rPr>
                <w:b/>
                <w:bCs/>
                <w:color w:val="FF0000"/>
                <w:sz w:val="21"/>
                <w:szCs w:val="21"/>
              </w:rPr>
            </w:pPr>
            <w:r>
              <w:rPr>
                <w:b/>
                <w:bCs/>
                <w:sz w:val="21"/>
                <w:szCs w:val="21"/>
              </w:rPr>
              <w:t>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肉羊屠宰精深加工生产线</w:t>
            </w: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废水</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羊尿液</w:t>
            </w:r>
          </w:p>
        </w:tc>
        <w:tc>
          <w:tcPr>
            <w:tcW w:w="1027"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肉羊待宰过程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CODcr、BOD</w:t>
            </w:r>
            <w:r>
              <w:rPr>
                <w:rFonts w:hint="eastAsia"/>
                <w:sz w:val="21"/>
                <w:szCs w:val="21"/>
                <w:vertAlign w:val="subscript"/>
              </w:rPr>
              <w:t>5</w:t>
            </w:r>
            <w:r>
              <w:rPr>
                <w:sz w:val="21"/>
                <w:szCs w:val="21"/>
              </w:rPr>
              <w:t>、</w:t>
            </w:r>
            <w:r>
              <w:rPr>
                <w:rFonts w:hint="eastAsia"/>
                <w:sz w:val="21"/>
                <w:szCs w:val="21"/>
              </w:rPr>
              <w:t>SS</w:t>
            </w:r>
            <w:r>
              <w:rPr>
                <w:sz w:val="21"/>
                <w:szCs w:val="21"/>
              </w:rPr>
              <w:t>、</w:t>
            </w:r>
            <w:r>
              <w:rPr>
                <w:rFonts w:hint="eastAsia"/>
                <w:sz w:val="21"/>
                <w:szCs w:val="21"/>
              </w:rPr>
              <w:t>NH</w:t>
            </w:r>
            <w:r>
              <w:rPr>
                <w:rFonts w:hint="eastAsia"/>
                <w:sz w:val="21"/>
                <w:szCs w:val="21"/>
                <w:vertAlign w:val="subscript"/>
              </w:rPr>
              <w:t>3</w:t>
            </w:r>
            <w:r>
              <w:rPr>
                <w:rFonts w:hint="eastAsia"/>
                <w:sz w:val="21"/>
                <w:szCs w:val="21"/>
              </w:rPr>
              <w:t>-N</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活羊冲淋废水</w:t>
            </w:r>
          </w:p>
        </w:tc>
        <w:tc>
          <w:tcPr>
            <w:tcW w:w="1027" w:type="pct"/>
            <w:vMerge w:val="continue"/>
            <w:tcBorders>
              <w:tl2br w:val="nil"/>
              <w:tr2bl w:val="nil"/>
            </w:tcBorders>
            <w:vAlign w:val="center"/>
          </w:tcPr>
          <w:p>
            <w:pPr>
              <w:spacing w:line="240" w:lineRule="auto"/>
              <w:ind w:firstLine="0" w:firstLineChars="0"/>
              <w:jc w:val="center"/>
              <w:rPr>
                <w:sz w:val="21"/>
                <w:szCs w:val="21"/>
              </w:rPr>
            </w:pP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CODcr、BOD</w:t>
            </w:r>
            <w:r>
              <w:rPr>
                <w:rFonts w:hint="eastAsia"/>
                <w:sz w:val="21"/>
                <w:szCs w:val="21"/>
                <w:vertAlign w:val="subscript"/>
              </w:rPr>
              <w:t>5</w:t>
            </w:r>
            <w:r>
              <w:rPr>
                <w:sz w:val="21"/>
                <w:szCs w:val="21"/>
              </w:rPr>
              <w:t>、</w:t>
            </w:r>
            <w:r>
              <w:rPr>
                <w:rFonts w:hint="eastAsia"/>
                <w:sz w:val="21"/>
                <w:szCs w:val="21"/>
              </w:rPr>
              <w:t>SS</w:t>
            </w:r>
            <w:r>
              <w:rPr>
                <w:sz w:val="21"/>
                <w:szCs w:val="21"/>
              </w:rPr>
              <w:t>、</w:t>
            </w:r>
            <w:r>
              <w:rPr>
                <w:rFonts w:hint="eastAsia"/>
                <w:sz w:val="21"/>
                <w:szCs w:val="21"/>
              </w:rPr>
              <w:t>NH</w:t>
            </w:r>
            <w:r>
              <w:rPr>
                <w:rFonts w:hint="eastAsia"/>
                <w:sz w:val="21"/>
                <w:szCs w:val="21"/>
                <w:vertAlign w:val="subscript"/>
              </w:rPr>
              <w:t>3</w:t>
            </w:r>
            <w:r>
              <w:rPr>
                <w:rFonts w:hint="eastAsia"/>
                <w:sz w:val="21"/>
                <w:szCs w:val="21"/>
              </w:rPr>
              <w:t>-N</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屠宰</w:t>
            </w:r>
          </w:p>
          <w:p>
            <w:pPr>
              <w:spacing w:line="240" w:lineRule="auto"/>
              <w:ind w:firstLine="0" w:firstLineChars="0"/>
              <w:jc w:val="center"/>
              <w:rPr>
                <w:sz w:val="21"/>
                <w:szCs w:val="21"/>
              </w:rPr>
            </w:pPr>
            <w:r>
              <w:rPr>
                <w:rFonts w:hint="eastAsia"/>
                <w:sz w:val="21"/>
                <w:szCs w:val="21"/>
              </w:rPr>
              <w:t>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不锈钢沥血池清洗过程</w:t>
            </w:r>
          </w:p>
        </w:tc>
        <w:tc>
          <w:tcPr>
            <w:tcW w:w="1613" w:type="pct"/>
            <w:tcBorders>
              <w:tl2br w:val="nil"/>
              <w:tr2bl w:val="nil"/>
            </w:tcBorders>
            <w:vAlign w:val="center"/>
          </w:tcPr>
          <w:p>
            <w:pPr>
              <w:spacing w:line="240" w:lineRule="auto"/>
              <w:ind w:firstLine="0" w:firstLineChars="0"/>
              <w:jc w:val="center"/>
              <w:rPr>
                <w:rFonts w:hint="default"/>
                <w:sz w:val="21"/>
                <w:szCs w:val="21"/>
                <w:lang w:val="en-US"/>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、SS、氨氮、动植物油、大肠菌群数、阴离子表面活性剂</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W1.4</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烫漂废水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羊头、蹄烫漂过程</w:t>
            </w:r>
          </w:p>
        </w:tc>
        <w:tc>
          <w:tcPr>
            <w:tcW w:w="1613" w:type="pct"/>
            <w:vMerge w:val="restar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W1.5</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烫漂后的羊头、蹄清洗过程</w:t>
            </w:r>
          </w:p>
        </w:tc>
        <w:tc>
          <w:tcPr>
            <w:tcW w:w="1613" w:type="pct"/>
            <w:vMerge w:val="continue"/>
            <w:tcBorders>
              <w:tl2br w:val="nil"/>
              <w:tr2bl w:val="nil"/>
            </w:tcBorders>
            <w:vAlign w:val="center"/>
          </w:tcPr>
          <w:p>
            <w:pPr>
              <w:spacing w:line="240" w:lineRule="auto"/>
              <w:ind w:firstLine="0" w:firstLineChars="0"/>
              <w:jc w:val="center"/>
              <w:rPr>
                <w:sz w:val="21"/>
                <w:szCs w:val="21"/>
              </w:rPr>
            </w:pP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W1.6</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清洗</w:t>
            </w:r>
            <w:r>
              <w:rPr>
                <w:sz w:val="21"/>
                <w:szCs w:val="21"/>
              </w:rPr>
              <w:t>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羊胴体</w:t>
            </w:r>
            <w:r>
              <w:rPr>
                <w:sz w:val="21"/>
                <w:szCs w:val="21"/>
              </w:rPr>
              <w:t>清洗过程</w:t>
            </w:r>
          </w:p>
        </w:tc>
        <w:tc>
          <w:tcPr>
            <w:tcW w:w="1613" w:type="pct"/>
            <w:vMerge w:val="continue"/>
            <w:tcBorders>
              <w:tl2br w:val="nil"/>
              <w:tr2bl w:val="nil"/>
            </w:tcBorders>
            <w:vAlign w:val="center"/>
          </w:tcPr>
          <w:p>
            <w:pPr>
              <w:spacing w:line="240" w:lineRule="auto"/>
              <w:ind w:firstLine="0" w:firstLineChars="0"/>
              <w:jc w:val="center"/>
              <w:rPr>
                <w:sz w:val="21"/>
                <w:szCs w:val="21"/>
              </w:rPr>
            </w:pP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W1.7</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清洗</w:t>
            </w:r>
            <w:r>
              <w:rPr>
                <w:sz w:val="21"/>
                <w:szCs w:val="21"/>
              </w:rPr>
              <w:t>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红白内脏清洗</w:t>
            </w:r>
            <w:r>
              <w:rPr>
                <w:sz w:val="21"/>
                <w:szCs w:val="21"/>
              </w:rPr>
              <w:t>过程</w:t>
            </w:r>
          </w:p>
        </w:tc>
        <w:tc>
          <w:tcPr>
            <w:tcW w:w="1613" w:type="pct"/>
            <w:vMerge w:val="continue"/>
            <w:tcBorders>
              <w:tl2br w:val="nil"/>
              <w:tr2bl w:val="nil"/>
            </w:tcBorders>
            <w:vAlign w:val="center"/>
          </w:tcPr>
          <w:p>
            <w:pPr>
              <w:spacing w:line="240" w:lineRule="auto"/>
              <w:ind w:firstLine="0" w:firstLineChars="0"/>
              <w:jc w:val="center"/>
              <w:rPr>
                <w:sz w:val="21"/>
                <w:szCs w:val="21"/>
              </w:rPr>
            </w:pP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sz w:val="21"/>
                <w:szCs w:val="21"/>
              </w:rPr>
              <w:t>G</w:t>
            </w:r>
            <w:r>
              <w:rPr>
                <w:rFonts w:hint="eastAsia"/>
                <w:sz w:val="21"/>
                <w:szCs w:val="21"/>
              </w:rPr>
              <w:t>1.1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废气</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恶臭气体</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待宰过程</w:t>
            </w:r>
          </w:p>
        </w:tc>
        <w:tc>
          <w:tcPr>
            <w:tcW w:w="1613" w:type="pct"/>
            <w:vMerge w:val="restar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sz w:val="21"/>
                <w:szCs w:val="21"/>
              </w:rPr>
              <w:t>硫化氢</w:t>
            </w:r>
            <w:r>
              <w:rPr>
                <w:rFonts w:hint="eastAsia" w:ascii="Times New Roman" w:hAnsi="Times New Roman" w:eastAsia="宋体" w:cs="Times New Roman"/>
                <w:sz w:val="21"/>
                <w:szCs w:val="21"/>
              </w:rPr>
              <w:t>、氨</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臭气浓度</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sz w:val="21"/>
                <w:szCs w:val="21"/>
              </w:rPr>
              <w:t>G</w:t>
            </w:r>
            <w:r>
              <w:rPr>
                <w:rFonts w:hint="eastAsia"/>
                <w:sz w:val="21"/>
                <w:szCs w:val="21"/>
              </w:rPr>
              <w:t>1.2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屠宰</w:t>
            </w:r>
          </w:p>
          <w:p>
            <w:pPr>
              <w:spacing w:line="240" w:lineRule="auto"/>
              <w:ind w:firstLine="0" w:firstLineChars="0"/>
              <w:jc w:val="center"/>
              <w:rPr>
                <w:sz w:val="21"/>
                <w:szCs w:val="21"/>
              </w:rPr>
            </w:pPr>
            <w:r>
              <w:rPr>
                <w:rFonts w:hint="eastAsia"/>
                <w:sz w:val="21"/>
                <w:szCs w:val="21"/>
              </w:rPr>
              <w:t>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恶臭气体</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屠宰过程</w:t>
            </w:r>
          </w:p>
        </w:tc>
        <w:tc>
          <w:tcPr>
            <w:tcW w:w="1613" w:type="pct"/>
            <w:vMerge w:val="continue"/>
            <w:tcBorders>
              <w:tl2br w:val="nil"/>
              <w:tr2bl w:val="nil"/>
            </w:tcBorders>
            <w:vAlign w:val="center"/>
          </w:tcPr>
          <w:p>
            <w:pPr>
              <w:spacing w:line="240" w:lineRule="auto"/>
              <w:ind w:firstLine="0" w:firstLineChars="0"/>
              <w:jc w:val="center"/>
              <w:rPr>
                <w:sz w:val="21"/>
                <w:szCs w:val="21"/>
              </w:rPr>
            </w:pP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sz w:val="21"/>
                <w:szCs w:val="21"/>
              </w:rPr>
              <w:t>G</w:t>
            </w:r>
            <w:r>
              <w:rPr>
                <w:rFonts w:hint="eastAsia"/>
                <w:sz w:val="21"/>
                <w:szCs w:val="21"/>
              </w:rPr>
              <w:t>1.3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恶臭气体</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副产物处理过程</w:t>
            </w:r>
          </w:p>
        </w:tc>
        <w:tc>
          <w:tcPr>
            <w:tcW w:w="1613" w:type="pct"/>
            <w:vMerge w:val="continue"/>
            <w:tcBorders>
              <w:tl2br w:val="nil"/>
              <w:tr2bl w:val="nil"/>
            </w:tcBorders>
            <w:vAlign w:val="center"/>
          </w:tcPr>
          <w:p>
            <w:pPr>
              <w:spacing w:line="240" w:lineRule="auto"/>
              <w:ind w:firstLine="0" w:firstLineChars="0"/>
              <w:jc w:val="center"/>
              <w:rPr>
                <w:sz w:val="21"/>
                <w:szCs w:val="21"/>
              </w:rPr>
            </w:pP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sz w:val="21"/>
                <w:szCs w:val="21"/>
              </w:rPr>
              <w:t>N</w:t>
            </w:r>
            <w:r>
              <w:rPr>
                <w:rFonts w:hint="eastAsia"/>
                <w:sz w:val="21"/>
                <w:szCs w:val="21"/>
              </w:rPr>
              <w:t>1.1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噪声</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羊叫声</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肉羊待宰过程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N1.2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高压水枪</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活羊冲淋过程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N1.3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屠宰</w:t>
            </w:r>
          </w:p>
          <w:p>
            <w:pPr>
              <w:spacing w:line="240" w:lineRule="auto"/>
              <w:ind w:firstLine="0" w:firstLineChars="0"/>
              <w:jc w:val="center"/>
              <w:rPr>
                <w:sz w:val="21"/>
                <w:szCs w:val="21"/>
              </w:rPr>
            </w:pPr>
            <w:r>
              <w:rPr>
                <w:rFonts w:hint="eastAsia"/>
                <w:sz w:val="21"/>
                <w:szCs w:val="21"/>
              </w:rPr>
              <w:t>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V型肉羊输送机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肉羊输送过程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N1.4</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全自动羊头、蹄去毛机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羊头、蹄去毛过程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N1.5</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肉羊剥皮机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肉羊剥皮过程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N1.7</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红白内脏</w:t>
            </w:r>
          </w:p>
          <w:p>
            <w:pPr>
              <w:spacing w:line="240" w:lineRule="auto"/>
              <w:ind w:firstLine="0" w:firstLineChars="0"/>
              <w:jc w:val="center"/>
              <w:rPr>
                <w:sz w:val="21"/>
                <w:szCs w:val="21"/>
              </w:rPr>
            </w:pPr>
            <w:r>
              <w:rPr>
                <w:rFonts w:hint="eastAsia"/>
                <w:sz w:val="21"/>
                <w:szCs w:val="21"/>
              </w:rPr>
              <w:t>清洗机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红白内脏清洗过程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S1.1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病死羊</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肉羊待宰过程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病死羊</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S1.2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羊粪便</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肉羊待宰过程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羊粪便</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S1.3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屠宰</w:t>
            </w:r>
          </w:p>
          <w:p>
            <w:pPr>
              <w:spacing w:line="240" w:lineRule="auto"/>
              <w:ind w:firstLine="0" w:firstLineChars="0"/>
              <w:jc w:val="center"/>
              <w:rPr>
                <w:sz w:val="21"/>
                <w:szCs w:val="21"/>
              </w:rPr>
            </w:pPr>
            <w:r>
              <w:rPr>
                <w:rFonts w:hint="eastAsia"/>
                <w:sz w:val="21"/>
                <w:szCs w:val="21"/>
              </w:rPr>
              <w:t>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羊毛、羊蹄匣等</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羊头、羊蹄烫漂过程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羊毛、羊蹄匣等</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S1.4</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白内脏内容物</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白内脏处理过程</w:t>
            </w:r>
          </w:p>
        </w:tc>
        <w:tc>
          <w:tcPr>
            <w:tcW w:w="1613" w:type="pct"/>
            <w:tcBorders>
              <w:tl2br w:val="nil"/>
              <w:tr2bl w:val="nil"/>
            </w:tcBorders>
            <w:vAlign w:val="center"/>
          </w:tcPr>
          <w:p>
            <w:pPr>
              <w:spacing w:line="240" w:lineRule="auto"/>
              <w:ind w:firstLine="0" w:firstLineChars="0"/>
              <w:jc w:val="center"/>
              <w:rPr>
                <w:rFonts w:ascii="Times New Roman" w:hAnsi="Times New Roman" w:eastAsia="宋体" w:cs="Times New Roman"/>
                <w:kern w:val="2"/>
                <w:sz w:val="21"/>
                <w:szCs w:val="21"/>
                <w:lang w:val="en-US" w:eastAsia="zh-CN" w:bidi="ar-SA"/>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w:t>
            </w:r>
          </w:p>
        </w:tc>
        <w:tc>
          <w:tcPr>
            <w:tcW w:w="359" w:type="pct"/>
            <w:tcBorders>
              <w:tl2br w:val="nil"/>
              <w:tr2bl w:val="nil"/>
            </w:tcBorders>
            <w:vAlign w:val="center"/>
          </w:tcPr>
          <w:p>
            <w:pPr>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牛羊预制品菜加工生产线</w:t>
            </w: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W2.1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废水</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牛羊预制品菜生产车间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牛羊肉清洗过程</w:t>
            </w:r>
          </w:p>
        </w:tc>
        <w:tc>
          <w:tcPr>
            <w:tcW w:w="1613" w:type="pc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W2.2、W2.4、W2.5</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生产设备清洗废水及焯水废水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蒸煮锅、炒制锅等生产设备清洗过程以及焯水过程</w:t>
            </w:r>
          </w:p>
        </w:tc>
        <w:tc>
          <w:tcPr>
            <w:tcW w:w="1613" w:type="pct"/>
            <w:tcBorders>
              <w:tl2br w:val="nil"/>
              <w:tr2bl w:val="nil"/>
            </w:tcBorders>
            <w:vAlign w:val="center"/>
          </w:tcPr>
          <w:p>
            <w:pPr>
              <w:spacing w:line="240" w:lineRule="auto"/>
              <w:ind w:firstLine="0" w:firstLineChars="0"/>
              <w:jc w:val="center"/>
              <w:rPr>
                <w:rFonts w:hint="default"/>
                <w:sz w:val="21"/>
                <w:szCs w:val="21"/>
                <w:lang w:val="en-US"/>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、SS、氨氮、动植物油、大肠菌群数、阴离子表面活性剂</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W2.3、W2.6</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预制品菜使用的蔬菜</w:t>
            </w:r>
          </w:p>
          <w:p>
            <w:pPr>
              <w:spacing w:line="240" w:lineRule="auto"/>
              <w:ind w:firstLine="0" w:firstLineChars="0"/>
              <w:jc w:val="center"/>
              <w:rPr>
                <w:sz w:val="21"/>
                <w:szCs w:val="21"/>
              </w:rPr>
            </w:pPr>
            <w:r>
              <w:rPr>
                <w:rFonts w:hint="eastAsia"/>
                <w:sz w:val="21"/>
                <w:szCs w:val="21"/>
              </w:rPr>
              <w:t>清洗过程</w:t>
            </w:r>
          </w:p>
        </w:tc>
        <w:tc>
          <w:tcPr>
            <w:tcW w:w="1613" w:type="pc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值、化学需氧量、五日生化需氧量、悬浮物、氨氮、动植物油、大肠菌群数</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G2.1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废气</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烹饪间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烹饪油烟</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炒制类预制品菜烹饪过程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油烟</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N2.1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噪声</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牛羊预制品菜生产车间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牛羊肉清洗机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牛羊肉清洗过程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N2.2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全自动切丝、切块、切丁机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切割设备在运行过程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N2.3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蒸煮锅</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蒸煮、卤制过程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N2.4</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电炒锅</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炒制过程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N2.5</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全自动包装机、封口机</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包装过程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N2.6</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高温灭菌罐</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杀菌过程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S2.1、S2.4、S2.7</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牛羊预制品菜生产车间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废包装</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鲜冻牛羊肉拆包过程、外购卤料拆包过程、外购调料拆包过程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废包装（主要以废塑料、废纸壳为主）</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S2.2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血沫、浮油</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牛羊肉焯水过程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血沫、浮油等</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S2.3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餐厨垃圾</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蔬菜在择菜时去除的不能食用的根茎叶</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餐厨垃圾（主要以蔬菜不能食用的根</w:t>
            </w:r>
            <w:r>
              <w:rPr>
                <w:rFonts w:hint="eastAsia"/>
                <w:sz w:val="21"/>
                <w:szCs w:val="21"/>
                <w:lang w:eastAsia="zh-CN"/>
              </w:rPr>
              <w:t>、</w:t>
            </w:r>
            <w:r>
              <w:rPr>
                <w:rFonts w:hint="eastAsia"/>
                <w:sz w:val="21"/>
                <w:szCs w:val="21"/>
              </w:rPr>
              <w:t>茎</w:t>
            </w:r>
            <w:r>
              <w:rPr>
                <w:rFonts w:hint="eastAsia"/>
                <w:sz w:val="21"/>
                <w:szCs w:val="21"/>
                <w:lang w:eastAsia="zh-CN"/>
              </w:rPr>
              <w:t>、</w:t>
            </w:r>
            <w:r>
              <w:rPr>
                <w:rFonts w:hint="eastAsia"/>
                <w:sz w:val="21"/>
                <w:szCs w:val="21"/>
              </w:rPr>
              <w:t>叶为主）</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spacing w:line="240" w:lineRule="auto"/>
              <w:ind w:firstLine="0" w:firstLineChars="0"/>
              <w:jc w:val="center"/>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S2.5、S2.6</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废卤料</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卤制过程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废卤料</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restart"/>
            <w:tcBorders>
              <w:tl2br w:val="nil"/>
              <w:tr2bl w:val="nil"/>
            </w:tcBorders>
            <w:vAlign w:val="center"/>
          </w:tcPr>
          <w:p>
            <w:pPr>
              <w:pStyle w:val="2"/>
              <w:spacing w:line="240" w:lineRule="auto"/>
              <w:rPr>
                <w:sz w:val="21"/>
                <w:szCs w:val="21"/>
              </w:rPr>
            </w:pPr>
            <w:r>
              <w:rPr>
                <w:rFonts w:hint="eastAsia"/>
                <w:sz w:val="21"/>
                <w:szCs w:val="21"/>
              </w:rPr>
              <w:t>羊杂预制品加工生产线</w:t>
            </w: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W3.1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废水</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牛羊预制品菜生产</w:t>
            </w:r>
          </w:p>
          <w:p>
            <w:pPr>
              <w:spacing w:line="240" w:lineRule="auto"/>
              <w:ind w:firstLine="0" w:firstLineChars="0"/>
              <w:jc w:val="center"/>
              <w:rPr>
                <w:sz w:val="21"/>
                <w:szCs w:val="21"/>
              </w:rPr>
            </w:pPr>
            <w:r>
              <w:rPr>
                <w:rFonts w:hint="eastAsia"/>
                <w:sz w:val="21"/>
                <w:szCs w:val="21"/>
              </w:rPr>
              <w:t>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羊杂清洗废水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羊杂清洗过程</w:t>
            </w:r>
          </w:p>
        </w:tc>
        <w:tc>
          <w:tcPr>
            <w:tcW w:w="1613" w:type="pc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值、化学需氧量、五日生化需氧量、悬浮物、氨氮、动植物油、大肠菌群数</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W3.2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蒸煮锅清洗废水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蒸煮锅清洗过程</w:t>
            </w:r>
          </w:p>
        </w:tc>
        <w:tc>
          <w:tcPr>
            <w:tcW w:w="1613" w:type="pc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、SS、氨氮、动植物油、大肠菌群数、阴离子表面活性剂</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14:textFill>
                  <w14:gradFill>
                    <w14:gsLst>
                      <w14:gs w14:pos="0">
                        <w14:srgbClr w14:val="14CD68"/>
                      </w14:gs>
                      <w14:gs w14:pos="100000">
                        <w14:srgbClr w14:val="0B6E38"/>
                      </w14:gs>
                    </w14:gsLst>
                    <w14:lin w14:ang="0" w14:scaled="0"/>
                  </w14:gradFill>
                </w14:textFill>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W3.3</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羊杂预制品清洗废水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羊杂卤制品清洗过程</w:t>
            </w:r>
          </w:p>
        </w:tc>
        <w:tc>
          <w:tcPr>
            <w:tcW w:w="1613" w:type="pc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N4.1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噪声</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生产车间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蒸煮锅</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蒸煮、卤制过程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S3.1</w:t>
            </w:r>
          </w:p>
        </w:tc>
        <w:tc>
          <w:tcPr>
            <w:tcW w:w="2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33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羊杂预制品生产车间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血沫、浮油</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血沫、浮油</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S3.2</w:t>
            </w:r>
          </w:p>
        </w:tc>
        <w:tc>
          <w:tcPr>
            <w:tcW w:w="258" w:type="pct"/>
            <w:vMerge w:val="continue"/>
            <w:tcBorders>
              <w:tl2br w:val="nil"/>
              <w:tr2bl w:val="nil"/>
            </w:tcBorders>
            <w:vAlign w:val="center"/>
          </w:tcPr>
          <w:p>
            <w:pPr>
              <w:spacing w:line="240" w:lineRule="auto"/>
              <w:ind w:firstLine="0" w:firstLineChars="0"/>
              <w:jc w:val="center"/>
              <w:rPr>
                <w:sz w:val="21"/>
                <w:szCs w:val="21"/>
              </w:rPr>
            </w:pPr>
          </w:p>
        </w:tc>
        <w:tc>
          <w:tcPr>
            <w:tcW w:w="335" w:type="pct"/>
            <w:vMerge w:val="continue"/>
            <w:tcBorders>
              <w:tl2br w:val="nil"/>
              <w:tr2bl w:val="nil"/>
            </w:tcBorders>
            <w:vAlign w:val="center"/>
          </w:tcPr>
          <w:p>
            <w:pPr>
              <w:spacing w:line="240" w:lineRule="auto"/>
              <w:ind w:firstLine="0" w:firstLineChars="0"/>
              <w:jc w:val="center"/>
              <w:rPr>
                <w:sz w:val="21"/>
                <w:szCs w:val="21"/>
              </w:rPr>
            </w:pP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废调料</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蒸煮过程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废调料</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restart"/>
            <w:tcBorders>
              <w:tl2br w:val="nil"/>
              <w:tr2bl w:val="nil"/>
            </w:tcBorders>
            <w:vAlign w:val="center"/>
          </w:tcPr>
          <w:p>
            <w:pPr>
              <w:pStyle w:val="2"/>
              <w:spacing w:line="240" w:lineRule="auto"/>
              <w:rPr>
                <w:sz w:val="21"/>
                <w:szCs w:val="21"/>
              </w:rPr>
            </w:pPr>
            <w:r>
              <w:rPr>
                <w:rFonts w:hint="eastAsia"/>
                <w:sz w:val="21"/>
                <w:szCs w:val="21"/>
              </w:rPr>
              <w:t>其他</w:t>
            </w: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W4.1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废水</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冷凝器</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冷凝废水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冷凝、降温过程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CODcr、BOD</w:t>
            </w:r>
            <w:r>
              <w:rPr>
                <w:rFonts w:hint="eastAsia"/>
                <w:sz w:val="21"/>
                <w:szCs w:val="21"/>
                <w:vertAlign w:val="subscript"/>
              </w:rPr>
              <w:t>5</w:t>
            </w:r>
            <w:r>
              <w:rPr>
                <w:sz w:val="21"/>
                <w:szCs w:val="21"/>
              </w:rPr>
              <w:t>、</w:t>
            </w:r>
            <w:r>
              <w:rPr>
                <w:rFonts w:hint="eastAsia"/>
                <w:sz w:val="21"/>
                <w:szCs w:val="21"/>
              </w:rPr>
              <w:t>SS</w:t>
            </w:r>
            <w:r>
              <w:rPr>
                <w:sz w:val="21"/>
                <w:szCs w:val="21"/>
              </w:rPr>
              <w:t>、</w:t>
            </w:r>
            <w:r>
              <w:rPr>
                <w:rFonts w:hint="eastAsia"/>
                <w:sz w:val="21"/>
                <w:szCs w:val="21"/>
              </w:rPr>
              <w:t>NH</w:t>
            </w:r>
            <w:r>
              <w:rPr>
                <w:rFonts w:hint="eastAsia"/>
                <w:sz w:val="21"/>
                <w:szCs w:val="21"/>
                <w:vertAlign w:val="subscript"/>
              </w:rPr>
              <w:t>3</w:t>
            </w:r>
            <w:r>
              <w:rPr>
                <w:rFonts w:hint="eastAsia"/>
                <w:sz w:val="21"/>
                <w:szCs w:val="21"/>
              </w:rPr>
              <w:t>-N</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W4.1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废水</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生活办公区</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生活污水</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职工生活过程</w:t>
            </w:r>
          </w:p>
        </w:tc>
        <w:tc>
          <w:tcPr>
            <w:tcW w:w="1613" w:type="pct"/>
            <w:tcBorders>
              <w:tl2br w:val="nil"/>
              <w:tr2bl w:val="nil"/>
            </w:tcBorders>
            <w:vAlign w:val="center"/>
          </w:tcPr>
          <w:p>
            <w:pPr>
              <w:spacing w:line="240" w:lineRule="auto"/>
              <w:ind w:firstLine="0" w:firstLineChars="0"/>
              <w:jc w:val="center"/>
              <w:rPr>
                <w:sz w:val="21"/>
                <w:szCs w:val="21"/>
              </w:rPr>
            </w:pPr>
            <w:r>
              <w:rPr>
                <w:rFonts w:hint="default"/>
                <w:sz w:val="21"/>
                <w:szCs w:val="21"/>
                <w:lang w:val="en-US" w:eastAsia="zh-CN"/>
              </w:rPr>
              <w:t>pH</w:t>
            </w:r>
            <w:r>
              <w:rPr>
                <w:rFonts w:hint="eastAsia"/>
                <w:sz w:val="21"/>
                <w:szCs w:val="21"/>
                <w:lang w:val="en-US" w:eastAsia="zh-CN"/>
              </w:rPr>
              <w:t>值、CODcr、BOD</w:t>
            </w:r>
            <w:r>
              <w:rPr>
                <w:rFonts w:hint="eastAsia"/>
                <w:sz w:val="21"/>
                <w:szCs w:val="21"/>
                <w:vertAlign w:val="subscript"/>
                <w:lang w:val="en-US" w:eastAsia="zh-CN"/>
              </w:rPr>
              <w:t>5</w:t>
            </w:r>
            <w:r>
              <w:rPr>
                <w:rFonts w:hint="eastAsia"/>
                <w:sz w:val="21"/>
                <w:szCs w:val="21"/>
                <w:lang w:val="en-US" w:eastAsia="zh-CN"/>
              </w:rPr>
              <w:t>、SS、氨氮、动植物油、大肠菌群数、阴离子表面活性剂</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间歇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G4.1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废气</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食堂</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食堂油烟</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烹饪过程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油烟</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N4.1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噪声</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冷库</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制冷设备</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制冷设备运行过程</w:t>
            </w:r>
          </w:p>
        </w:tc>
        <w:tc>
          <w:tcPr>
            <w:tcW w:w="1613" w:type="pct"/>
            <w:tcBorders>
              <w:tl2br w:val="nil"/>
              <w:tr2bl w:val="nil"/>
            </w:tcBorders>
            <w:vAlign w:val="center"/>
          </w:tcPr>
          <w:p>
            <w:pPr>
              <w:spacing w:line="240" w:lineRule="auto"/>
              <w:ind w:firstLine="0" w:firstLineChars="0"/>
              <w:jc w:val="center"/>
              <w:rPr>
                <w:sz w:val="21"/>
                <w:szCs w:val="21"/>
              </w:rPr>
            </w:pPr>
            <w:r>
              <w:rPr>
                <w:sz w:val="21"/>
                <w:szCs w:val="21"/>
              </w:rPr>
              <w:t>Leq（A）</w:t>
            </w:r>
          </w:p>
        </w:tc>
        <w:tc>
          <w:tcPr>
            <w:tcW w:w="359" w:type="pct"/>
            <w:tcBorders>
              <w:tl2br w:val="nil"/>
              <w:tr2bl w:val="nil"/>
            </w:tcBorders>
            <w:vAlign w:val="center"/>
          </w:tcPr>
          <w:p>
            <w:pPr>
              <w:spacing w:line="240" w:lineRule="auto"/>
              <w:ind w:firstLine="0" w:firstLineChars="0"/>
              <w:jc w:val="center"/>
              <w:rPr>
                <w:sz w:val="21"/>
                <w:szCs w:val="21"/>
              </w:rPr>
            </w:pPr>
            <w:r>
              <w:rPr>
                <w:sz w:val="21"/>
                <w:szCs w:val="21"/>
              </w:rPr>
              <w:t>频发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S4.1</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生活办公区</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生活垃圾</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职工生活过程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生活垃圾</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34" w:type="pct"/>
            <w:vMerge w:val="continue"/>
            <w:tcBorders>
              <w:tl2br w:val="nil"/>
              <w:tr2bl w:val="nil"/>
            </w:tcBorders>
            <w:vAlign w:val="center"/>
          </w:tcPr>
          <w:p>
            <w:pPr>
              <w:pStyle w:val="2"/>
              <w:spacing w:line="240" w:lineRule="auto"/>
              <w:rPr>
                <w:sz w:val="21"/>
                <w:szCs w:val="21"/>
              </w:rPr>
            </w:pPr>
          </w:p>
        </w:tc>
        <w:tc>
          <w:tcPr>
            <w:tcW w:w="322" w:type="pct"/>
            <w:tcBorders>
              <w:tl2br w:val="nil"/>
              <w:tr2bl w:val="nil"/>
            </w:tcBorders>
            <w:vAlign w:val="center"/>
          </w:tcPr>
          <w:p>
            <w:pPr>
              <w:spacing w:line="240" w:lineRule="auto"/>
              <w:ind w:firstLine="0" w:firstLineChars="0"/>
              <w:jc w:val="center"/>
              <w:rPr>
                <w:sz w:val="21"/>
                <w:szCs w:val="21"/>
              </w:rPr>
            </w:pPr>
            <w:r>
              <w:rPr>
                <w:rFonts w:hint="eastAsia"/>
                <w:sz w:val="21"/>
                <w:szCs w:val="21"/>
              </w:rPr>
              <w:t>S4.2</w:t>
            </w:r>
          </w:p>
        </w:tc>
        <w:tc>
          <w:tcPr>
            <w:tcW w:w="258" w:type="pc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335" w:type="pct"/>
            <w:tcBorders>
              <w:tl2br w:val="nil"/>
              <w:tr2bl w:val="nil"/>
            </w:tcBorders>
            <w:vAlign w:val="center"/>
          </w:tcPr>
          <w:p>
            <w:pPr>
              <w:spacing w:line="240" w:lineRule="auto"/>
              <w:ind w:firstLine="0" w:firstLineChars="0"/>
              <w:jc w:val="center"/>
              <w:rPr>
                <w:sz w:val="21"/>
                <w:szCs w:val="21"/>
              </w:rPr>
            </w:pPr>
            <w:r>
              <w:rPr>
                <w:rFonts w:hint="eastAsia"/>
                <w:sz w:val="21"/>
                <w:szCs w:val="21"/>
              </w:rPr>
              <w:t>综合生产车间</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活性炭处理装置</w:t>
            </w:r>
          </w:p>
        </w:tc>
        <w:tc>
          <w:tcPr>
            <w:tcW w:w="1027" w:type="pct"/>
            <w:tcBorders>
              <w:tl2br w:val="nil"/>
              <w:tr2bl w:val="nil"/>
            </w:tcBorders>
            <w:vAlign w:val="center"/>
          </w:tcPr>
          <w:p>
            <w:pPr>
              <w:spacing w:line="240" w:lineRule="auto"/>
              <w:ind w:firstLine="0" w:firstLineChars="0"/>
              <w:jc w:val="center"/>
              <w:rPr>
                <w:sz w:val="21"/>
                <w:szCs w:val="21"/>
              </w:rPr>
            </w:pPr>
            <w:r>
              <w:rPr>
                <w:rFonts w:hint="eastAsia"/>
                <w:sz w:val="21"/>
                <w:szCs w:val="21"/>
              </w:rPr>
              <w:t>活性炭处理装置运行过程</w:t>
            </w:r>
          </w:p>
        </w:tc>
        <w:tc>
          <w:tcPr>
            <w:tcW w:w="1613" w:type="pct"/>
            <w:tcBorders>
              <w:tl2br w:val="nil"/>
              <w:tr2bl w:val="nil"/>
            </w:tcBorders>
            <w:vAlign w:val="center"/>
          </w:tcPr>
          <w:p>
            <w:pPr>
              <w:spacing w:line="240" w:lineRule="auto"/>
              <w:ind w:firstLine="0" w:firstLineChars="0"/>
              <w:jc w:val="center"/>
              <w:rPr>
                <w:sz w:val="21"/>
                <w:szCs w:val="21"/>
              </w:rPr>
            </w:pPr>
            <w:r>
              <w:rPr>
                <w:rFonts w:hint="eastAsia"/>
                <w:sz w:val="21"/>
                <w:szCs w:val="21"/>
              </w:rPr>
              <w:t>废活性炭</w:t>
            </w:r>
          </w:p>
        </w:tc>
        <w:tc>
          <w:tcPr>
            <w:tcW w:w="359"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bl>
    <w:p>
      <w:pPr>
        <w:ind w:firstLine="480"/>
      </w:pPr>
      <w:r>
        <w:rPr>
          <w:rFonts w:hint="eastAsia"/>
        </w:rPr>
        <w:t>根据《屠宰与肉类加工废水治理工程技术规范》（HJ2004—2010）中对“屠宰过程”的解释可知，屠宰过程是指屠宰时进行的圈栏冲洗、宰前淋洗、宰后烫毛或剥皮、开腔、劈半、解体、内脏洗涤及车间冲洗等过程。故本环评将肉羊精深加工生产线产生的废水统称为屠宰废水；将牛羊预制品生产线设备清洗、原料清洗废水等统称为牛羊预制品生产线生产废水；将羊杂预制品加工生产线设备清洗、原料清洗废水等统称为羊杂预制品加工生产线生产废水。同时将肉羊屠宰过程中产生的固废统称为屠宰固废。</w:t>
      </w:r>
    </w:p>
    <w:p>
      <w:pPr>
        <w:ind w:firstLine="480"/>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5"/>
        <w:spacing w:before="78" w:after="78"/>
        <w:ind w:firstLine="562"/>
      </w:pPr>
      <w:bookmarkStart w:id="548" w:name="_Toc30568"/>
      <w:bookmarkStart w:id="549" w:name="_Toc6741"/>
      <w:bookmarkStart w:id="550" w:name="_Toc1687"/>
      <w:r>
        <w:rPr>
          <w:rFonts w:hint="eastAsia"/>
          <w:lang w:val="en-US" w:eastAsia="zh-CN"/>
        </w:rPr>
        <w:t>3</w:t>
      </w:r>
      <w:r>
        <w:t>.</w:t>
      </w:r>
      <w:r>
        <w:rPr>
          <w:rFonts w:hint="eastAsia"/>
        </w:rPr>
        <w:t>6、</w:t>
      </w:r>
      <w:r>
        <w:rPr>
          <w:rFonts w:hint="eastAsia"/>
          <w:lang w:val="en-US" w:eastAsia="zh-CN"/>
        </w:rPr>
        <w:t>拟建</w:t>
      </w:r>
      <w:r>
        <w:t>项目</w:t>
      </w:r>
      <w:r>
        <w:rPr>
          <w:rFonts w:hint="eastAsia"/>
        </w:rPr>
        <w:t>源强</w:t>
      </w:r>
      <w:r>
        <w:t>分析</w:t>
      </w:r>
      <w:bookmarkEnd w:id="548"/>
      <w:bookmarkEnd w:id="549"/>
      <w:bookmarkEnd w:id="550"/>
    </w:p>
    <w:p>
      <w:pPr>
        <w:pStyle w:val="6"/>
        <w:ind w:firstLine="482"/>
      </w:pPr>
      <w:bookmarkStart w:id="551" w:name="_Toc28912"/>
      <w:r>
        <w:rPr>
          <w:rFonts w:hint="eastAsia"/>
          <w:lang w:val="en-US" w:eastAsia="zh-CN"/>
        </w:rPr>
        <w:t>3</w:t>
      </w:r>
      <w:r>
        <w:rPr>
          <w:rFonts w:hint="eastAsia"/>
        </w:rPr>
        <w:t>.6.</w:t>
      </w:r>
      <w:r>
        <w:t>1</w:t>
      </w:r>
      <w:r>
        <w:rPr>
          <w:rFonts w:hint="eastAsia"/>
        </w:rPr>
        <w:t>、</w:t>
      </w:r>
      <w:r>
        <w:t>施工期污染物</w:t>
      </w:r>
      <w:bookmarkEnd w:id="536"/>
      <w:bookmarkEnd w:id="537"/>
      <w:bookmarkEnd w:id="538"/>
      <w:bookmarkEnd w:id="539"/>
      <w:bookmarkEnd w:id="540"/>
      <w:bookmarkEnd w:id="541"/>
      <w:bookmarkEnd w:id="542"/>
      <w:bookmarkEnd w:id="543"/>
      <w:r>
        <w:rPr>
          <w:rFonts w:hint="eastAsia"/>
        </w:rPr>
        <w:t>源强分析</w:t>
      </w:r>
      <w:bookmarkEnd w:id="551"/>
    </w:p>
    <w:p>
      <w:pPr>
        <w:pStyle w:val="7"/>
        <w:ind w:firstLine="482"/>
      </w:pPr>
      <w:r>
        <w:rPr>
          <w:rFonts w:hint="eastAsia"/>
          <w:lang w:val="en-US" w:eastAsia="zh-CN"/>
        </w:rPr>
        <w:t>3</w:t>
      </w:r>
      <w:r>
        <w:rPr>
          <w:rFonts w:hint="eastAsia"/>
        </w:rPr>
        <w:t>.6.</w:t>
      </w:r>
      <w:r>
        <w:t>1</w:t>
      </w:r>
      <w:r>
        <w:rPr>
          <w:rFonts w:hint="eastAsia"/>
        </w:rPr>
        <w:t>.1、施工</w:t>
      </w:r>
      <w:r>
        <w:t>废水</w:t>
      </w:r>
      <w:r>
        <w:rPr>
          <w:rFonts w:hint="eastAsia"/>
        </w:rPr>
        <w:t>源强分析</w:t>
      </w:r>
    </w:p>
    <w:p>
      <w:pPr>
        <w:ind w:firstLine="480"/>
      </w:pPr>
      <w:r>
        <w:t>施工期废水主要为</w:t>
      </w:r>
      <w:r>
        <w:rPr>
          <w:rFonts w:hint="eastAsia"/>
        </w:rPr>
        <w:t>砼养护废水</w:t>
      </w:r>
      <w:r>
        <w:t>和施工人员生活废水</w:t>
      </w:r>
      <w:r>
        <w:rPr>
          <w:rFonts w:hint="eastAsia"/>
        </w:rPr>
        <w:t>为主</w:t>
      </w:r>
      <w:r>
        <w:t>。</w:t>
      </w:r>
    </w:p>
    <w:p>
      <w:pPr>
        <w:ind w:firstLine="482"/>
        <w:rPr>
          <w:b/>
          <w:bCs/>
        </w:rPr>
      </w:pPr>
      <w:r>
        <w:rPr>
          <w:rFonts w:hint="eastAsia"/>
          <w:b/>
          <w:bCs/>
        </w:rPr>
        <w:t>（1）</w:t>
      </w:r>
      <w:r>
        <w:rPr>
          <w:b/>
          <w:bCs/>
        </w:rPr>
        <w:t>砼养护废水</w:t>
      </w:r>
    </w:p>
    <w:p>
      <w:pPr>
        <w:ind w:firstLine="480"/>
      </w:pPr>
      <w:r>
        <w:t>砼养护废水</w:t>
      </w:r>
      <w:r>
        <w:rPr>
          <w:rFonts w:hint="eastAsia"/>
        </w:rPr>
        <w:t>污染因子比较简单，主要以SS为主，</w:t>
      </w:r>
      <w:r>
        <w:t>砼养护废水</w:t>
      </w:r>
      <w:r>
        <w:rPr>
          <w:rFonts w:hint="eastAsia"/>
        </w:rPr>
        <w:t>的产生量约为0.1m</w:t>
      </w:r>
      <w:r>
        <w:rPr>
          <w:rFonts w:hint="eastAsia"/>
          <w:vertAlign w:val="superscript"/>
        </w:rPr>
        <w:t>3</w:t>
      </w:r>
      <w:r>
        <w:rPr>
          <w:rFonts w:hint="eastAsia"/>
        </w:rPr>
        <w:t>/d。</w:t>
      </w:r>
      <w:r>
        <w:t>砼养护废水</w:t>
      </w:r>
      <w:r>
        <w:rPr>
          <w:rFonts w:hint="eastAsia"/>
        </w:rPr>
        <w:t>全部自然蒸发消减，不外排。</w:t>
      </w:r>
    </w:p>
    <w:p>
      <w:pPr>
        <w:ind w:firstLine="482"/>
        <w:rPr>
          <w:b/>
          <w:bCs/>
        </w:rPr>
      </w:pPr>
      <w:r>
        <w:rPr>
          <w:rFonts w:hint="eastAsia"/>
          <w:b/>
          <w:bCs/>
        </w:rPr>
        <w:t>（2）生活污水</w:t>
      </w:r>
    </w:p>
    <w:p>
      <w:pPr>
        <w:ind w:firstLine="480"/>
      </w:pPr>
      <w:r>
        <w:t>本项目施工期生活废水主要为施工人员</w:t>
      </w:r>
      <w:r>
        <w:rPr>
          <w:rFonts w:hint="eastAsia"/>
        </w:rPr>
        <w:t>洗漱</w:t>
      </w:r>
      <w:r>
        <w:t>废水</w:t>
      </w:r>
      <w:r>
        <w:rPr>
          <w:rFonts w:hint="eastAsia"/>
        </w:rPr>
        <w:t>和餐饮废水</w:t>
      </w:r>
      <w:r>
        <w:t>。施工阶段最大现场施工人数按20人计，施工期12个月，施工人员用水标准按</w:t>
      </w:r>
      <w:r>
        <w:rPr>
          <w:rFonts w:hint="eastAsia"/>
        </w:rPr>
        <w:t>90</w:t>
      </w:r>
      <w:r>
        <w:t>L/（人</w:t>
      </w:r>
      <w:r>
        <w:rPr>
          <w:rFonts w:hint="eastAsia"/>
        </w:rPr>
        <w:t>·</w:t>
      </w:r>
      <w:r>
        <w:t>d），施工期生活用水量为</w:t>
      </w:r>
      <w:r>
        <w:rPr>
          <w:rFonts w:hint="eastAsia"/>
        </w:rPr>
        <w:t>648</w:t>
      </w:r>
      <w:r>
        <w:t>m</w:t>
      </w:r>
      <w:r>
        <w:rPr>
          <w:vertAlign w:val="superscript"/>
        </w:rPr>
        <w:t>3</w:t>
      </w:r>
      <w:r>
        <w:t>，污水排放系数取值为0.</w:t>
      </w:r>
      <w:r>
        <w:rPr>
          <w:rFonts w:hint="eastAsia"/>
        </w:rPr>
        <w:t>8</w:t>
      </w:r>
      <w:r>
        <w:t>，则废水产生量为</w:t>
      </w:r>
      <w:r>
        <w:rPr>
          <w:rFonts w:hint="eastAsia"/>
        </w:rPr>
        <w:t>518</w:t>
      </w:r>
      <w:r>
        <w:t>m</w:t>
      </w:r>
      <w:r>
        <w:rPr>
          <w:vertAlign w:val="superscript"/>
        </w:rPr>
        <w:t>3</w:t>
      </w:r>
      <w:r>
        <w:t>。施工期生活</w:t>
      </w:r>
      <w:r>
        <w:rPr>
          <w:rFonts w:hint="eastAsia"/>
        </w:rPr>
        <w:t>污水全部经厂区污水管网收集后排入厂区污水处理站处理后用于饲草区灌溉。</w:t>
      </w:r>
    </w:p>
    <w:p>
      <w:pPr>
        <w:pStyle w:val="7"/>
        <w:ind w:firstLine="482"/>
      </w:pPr>
      <w:r>
        <w:rPr>
          <w:rFonts w:hint="eastAsia"/>
          <w:lang w:val="en-US" w:eastAsia="zh-CN"/>
        </w:rPr>
        <w:t>3</w:t>
      </w:r>
      <w:r>
        <w:rPr>
          <w:rFonts w:hint="eastAsia"/>
        </w:rPr>
        <w:t>.6.2.2、施工废气源强分析</w:t>
      </w:r>
    </w:p>
    <w:p>
      <w:pPr>
        <w:ind w:firstLine="480"/>
      </w:pPr>
      <w:r>
        <w:rPr>
          <w:rFonts w:hint="eastAsia"/>
        </w:rPr>
        <w:t>本项目主要的建构筑物为综合生产车间、待宰圈、冷库的建设。施工过程中产生的废气主要为：施工扬尘、运输扬尘、机械尾气、焊接烟尘和装修废气。</w:t>
      </w:r>
    </w:p>
    <w:p>
      <w:pPr>
        <w:ind w:firstLine="482"/>
        <w:rPr>
          <w:b/>
          <w:bCs/>
        </w:rPr>
      </w:pPr>
      <w:r>
        <w:rPr>
          <w:rFonts w:hint="eastAsia"/>
          <w:b/>
          <w:bCs/>
        </w:rPr>
        <w:t>（1）</w:t>
      </w:r>
      <w:r>
        <w:rPr>
          <w:b/>
          <w:bCs/>
        </w:rPr>
        <w:t>施工扬尘</w:t>
      </w:r>
    </w:p>
    <w:p>
      <w:pPr>
        <w:ind w:firstLine="480"/>
      </w:pPr>
      <w:r>
        <w:rPr>
          <w:rFonts w:hint="eastAsia"/>
        </w:rPr>
        <w:t>施工扬尘主要是指在循环冷却水池池体的开挖、</w:t>
      </w:r>
      <w:r>
        <w:rPr>
          <w:rFonts w:hint="eastAsia"/>
          <w:lang w:val="en-US" w:eastAsia="zh-CN"/>
        </w:rPr>
        <w:t>基础开挖</w:t>
      </w:r>
      <w:r>
        <w:rPr>
          <w:rFonts w:hint="eastAsia"/>
        </w:rPr>
        <w:t>、给排水及供电管道开挖过程中产生的扬尘，施工扬尘污染物主要以颗粒物为主，本环评施工扬尘产生量根据</w:t>
      </w:r>
      <w:r>
        <w:t>《扬尘源颗粒物排放清单编制技术指南（试行）》中施工扬尘源排放量的计算方法计算：</w:t>
      </w:r>
    </w:p>
    <w:p>
      <w:pPr>
        <w:adjustRightInd w:val="0"/>
        <w:snapToGrid w:val="0"/>
        <w:ind w:firstLine="480"/>
        <w:jc w:val="center"/>
      </w:pPr>
      <w:r>
        <w:t>W</w:t>
      </w:r>
      <w:r>
        <w:rPr>
          <w:vertAlign w:val="subscript"/>
        </w:rPr>
        <w:t>ci</w:t>
      </w:r>
      <w:r>
        <w:t>=E</w:t>
      </w:r>
      <w:r>
        <w:rPr>
          <w:vertAlign w:val="subscript"/>
        </w:rPr>
        <w:t>ci</w:t>
      </w:r>
      <w:r>
        <w:t>×Ac×T</w:t>
      </w:r>
    </w:p>
    <w:p>
      <w:pPr>
        <w:ind w:firstLine="480"/>
        <w:jc w:val="center"/>
      </w:pPr>
      <w:r>
        <w:t>E</w:t>
      </w:r>
      <w:r>
        <w:rPr>
          <w:vertAlign w:val="subscript"/>
        </w:rPr>
        <w:t>ci</w:t>
      </w:r>
      <w:r>
        <w:t>=2.69×10</w:t>
      </w:r>
      <w:r>
        <w:rPr>
          <w:vertAlign w:val="superscript"/>
        </w:rPr>
        <w:t>-4</w:t>
      </w:r>
      <w:r>
        <w:t>×（1-η）</w:t>
      </w:r>
    </w:p>
    <w:p>
      <w:pPr>
        <w:ind w:firstLine="480"/>
      </w:pPr>
      <w:r>
        <w:t>其中：W</w:t>
      </w:r>
      <w:r>
        <w:rPr>
          <w:vertAlign w:val="subscript"/>
        </w:rPr>
        <w:t>ci</w:t>
      </w:r>
      <w:r>
        <w:t>：为施工扬尘总排放量，t/a；</w:t>
      </w:r>
    </w:p>
    <w:p>
      <w:pPr>
        <w:ind w:firstLine="480"/>
      </w:pPr>
      <w:r>
        <w:t xml:space="preserve">      E</w:t>
      </w:r>
      <w:r>
        <w:rPr>
          <w:vertAlign w:val="subscript"/>
        </w:rPr>
        <w:t>ci</w:t>
      </w:r>
      <w:r>
        <w:t>：为整个施工工地</w:t>
      </w:r>
      <w:r>
        <w:rPr>
          <w:rFonts w:hint="eastAsia"/>
        </w:rPr>
        <w:t>扬尘</w:t>
      </w:r>
      <w:r>
        <w:t>的平均排放系数，t/（m</w:t>
      </w:r>
      <w:r>
        <w:rPr>
          <w:vertAlign w:val="superscript"/>
        </w:rPr>
        <w:t>2</w:t>
      </w:r>
      <w:r>
        <w:t>/月）；</w:t>
      </w:r>
    </w:p>
    <w:p>
      <w:pPr>
        <w:ind w:firstLine="480"/>
      </w:pPr>
      <w:r>
        <w:t xml:space="preserve">      Ac：为整个施工区域面积，m</w:t>
      </w:r>
      <w:r>
        <w:rPr>
          <w:vertAlign w:val="superscript"/>
        </w:rPr>
        <w:t>2</w:t>
      </w:r>
      <w:r>
        <w:t>，</w:t>
      </w:r>
      <w:r>
        <w:rPr>
          <w:rFonts w:hint="eastAsia"/>
        </w:rPr>
        <w:t>施工总面积为</w:t>
      </w:r>
      <w:r>
        <w:rPr>
          <w:rFonts w:hint="eastAsia"/>
          <w:lang w:val="en-US" w:eastAsia="zh-CN"/>
        </w:rPr>
        <w:t>19886</w:t>
      </w:r>
      <w:r>
        <w:t>m</w:t>
      </w:r>
      <w:r>
        <w:rPr>
          <w:vertAlign w:val="superscript"/>
        </w:rPr>
        <w:t>2</w:t>
      </w:r>
      <w:r>
        <w:rPr>
          <w:rFonts w:hint="eastAsia"/>
        </w:rPr>
        <w:t>。</w:t>
      </w:r>
    </w:p>
    <w:p>
      <w:pPr>
        <w:ind w:firstLine="480"/>
      </w:pPr>
      <w:r>
        <w:t xml:space="preserve">      T：为工地的施工月份数，一般按施工天数/30计算，T</w:t>
      </w:r>
      <w:r>
        <w:rPr>
          <w:rFonts w:hint="eastAsia"/>
        </w:rPr>
        <w:t>取</w:t>
      </w:r>
      <w:r>
        <w:rPr>
          <w:rFonts w:hint="eastAsia"/>
          <w:lang w:val="en-US" w:eastAsia="zh-CN"/>
        </w:rPr>
        <w:t>12</w:t>
      </w:r>
      <w:r>
        <w:rPr>
          <w:rFonts w:hint="eastAsia"/>
        </w:rPr>
        <w:t>个月</w:t>
      </w:r>
      <w:r>
        <w:t>；</w:t>
      </w:r>
    </w:p>
    <w:p>
      <w:pPr>
        <w:ind w:firstLine="480"/>
      </w:pPr>
      <w:r>
        <w:t xml:space="preserve">      η：为污染控制技术对扬尘的去除效率，%，</w:t>
      </w:r>
      <w:r>
        <w:rPr>
          <w:rFonts w:hint="eastAsia"/>
        </w:rPr>
        <w:t>本环评要求建设单位在基础开挖过程中采用雾炮机对作业面进行洒水抑尘，故</w:t>
      </w:r>
      <w:r>
        <w:t>本项目η取值为</w:t>
      </w:r>
      <w:r>
        <w:rPr>
          <w:rFonts w:hint="eastAsia"/>
        </w:rPr>
        <w:t>70</w:t>
      </w:r>
      <w:r>
        <w:t>%。</w:t>
      </w:r>
    </w:p>
    <w:p>
      <w:pPr>
        <w:ind w:firstLine="480"/>
      </w:pPr>
      <w:r>
        <w:t>经计算，施工期施工扬尘排放</w:t>
      </w:r>
      <w:r>
        <w:rPr>
          <w:rFonts w:hint="eastAsia"/>
        </w:rPr>
        <w:t>量为</w:t>
      </w:r>
      <w:r>
        <w:rPr>
          <w:rFonts w:hint="eastAsia"/>
          <w:lang w:val="en-US" w:eastAsia="zh-CN"/>
        </w:rPr>
        <w:t>19.26</w:t>
      </w:r>
      <w:r>
        <w:rPr>
          <w:rFonts w:hint="eastAsia"/>
        </w:rPr>
        <w:t>t。</w:t>
      </w:r>
    </w:p>
    <w:p>
      <w:pPr>
        <w:ind w:firstLine="482"/>
      </w:pPr>
      <w:r>
        <w:rPr>
          <w:rFonts w:hint="eastAsia"/>
          <w:b/>
          <w:bCs/>
        </w:rPr>
        <w:t>（2）道路</w:t>
      </w:r>
      <w:r>
        <w:rPr>
          <w:b/>
          <w:bCs/>
        </w:rPr>
        <w:t>扬尘</w:t>
      </w:r>
    </w:p>
    <w:p>
      <w:pPr>
        <w:ind w:firstLine="480"/>
      </w:pPr>
      <w:r>
        <w:t>运输扬尘与道路路面及车辆行驶速度</w:t>
      </w:r>
      <w:r>
        <w:rPr>
          <w:rFonts w:hint="eastAsia"/>
        </w:rPr>
        <w:t>、路面清洁程度等多种因素</w:t>
      </w:r>
      <w:r>
        <w:t>有关，在完全干燥的情况下，可按下列经验公式计算：</w:t>
      </w:r>
    </w:p>
    <w:p>
      <w:pPr>
        <w:ind w:firstLine="480"/>
        <w:jc w:val="center"/>
      </w:pPr>
      <w:r>
        <w:object>
          <v:shape id="_x0000_i1044" o:spt="75" type="#_x0000_t75" style="height:32.8pt;width:164.95pt;" o:ole="t" fillcolor="#000011" filled="f" o:preferrelative="t" stroked="f" coordsize="21600,21600">
            <v:path/>
            <v:fill on="f" focussize="0,0"/>
            <v:stroke on="f" joinstyle="miter"/>
            <v:imagedata r:id="rId59" o:title=""/>
            <o:lock v:ext="edit" aspectratio="t"/>
            <w10:wrap type="none"/>
            <w10:anchorlock/>
          </v:shape>
          <o:OLEObject Type="Embed" ProgID="Equation.3" ShapeID="_x0000_i1044" DrawAspect="Content" ObjectID="_1468075744" r:id="rId58">
            <o:LockedField>false</o:LockedField>
          </o:OLEObject>
        </w:object>
      </w:r>
    </w:p>
    <w:p>
      <w:pPr>
        <w:ind w:firstLine="480"/>
      </w:pPr>
      <w:r>
        <w:t>式中：Q——汽车行驶的扬尘，kg/km辆；</w:t>
      </w:r>
    </w:p>
    <w:p>
      <w:pPr>
        <w:ind w:firstLine="480"/>
      </w:pPr>
      <w:r>
        <w:t xml:space="preserve">      V——汽车速度，km/h；</w:t>
      </w:r>
    </w:p>
    <w:p>
      <w:pPr>
        <w:ind w:firstLine="480"/>
      </w:pPr>
      <w:r>
        <w:t xml:space="preserve">      W——汽车载重量，t；</w:t>
      </w:r>
    </w:p>
    <w:p>
      <w:pPr>
        <w:ind w:firstLine="480"/>
      </w:pPr>
      <w:r>
        <w:t xml:space="preserve">      P——道路表面粉尘量，kg/m</w:t>
      </w:r>
      <w:r>
        <w:rPr>
          <w:vertAlign w:val="superscript"/>
        </w:rPr>
        <w:t>2</w:t>
      </w:r>
      <w:r>
        <w:t>。</w:t>
      </w:r>
    </w:p>
    <w:p>
      <w:pPr>
        <w:ind w:firstLine="480"/>
      </w:pPr>
      <w:r>
        <w:t>表</w:t>
      </w:r>
      <w:r>
        <w:rPr>
          <w:rFonts w:hint="eastAsia"/>
          <w:lang w:val="en-US" w:eastAsia="zh-CN"/>
        </w:rPr>
        <w:t>3.14</w:t>
      </w:r>
      <w:r>
        <w:t>为一辆载重5t的卡车，通过一段长度为</w:t>
      </w:r>
      <w:r>
        <w:rPr>
          <w:rFonts w:hint="eastAsia"/>
        </w:rPr>
        <w:t>5</w:t>
      </w:r>
      <w:r>
        <w:t>00m的路面时，不同路面清洁程度，不同行驶速度情况下产生的扬尘量。</w:t>
      </w:r>
    </w:p>
    <w:p>
      <w:pPr>
        <w:spacing w:line="240" w:lineRule="auto"/>
        <w:ind w:firstLine="482"/>
        <w:rPr>
          <w:b/>
          <w:bCs/>
        </w:rPr>
      </w:pPr>
      <w:r>
        <w:rPr>
          <w:rFonts w:hint="eastAsia"/>
          <w:b/>
          <w:bCs/>
        </w:rPr>
        <w:t>表</w:t>
      </w:r>
      <w:r>
        <w:rPr>
          <w:rFonts w:hint="eastAsia"/>
          <w:b/>
          <w:bCs/>
          <w:lang w:val="en-US" w:eastAsia="zh-CN"/>
        </w:rPr>
        <w:t>3.14</w:t>
      </w:r>
      <w:r>
        <w:rPr>
          <w:rFonts w:hint="eastAsia"/>
          <w:b/>
          <w:bCs/>
        </w:rPr>
        <w:t xml:space="preserve">    不同车速和地面清洁程度时的汽车扬尘  单位：kg/辆·km</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58"/>
        <w:gridCol w:w="1300"/>
        <w:gridCol w:w="1195"/>
        <w:gridCol w:w="1264"/>
        <w:gridCol w:w="1300"/>
        <w:gridCol w:w="1318"/>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32" w:type="pct"/>
            <w:tcMar>
              <w:top w:w="0" w:type="dxa"/>
              <w:left w:w="113" w:type="dxa"/>
              <w:bottom w:w="0" w:type="dxa"/>
              <w:right w:w="113" w:type="dxa"/>
            </w:tcMar>
            <w:vAlign w:val="center"/>
          </w:tcPr>
          <w:p>
            <w:pPr>
              <w:spacing w:line="240" w:lineRule="auto"/>
              <w:ind w:firstLine="422"/>
              <w:rPr>
                <w:b/>
                <w:bCs/>
                <w:sz w:val="21"/>
                <w:szCs w:val="21"/>
              </w:rPr>
            </w:pPr>
            <w:r>
              <w:rPr>
                <w:b/>
                <w:bCs/>
                <w:sz w:val="21"/>
                <w:szCs w:val="21"/>
              </w:rPr>
              <mc:AlternateContent>
                <mc:Choice Requires="wps">
                  <w:drawing>
                    <wp:anchor distT="0" distB="0" distL="114300" distR="114300" simplePos="0" relativeHeight="251660288" behindDoc="0" locked="0" layoutInCell="1" allowOverlap="1">
                      <wp:simplePos x="0" y="0"/>
                      <wp:positionH relativeFrom="column">
                        <wp:posOffset>-81915</wp:posOffset>
                      </wp:positionH>
                      <wp:positionV relativeFrom="paragraph">
                        <wp:posOffset>3810</wp:posOffset>
                      </wp:positionV>
                      <wp:extent cx="1429385" cy="401955"/>
                      <wp:effectExtent l="1270" t="4445" r="17145" b="12700"/>
                      <wp:wrapNone/>
                      <wp:docPr id="6" name="直接连接符 6"/>
                      <wp:cNvGraphicFramePr/>
                      <a:graphic xmlns:a="http://schemas.openxmlformats.org/drawingml/2006/main">
                        <a:graphicData uri="http://schemas.microsoft.com/office/word/2010/wordprocessingShape">
                          <wps:wsp>
                            <wps:cNvCnPr/>
                            <wps:spPr>
                              <a:xfrm>
                                <a:off x="0" y="0"/>
                                <a:ext cx="1429385" cy="40195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6.45pt;margin-top:0.3pt;height:31.65pt;width:112.55pt;z-index:251660288;mso-width-relative:page;mso-height-relative:page;" filled="f" stroked="t" coordsize="21600,21600" o:gfxdata="UEsDBAoAAAAAAIdO4kAAAAAAAAAAAAAAAAAEAAAAZHJzL1BLAwQUAAAACACHTuJArCzAJNQAAAAH&#10;AQAADwAAAGRycy9kb3ducmV2LnhtbE2OTU/DMBBE70j8B2uRuFStE1eqaIjTA5AbF0oR1228JBHx&#10;Oo3dD/j1LCc4jmb05pWbix/UiabYB7aQLzJQxE1wPbcWdq/1/A5UTMgOh8Bk4YsibKrrqxILF878&#10;QqdtapVAOBZooUtpLLSOTUce4yKMxNJ9hMljkji12k14FrgftMmylfbYszx0ONJDR83n9ugtxPqN&#10;DvX3rJll78s2kDk8Pj+htbc3eXYPKtEl/Y3hV1/UoRKnfTiyi2qwMM/NWqYWVqCkNrkxoPYSl2vQ&#10;Van/+1c/UEsDBBQAAAAIAIdO4kB6cgH19QEAAOsDAAAOAAAAZHJzL2Uyb0RvYy54bWytU0uOEzEQ&#10;3SNxB8t70kmYRJNWOrOYMGwQRAIOUHG705b8k8uTTi7BBZDYwYole27DcAzK7ibzYZMFvXBX2c/P&#10;9Z7Ly6uD0WwvAypnKz4ZjTmTVrha2V3FP364eXHJGUawNWhnZcWPEvnV6vmzZedLOXWt07UMjEgs&#10;lp2veBujL4sCRSsN4Mh5aWmxccFApDTsijpAR+xGF9PxeF50LtQ+OCERaXbdL/KBMZxD6JpGCbl2&#10;4tZIG3vWIDVEkoSt8shXudqmkSK+axqUkemKk9KYRzqE4m0ai9USyl0A3yoxlADnlPBEkwFl6dAT&#10;1RoisNug/qEySgSHrokj4UzRC8mOkIrJ+Ik371vwMmshq9GfTMf/Ryve7jeBqbric84sGLrwu88/&#10;fn36+vvnFxrvvn9j82RS57Ek7LXdhCFDvwlJ8aEJJv1JCztkY48nY+UhMkGTk4vp4uXljDNBaxfj&#10;yWI2S6TF/W4fML6WzrAUVFwrm4RDCfs3GHvoX0ia1pZ1FV/MpokTqAsbun0KjSclaHd5Lzqt6hul&#10;ddqBYbe91oHtIXVC/oYSHsHSIWvAtsflpQSDspVQv7I1i0dPHll6GjyVYGTNmZb0klKUkRGUPgdJ&#10;6rVN1DL36aAzGd1bm6Ktq4/Z8SJl1APZtKFfU5M9zCl++EZX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sLMAk1AAAAAcBAAAPAAAAAAAAAAEAIAAAACIAAABkcnMvZG93bnJldi54bWxQSwECFAAU&#10;AAAACACHTuJAenIB9fUBAADrAwAADgAAAAAAAAABACAAAAAjAQAAZHJzL2Uyb0RvYy54bWxQSwUG&#10;AAAAAAYABgBZAQAAigUAAAAA&#10;">
                      <v:fill on="f" focussize="0,0"/>
                      <v:stroke color="#000000" joinstyle="round"/>
                      <v:imagedata o:title=""/>
                      <o:lock v:ext="edit" aspectratio="f"/>
                    </v:line>
                  </w:pict>
                </mc:Fallback>
              </mc:AlternateContent>
            </w:r>
            <w:r>
              <w:rPr>
                <w:b/>
                <w:bCs/>
                <w:sz w:val="21"/>
                <w:szCs w:val="21"/>
              </w:rPr>
              <w:t xml:space="preserve">    P（kg/m</w:t>
            </w:r>
            <w:r>
              <w:rPr>
                <w:b/>
                <w:bCs/>
                <w:sz w:val="21"/>
                <w:szCs w:val="21"/>
                <w:vertAlign w:val="superscript"/>
              </w:rPr>
              <w:t>2</w:t>
            </w:r>
            <w:r>
              <w:rPr>
                <w:b/>
                <w:bCs/>
                <w:sz w:val="21"/>
                <w:szCs w:val="21"/>
              </w:rPr>
              <w:t>）</w:t>
            </w:r>
          </w:p>
          <w:p>
            <w:pPr>
              <w:spacing w:line="240" w:lineRule="auto"/>
              <w:ind w:firstLine="0" w:firstLineChars="0"/>
              <w:rPr>
                <w:b/>
                <w:bCs/>
                <w:sz w:val="21"/>
                <w:szCs w:val="21"/>
              </w:rPr>
            </w:pPr>
            <w:r>
              <w:rPr>
                <w:b/>
                <w:bCs/>
                <w:sz w:val="21"/>
                <w:szCs w:val="21"/>
              </w:rPr>
              <w:t>车速（km/h）</w:t>
            </w:r>
          </w:p>
        </w:tc>
        <w:tc>
          <w:tcPr>
            <w:tcW w:w="652" w:type="pct"/>
            <w:tcMar>
              <w:top w:w="0" w:type="dxa"/>
              <w:left w:w="113" w:type="dxa"/>
              <w:bottom w:w="0" w:type="dxa"/>
              <w:right w:w="113" w:type="dxa"/>
            </w:tcMar>
            <w:vAlign w:val="center"/>
          </w:tcPr>
          <w:p>
            <w:pPr>
              <w:spacing w:line="240" w:lineRule="auto"/>
              <w:ind w:firstLine="0" w:firstLineChars="0"/>
              <w:jc w:val="center"/>
              <w:rPr>
                <w:b/>
                <w:bCs/>
                <w:sz w:val="21"/>
                <w:szCs w:val="21"/>
              </w:rPr>
            </w:pPr>
            <w:r>
              <w:rPr>
                <w:b/>
                <w:bCs/>
                <w:sz w:val="21"/>
                <w:szCs w:val="21"/>
              </w:rPr>
              <w:t>0.1</w:t>
            </w:r>
          </w:p>
        </w:tc>
        <w:tc>
          <w:tcPr>
            <w:tcW w:w="599" w:type="pct"/>
            <w:tcMar>
              <w:top w:w="0" w:type="dxa"/>
              <w:left w:w="113" w:type="dxa"/>
              <w:bottom w:w="0" w:type="dxa"/>
              <w:right w:w="113" w:type="dxa"/>
            </w:tcMar>
            <w:vAlign w:val="center"/>
          </w:tcPr>
          <w:p>
            <w:pPr>
              <w:spacing w:line="240" w:lineRule="auto"/>
              <w:ind w:firstLine="0" w:firstLineChars="0"/>
              <w:jc w:val="center"/>
              <w:rPr>
                <w:b/>
                <w:bCs/>
                <w:sz w:val="21"/>
                <w:szCs w:val="21"/>
              </w:rPr>
            </w:pPr>
            <w:r>
              <w:rPr>
                <w:b/>
                <w:bCs/>
                <w:sz w:val="21"/>
                <w:szCs w:val="21"/>
              </w:rPr>
              <w:t>0.2</w:t>
            </w:r>
          </w:p>
        </w:tc>
        <w:tc>
          <w:tcPr>
            <w:tcW w:w="634" w:type="pct"/>
            <w:tcMar>
              <w:top w:w="0" w:type="dxa"/>
              <w:left w:w="113" w:type="dxa"/>
              <w:bottom w:w="0" w:type="dxa"/>
              <w:right w:w="113" w:type="dxa"/>
            </w:tcMar>
            <w:vAlign w:val="center"/>
          </w:tcPr>
          <w:p>
            <w:pPr>
              <w:spacing w:line="240" w:lineRule="auto"/>
              <w:ind w:firstLine="0" w:firstLineChars="0"/>
              <w:jc w:val="center"/>
              <w:rPr>
                <w:b/>
                <w:bCs/>
                <w:sz w:val="21"/>
                <w:szCs w:val="21"/>
              </w:rPr>
            </w:pPr>
            <w:r>
              <w:rPr>
                <w:b/>
                <w:bCs/>
                <w:sz w:val="21"/>
                <w:szCs w:val="21"/>
              </w:rPr>
              <w:t>0.3</w:t>
            </w:r>
          </w:p>
        </w:tc>
        <w:tc>
          <w:tcPr>
            <w:tcW w:w="652" w:type="pct"/>
            <w:tcMar>
              <w:top w:w="0" w:type="dxa"/>
              <w:left w:w="113" w:type="dxa"/>
              <w:bottom w:w="0" w:type="dxa"/>
              <w:right w:w="113" w:type="dxa"/>
            </w:tcMar>
            <w:vAlign w:val="center"/>
          </w:tcPr>
          <w:p>
            <w:pPr>
              <w:spacing w:line="240" w:lineRule="auto"/>
              <w:ind w:firstLine="0" w:firstLineChars="0"/>
              <w:jc w:val="center"/>
              <w:rPr>
                <w:b/>
                <w:bCs/>
                <w:sz w:val="21"/>
                <w:szCs w:val="21"/>
              </w:rPr>
            </w:pPr>
            <w:r>
              <w:rPr>
                <w:b/>
                <w:bCs/>
                <w:sz w:val="21"/>
                <w:szCs w:val="21"/>
              </w:rPr>
              <w:t>0.4</w:t>
            </w:r>
          </w:p>
        </w:tc>
        <w:tc>
          <w:tcPr>
            <w:tcW w:w="661" w:type="pct"/>
            <w:tcMar>
              <w:top w:w="0" w:type="dxa"/>
              <w:left w:w="113" w:type="dxa"/>
              <w:bottom w:w="0" w:type="dxa"/>
              <w:right w:w="113" w:type="dxa"/>
            </w:tcMar>
            <w:vAlign w:val="center"/>
          </w:tcPr>
          <w:p>
            <w:pPr>
              <w:spacing w:line="240" w:lineRule="auto"/>
              <w:ind w:firstLine="0" w:firstLineChars="0"/>
              <w:jc w:val="center"/>
              <w:rPr>
                <w:b/>
                <w:bCs/>
                <w:sz w:val="21"/>
                <w:szCs w:val="21"/>
              </w:rPr>
            </w:pPr>
            <w:r>
              <w:rPr>
                <w:b/>
                <w:bCs/>
                <w:sz w:val="21"/>
                <w:szCs w:val="21"/>
              </w:rPr>
              <w:t>0.5</w:t>
            </w:r>
          </w:p>
        </w:tc>
        <w:tc>
          <w:tcPr>
            <w:tcW w:w="666" w:type="pct"/>
            <w:tcMar>
              <w:top w:w="0" w:type="dxa"/>
              <w:left w:w="113" w:type="dxa"/>
              <w:bottom w:w="0" w:type="dxa"/>
              <w:right w:w="113" w:type="dxa"/>
            </w:tcMar>
            <w:vAlign w:val="center"/>
          </w:tcPr>
          <w:p>
            <w:pPr>
              <w:spacing w:line="240" w:lineRule="auto"/>
              <w:ind w:firstLine="0" w:firstLineChars="0"/>
              <w:jc w:val="center"/>
              <w:rPr>
                <w:b/>
                <w:bCs/>
                <w:sz w:val="21"/>
                <w:szCs w:val="21"/>
              </w:rPr>
            </w:pPr>
            <w:r>
              <w:rPr>
                <w:b/>
                <w:bCs/>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3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5</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0.0283</w:t>
            </w:r>
          </w:p>
        </w:tc>
        <w:tc>
          <w:tcPr>
            <w:tcW w:w="599"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0.0476</w:t>
            </w:r>
          </w:p>
        </w:tc>
        <w:tc>
          <w:tcPr>
            <w:tcW w:w="634"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0.0646</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0.0801</w:t>
            </w:r>
          </w:p>
        </w:tc>
        <w:tc>
          <w:tcPr>
            <w:tcW w:w="661"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0.0947</w:t>
            </w:r>
          </w:p>
        </w:tc>
        <w:tc>
          <w:tcPr>
            <w:tcW w:w="666"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3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10</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0.0566</w:t>
            </w:r>
          </w:p>
        </w:tc>
        <w:tc>
          <w:tcPr>
            <w:tcW w:w="599"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0.0953</w:t>
            </w:r>
          </w:p>
        </w:tc>
        <w:tc>
          <w:tcPr>
            <w:tcW w:w="634"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0.1291</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0.1602</w:t>
            </w:r>
          </w:p>
        </w:tc>
        <w:tc>
          <w:tcPr>
            <w:tcW w:w="661"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0.1894</w:t>
            </w:r>
          </w:p>
        </w:tc>
        <w:tc>
          <w:tcPr>
            <w:tcW w:w="666"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0.3186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3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15</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0.0850</w:t>
            </w:r>
          </w:p>
        </w:tc>
        <w:tc>
          <w:tcPr>
            <w:tcW w:w="599"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0.1429</w:t>
            </w:r>
          </w:p>
        </w:tc>
        <w:tc>
          <w:tcPr>
            <w:tcW w:w="634"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0.1937</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0.2403</w:t>
            </w:r>
          </w:p>
        </w:tc>
        <w:tc>
          <w:tcPr>
            <w:tcW w:w="661"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0.2841</w:t>
            </w:r>
          </w:p>
        </w:tc>
        <w:tc>
          <w:tcPr>
            <w:tcW w:w="666"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0.4778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13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20</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0.1133</w:t>
            </w:r>
          </w:p>
        </w:tc>
        <w:tc>
          <w:tcPr>
            <w:tcW w:w="599"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0.1905</w:t>
            </w:r>
          </w:p>
        </w:tc>
        <w:tc>
          <w:tcPr>
            <w:tcW w:w="634"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0.2583</w:t>
            </w:r>
          </w:p>
        </w:tc>
        <w:tc>
          <w:tcPr>
            <w:tcW w:w="652"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0.3204</w:t>
            </w:r>
          </w:p>
        </w:tc>
        <w:tc>
          <w:tcPr>
            <w:tcW w:w="661"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0.3788</w:t>
            </w:r>
          </w:p>
        </w:tc>
        <w:tc>
          <w:tcPr>
            <w:tcW w:w="666" w:type="pct"/>
            <w:tcMar>
              <w:top w:w="0" w:type="dxa"/>
              <w:left w:w="113" w:type="dxa"/>
              <w:bottom w:w="0" w:type="dxa"/>
              <w:right w:w="113" w:type="dxa"/>
            </w:tcMar>
            <w:vAlign w:val="center"/>
          </w:tcPr>
          <w:p>
            <w:pPr>
              <w:spacing w:line="240" w:lineRule="auto"/>
              <w:ind w:firstLine="0" w:firstLineChars="0"/>
              <w:jc w:val="center"/>
              <w:rPr>
                <w:sz w:val="21"/>
                <w:szCs w:val="21"/>
              </w:rPr>
            </w:pPr>
            <w:r>
              <w:rPr>
                <w:sz w:val="21"/>
                <w:szCs w:val="21"/>
              </w:rPr>
              <w:t>0.6371</w:t>
            </w:r>
          </w:p>
        </w:tc>
      </w:tr>
    </w:tbl>
    <w:p>
      <w:pPr>
        <w:ind w:firstLine="480"/>
      </w:pPr>
      <w:r>
        <w:t>由此可见，在同样路面清洁情况下，车速越快，扬尘量越大；而在同样车速情况下，路面清洁度越差，则扬尘量越大。</w:t>
      </w:r>
    </w:p>
    <w:p>
      <w:pPr>
        <w:ind w:firstLine="482"/>
        <w:rPr>
          <w:b/>
          <w:bCs/>
        </w:rPr>
      </w:pPr>
      <w:r>
        <w:rPr>
          <w:rFonts w:hint="eastAsia"/>
          <w:b/>
          <w:bCs/>
        </w:rPr>
        <w:t>（3）机械尾气</w:t>
      </w:r>
    </w:p>
    <w:p>
      <w:pPr>
        <w:ind w:firstLine="480"/>
      </w:pPr>
      <w:r>
        <w:rPr>
          <w:rFonts w:hint="eastAsia"/>
        </w:rPr>
        <w:t>施工燃油车辆排放的尾气中含有</w:t>
      </w:r>
      <w:r>
        <w:t>S</w:t>
      </w:r>
      <w:r>
        <w:rPr>
          <w:rFonts w:hint="eastAsia"/>
        </w:rPr>
        <w:t>O</w:t>
      </w:r>
      <w:r>
        <w:rPr>
          <w:vertAlign w:val="subscript"/>
        </w:rPr>
        <w:t>2</w:t>
      </w:r>
      <w:r>
        <w:t>、NOx、C</w:t>
      </w:r>
      <w:r>
        <w:rPr>
          <w:rFonts w:hint="eastAsia"/>
        </w:rPr>
        <w:t>O</w:t>
      </w:r>
      <w:r>
        <w:t>、烃类、铅等污染物，主要对作业点周围和运输路线两侧局部范围产生一定影响。参考《汽车尾气的计算方法》，</w:t>
      </w:r>
      <w:r>
        <w:rPr>
          <w:rFonts w:hint="eastAsia"/>
        </w:rPr>
        <w:t>汽车尾气中</w:t>
      </w:r>
      <w:r>
        <w:t>NOx、CO、S</w:t>
      </w:r>
      <w:r>
        <w:rPr>
          <w:rFonts w:hint="eastAsia"/>
        </w:rPr>
        <w:t>O</w:t>
      </w:r>
      <w:r>
        <w:rPr>
          <w:vertAlign w:val="subscript"/>
        </w:rPr>
        <w:t>2</w:t>
      </w:r>
      <w:r>
        <w:t>、HC、烟尘产生浓度约为10.7mg/m</w:t>
      </w:r>
      <w:r>
        <w:rPr>
          <w:vertAlign w:val="superscript"/>
        </w:rPr>
        <w:t>3</w:t>
      </w:r>
      <w:r>
        <w:t>、50mg/m</w:t>
      </w:r>
      <w:r>
        <w:rPr>
          <w:vertAlign w:val="superscript"/>
        </w:rPr>
        <w:t>3</w:t>
      </w:r>
      <w:r>
        <w:t>、28.6mg/m</w:t>
      </w:r>
      <w:r>
        <w:rPr>
          <w:vertAlign w:val="superscript"/>
        </w:rPr>
        <w:t>3</w:t>
      </w:r>
      <w:r>
        <w:t>、5mg/m</w:t>
      </w:r>
      <w:r>
        <w:rPr>
          <w:vertAlign w:val="superscript"/>
        </w:rPr>
        <w:t>3</w:t>
      </w:r>
      <w:r>
        <w:t>、8.9mg/m</w:t>
      </w:r>
      <w:r>
        <w:rPr>
          <w:vertAlign w:val="superscript"/>
        </w:rPr>
        <w:t>3</w:t>
      </w:r>
      <w:r>
        <w:rPr>
          <w:rFonts w:hint="eastAsia"/>
        </w:rPr>
        <w:t>。</w:t>
      </w:r>
      <w:r>
        <w:t>由于施工机械</w:t>
      </w:r>
      <w:r>
        <w:rPr>
          <w:rFonts w:hint="eastAsia"/>
        </w:rPr>
        <w:t>数量较少（主要以挖掘机、</w:t>
      </w:r>
      <w:r>
        <w:rPr>
          <w:szCs w:val="21"/>
        </w:rPr>
        <w:t>起重机</w:t>
      </w:r>
      <w:r>
        <w:rPr>
          <w:rFonts w:hint="eastAsia"/>
          <w:szCs w:val="21"/>
        </w:rPr>
        <w:t>为主</w:t>
      </w:r>
      <w:r>
        <w:rPr>
          <w:rFonts w:hint="eastAsia"/>
        </w:rPr>
        <w:t>），施工机械</w:t>
      </w:r>
      <w:r>
        <w:t>分布具有分散性，</w:t>
      </w:r>
      <w:r>
        <w:rPr>
          <w:rFonts w:hint="eastAsia"/>
        </w:rPr>
        <w:t>施工机械尾气</w:t>
      </w:r>
      <w:r>
        <w:t>具有间歇性和流动性，因此施工机械尾气排放对局部区域环境影响较小</w:t>
      </w:r>
      <w:r>
        <w:rPr>
          <w:rFonts w:hint="eastAsia"/>
        </w:rPr>
        <w:t>。</w:t>
      </w:r>
    </w:p>
    <w:p>
      <w:pPr>
        <w:ind w:firstLine="482"/>
        <w:rPr>
          <w:b/>
          <w:bCs/>
        </w:rPr>
      </w:pPr>
      <w:r>
        <w:rPr>
          <w:rFonts w:hint="eastAsia"/>
          <w:b/>
          <w:bCs/>
        </w:rPr>
        <w:t>（4）焊接烟尘</w:t>
      </w:r>
    </w:p>
    <w:p>
      <w:pPr>
        <w:ind w:firstLine="480"/>
      </w:pPr>
      <w:r>
        <w:rPr>
          <w:rFonts w:hint="eastAsia"/>
        </w:rPr>
        <w:t>本项目在综合生产厂房搭建、管道连接等作业过程中均使用焊接，在焊接过程中将有一部分焊接烟气产生。焊接烟气成分大致分为尘粒和气体两类。其中焊接烟气中的气体的成份主要为</w:t>
      </w:r>
      <w:r>
        <w:t>CO、NOx和金属氧化物，其中以CO所占的比例最大。</w:t>
      </w:r>
      <w:r>
        <w:rPr>
          <w:rFonts w:hint="eastAsia"/>
        </w:rPr>
        <w:t>由于废气量较小，且施工现场位于较开阔地段，有利于空气的扩散，同时废气污染源具有间歇性和流动性，对大气环境影响较小。</w:t>
      </w:r>
    </w:p>
    <w:p>
      <w:pPr>
        <w:ind w:firstLine="482"/>
        <w:rPr>
          <w:b/>
          <w:bCs/>
        </w:rPr>
      </w:pPr>
      <w:r>
        <w:rPr>
          <w:rFonts w:hint="eastAsia"/>
          <w:b/>
          <w:bCs/>
        </w:rPr>
        <w:t>（5）装修废气</w:t>
      </w:r>
    </w:p>
    <w:p>
      <w:pPr>
        <w:ind w:firstLine="480"/>
      </w:pPr>
      <w:r>
        <w:rPr>
          <w:rFonts w:hint="eastAsia"/>
        </w:rPr>
        <w:t>装修废气主要来自于地面涂覆环氧树脂漆（水性）过程中会挥发有机废气，该废气的排放属无组织排放，其主要污染因子为二甲苯和甲苯，此外还有极少量的丁醇和丙醇等。由于水性环氧树脂漆用水作为稀释剂，替代了有机溶剂，减少了溶剂的使用，从而减少了使用过程中挥发性有机化合物的排放，因此在使用过程中有机废气挥发量较少，产生量较少。</w:t>
      </w:r>
    </w:p>
    <w:p>
      <w:pPr>
        <w:pStyle w:val="7"/>
        <w:ind w:firstLine="482"/>
      </w:pPr>
      <w:r>
        <w:rPr>
          <w:rFonts w:hint="eastAsia"/>
          <w:lang w:val="en-US" w:eastAsia="zh-CN"/>
        </w:rPr>
        <w:t>3</w:t>
      </w:r>
      <w:r>
        <w:rPr>
          <w:rFonts w:hint="eastAsia"/>
        </w:rPr>
        <w:t>.6.1.3、施工噪声源强分析</w:t>
      </w:r>
    </w:p>
    <w:p>
      <w:pPr>
        <w:pStyle w:val="82"/>
        <w:ind w:firstLine="480"/>
        <w:rPr>
          <w:color w:val="000000" w:themeColor="text1"/>
          <w14:textFill>
            <w14:solidFill>
              <w14:schemeClr w14:val="tx1"/>
            </w14:solidFill>
          </w14:textFill>
        </w:rPr>
      </w:pPr>
      <w:r>
        <w:rPr>
          <w:color w:val="000000" w:themeColor="text1"/>
          <w14:textFill>
            <w14:solidFill>
              <w14:schemeClr w14:val="tx1"/>
            </w14:solidFill>
          </w14:textFill>
        </w:rPr>
        <w:t>施工期噪声主要为施工设备噪声及运输车辆噪声。因此，本次主要考虑地面噪声源，</w:t>
      </w:r>
      <w:r>
        <w:rPr>
          <w:color w:val="000000" w:themeColor="text1"/>
          <w:lang w:val="zh-CN"/>
          <w14:textFill>
            <w14:solidFill>
              <w14:schemeClr w14:val="tx1"/>
            </w14:solidFill>
          </w14:textFill>
        </w:rPr>
        <w:t>主要地面噪声源</w:t>
      </w:r>
      <w:r>
        <w:rPr>
          <w:color w:val="000000" w:themeColor="text1"/>
          <w14:textFill>
            <w14:solidFill>
              <w14:schemeClr w14:val="tx1"/>
            </w14:solidFill>
          </w14:textFill>
        </w:rPr>
        <w:t>来自于各施工机械及运输车辆，具有阶段性、临时性和不固定性的特点。</w:t>
      </w:r>
      <w:r>
        <w:t>主要施工机</w:t>
      </w:r>
      <w:r>
        <w:rPr>
          <w:rFonts w:hint="eastAsia"/>
        </w:rPr>
        <w:t>噪声源强按照《环境噪声与振动控制工程技术导则》（</w:t>
      </w:r>
      <w:r>
        <w:t>HJ2034-2013</w:t>
      </w:r>
      <w:r>
        <w:rPr>
          <w:rFonts w:hint="eastAsia"/>
        </w:rPr>
        <w:t>）中</w:t>
      </w:r>
      <w:r>
        <w:t>给出的声压级范围取平均值</w:t>
      </w:r>
      <w:r>
        <w:rPr>
          <w:rFonts w:hint="eastAsia"/>
        </w:rPr>
        <w:t>，具体情况详见下表。</w:t>
      </w:r>
    </w:p>
    <w:p>
      <w:pPr>
        <w:spacing w:line="240" w:lineRule="auto"/>
        <w:ind w:firstLine="482"/>
        <w:jc w:val="center"/>
        <w:rPr>
          <w:rFonts w:eastAsiaTheme="minorEastAsia"/>
          <w:b/>
          <w:bCs/>
          <w:color w:val="000000" w:themeColor="text1"/>
          <w14:textFill>
            <w14:solidFill>
              <w14:schemeClr w14:val="tx1"/>
            </w14:solidFill>
          </w14:textFill>
        </w:rPr>
      </w:pPr>
      <w:r>
        <w:rPr>
          <w:rFonts w:eastAsiaTheme="minorEastAsia"/>
          <w:b/>
          <w:bCs/>
          <w:color w:val="000000" w:themeColor="text1"/>
          <w14:textFill>
            <w14:solidFill>
              <w14:schemeClr w14:val="tx1"/>
            </w14:solidFill>
          </w14:textFill>
        </w:rPr>
        <w:t>表</w:t>
      </w:r>
      <w:r>
        <w:rPr>
          <w:rFonts w:hint="eastAsia" w:eastAsiaTheme="minorEastAsia"/>
          <w:b/>
          <w:bCs/>
          <w:color w:val="000000" w:themeColor="text1"/>
          <w:lang w:val="en-US" w:eastAsia="zh-CN"/>
          <w14:textFill>
            <w14:solidFill>
              <w14:schemeClr w14:val="tx1"/>
            </w14:solidFill>
          </w14:textFill>
        </w:rPr>
        <w:t>3.15</w:t>
      </w:r>
      <w:r>
        <w:rPr>
          <w:rFonts w:eastAsiaTheme="minorEastAsia"/>
          <w:b/>
          <w:bCs/>
          <w:color w:val="000000" w:themeColor="text1"/>
          <w14:textFill>
            <w14:solidFill>
              <w14:schemeClr w14:val="tx1"/>
            </w14:solidFill>
          </w14:textFill>
        </w:rPr>
        <w:t xml:space="preserve">    </w:t>
      </w:r>
      <w:r>
        <w:rPr>
          <w:b/>
          <w:bCs/>
          <w:color w:val="000000" w:themeColor="text1"/>
          <w14:textFill>
            <w14:solidFill>
              <w14:schemeClr w14:val="tx1"/>
            </w14:solidFill>
          </w14:textFill>
        </w:rPr>
        <w:t>施工期主要噪声源源强一览表</w:t>
      </w:r>
      <w:r>
        <w:rPr>
          <w:rFonts w:eastAsiaTheme="minorEastAsia"/>
          <w:b/>
          <w:bCs/>
          <w:color w:val="000000" w:themeColor="text1"/>
          <w14:textFill>
            <w14:solidFill>
              <w14:schemeClr w14:val="tx1"/>
            </w14:solidFill>
          </w14:textFill>
        </w:rPr>
        <w:t xml:space="preserve">  单位：dB（A）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9"/>
        <w:gridCol w:w="2489"/>
        <w:gridCol w:w="2492"/>
        <w:gridCol w:w="2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49"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施工阶段</w:t>
            </w:r>
          </w:p>
        </w:tc>
        <w:tc>
          <w:tcPr>
            <w:tcW w:w="1249"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施工设备名称</w:t>
            </w:r>
          </w:p>
        </w:tc>
        <w:tc>
          <w:tcPr>
            <w:tcW w:w="1250"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声源</w:t>
            </w:r>
            <w:r>
              <w:rPr>
                <w:b/>
                <w:bCs/>
                <w:color w:val="000000" w:themeColor="text1"/>
                <w:sz w:val="21"/>
                <w:szCs w:val="21"/>
                <w14:textFill>
                  <w14:solidFill>
                    <w14:schemeClr w14:val="tx1"/>
                  </w14:solidFill>
                </w14:textFill>
              </w:rPr>
              <w:t>源强</w:t>
            </w:r>
          </w:p>
        </w:tc>
        <w:tc>
          <w:tcPr>
            <w:tcW w:w="1250"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土石方阶段</w:t>
            </w:r>
          </w:p>
        </w:tc>
        <w:tc>
          <w:tcPr>
            <w:tcW w:w="124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sz w:val="21"/>
                <w:szCs w:val="21"/>
              </w:rPr>
              <w:t>挖掘机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95</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sz w:val="21"/>
                <w:szCs w:val="21"/>
              </w:rPr>
              <w:t>装载机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bCs/>
                <w:sz w:val="21"/>
                <w:szCs w:val="21"/>
              </w:rPr>
              <w:t>基础与结构阶段</w:t>
            </w:r>
          </w:p>
        </w:tc>
        <w:tc>
          <w:tcPr>
            <w:tcW w:w="1249" w:type="pc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电焊机</w:t>
            </w:r>
          </w:p>
        </w:tc>
        <w:tc>
          <w:tcPr>
            <w:tcW w:w="1250" w:type="pct"/>
            <w:tcBorders>
              <w:tl2br w:val="nil"/>
              <w:tr2bl w:val="nil"/>
            </w:tcBorders>
            <w:vAlign w:val="center"/>
          </w:tcPr>
          <w:p>
            <w:pPr>
              <w:adjustRightInd w:val="0"/>
              <w:snapToGrid w:val="0"/>
              <w:spacing w:line="240" w:lineRule="auto"/>
              <w:ind w:firstLine="0" w:firstLineChars="0"/>
              <w:jc w:val="center"/>
              <w:rPr>
                <w:rFonts w:hint="default" w:eastAsia="宋体"/>
                <w:bCs/>
                <w:sz w:val="21"/>
                <w:szCs w:val="21"/>
                <w:lang w:val="en-US" w:eastAsia="zh-CN"/>
              </w:rPr>
            </w:pPr>
            <w:r>
              <w:rPr>
                <w:rFonts w:hint="eastAsia"/>
                <w:color w:val="000000" w:themeColor="text1"/>
                <w:sz w:val="21"/>
                <w:szCs w:val="21"/>
                <w:lang w:val="en-US" w:eastAsia="zh-CN"/>
                <w14:textFill>
                  <w14:solidFill>
                    <w14:schemeClr w14:val="tx1"/>
                  </w14:solidFill>
                </w14:textFill>
              </w:rPr>
              <w:t>90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电锯</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电锤</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空压机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起重机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升降机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bl>
    <w:p>
      <w:pPr>
        <w:pStyle w:val="7"/>
        <w:ind w:firstLine="482"/>
      </w:pPr>
      <w:r>
        <w:rPr>
          <w:rFonts w:hint="eastAsia"/>
          <w:lang w:val="en-US" w:eastAsia="zh-CN"/>
        </w:rPr>
        <w:t>3</w:t>
      </w:r>
      <w:r>
        <w:rPr>
          <w:rFonts w:hint="eastAsia"/>
        </w:rPr>
        <w:t>.6.1.4、施工固废产生情况分析</w:t>
      </w:r>
    </w:p>
    <w:p>
      <w:pPr>
        <w:ind w:firstLine="480"/>
      </w:pPr>
      <w:r>
        <w:rPr>
          <w:rFonts w:hint="eastAsia"/>
        </w:rPr>
        <w:t>本项目施工期产生的固废主要有：工程弃土、建筑垃圾、废包装材料、施工人员生活垃圾</w:t>
      </w:r>
    </w:p>
    <w:p>
      <w:pPr>
        <w:ind w:firstLine="482"/>
      </w:pPr>
      <w:r>
        <w:rPr>
          <w:b/>
          <w:bCs/>
        </w:rPr>
        <w:t>①</w:t>
      </w:r>
      <w:r>
        <w:rPr>
          <w:rFonts w:hint="eastAsia"/>
          <w:b/>
          <w:bCs/>
        </w:rPr>
        <w:t>工程弃土</w:t>
      </w:r>
    </w:p>
    <w:p>
      <w:pPr>
        <w:ind w:firstLine="480"/>
      </w:pPr>
      <w:r>
        <w:rPr>
          <w:rFonts w:hint="eastAsia"/>
        </w:rPr>
        <w:t>工程弃土主要是指循环冷却水池开挖回填后剩余的土方，本项目循环沉淀池容积为60m</w:t>
      </w:r>
      <w:r>
        <w:rPr>
          <w:rFonts w:hint="eastAsia"/>
          <w:vertAlign w:val="superscript"/>
        </w:rPr>
        <w:t>3</w:t>
      </w:r>
      <w:r>
        <w:rPr>
          <w:rFonts w:hint="eastAsia"/>
        </w:rPr>
        <w:t>，则这部分土方产生量约为60m</w:t>
      </w:r>
      <w:r>
        <w:rPr>
          <w:rFonts w:hint="eastAsia"/>
          <w:vertAlign w:val="superscript"/>
        </w:rPr>
        <w:t>3</w:t>
      </w:r>
      <w:r>
        <w:rPr>
          <w:rFonts w:hint="eastAsia"/>
        </w:rPr>
        <w:t>，多余土方直接用于</w:t>
      </w:r>
      <w:r>
        <w:t>饲草种植覆土。</w:t>
      </w:r>
    </w:p>
    <w:p>
      <w:pPr>
        <w:ind w:firstLine="482"/>
      </w:pPr>
      <w:r>
        <w:rPr>
          <w:b/>
          <w:bCs/>
        </w:rPr>
        <w:t>②</w:t>
      </w:r>
      <w:r>
        <w:rPr>
          <w:rFonts w:hint="eastAsia"/>
          <w:b/>
          <w:bCs/>
        </w:rPr>
        <w:t>建筑垃圾</w:t>
      </w:r>
    </w:p>
    <w:p>
      <w:pPr>
        <w:ind w:firstLine="480"/>
      </w:pPr>
      <w:r>
        <w:t>本项目</w:t>
      </w:r>
      <w:r>
        <w:rPr>
          <w:rFonts w:hint="eastAsia"/>
        </w:rPr>
        <w:t>建筑垃圾主要以废钢筋、废钢材</w:t>
      </w:r>
      <w:r>
        <w:rPr>
          <w:rFonts w:hint="eastAsia"/>
          <w:lang w:eastAsia="zh-CN"/>
        </w:rPr>
        <w:t>、</w:t>
      </w:r>
      <w:r>
        <w:rPr>
          <w:rFonts w:hint="eastAsia"/>
          <w:lang w:val="en-US" w:eastAsia="zh-CN"/>
        </w:rPr>
        <w:t>废砖头</w:t>
      </w:r>
      <w:r>
        <w:rPr>
          <w:rFonts w:hint="eastAsia"/>
        </w:rPr>
        <w:t>为主，根据建设单位提供的资料，</w:t>
      </w:r>
      <w:r>
        <w:t>建筑垃圾产生量</w:t>
      </w:r>
      <w:r>
        <w:rPr>
          <w:rFonts w:hint="eastAsia"/>
        </w:rPr>
        <w:t>约</w:t>
      </w:r>
      <w:r>
        <w:t>为</w:t>
      </w:r>
      <w:r>
        <w:rPr>
          <w:rFonts w:hint="eastAsia"/>
        </w:rPr>
        <w:t>4</w:t>
      </w:r>
      <w:r>
        <w:t>t</w:t>
      </w:r>
      <w:r>
        <w:rPr>
          <w:rFonts w:hint="eastAsia"/>
        </w:rPr>
        <w:t>，建筑垃圾</w:t>
      </w:r>
      <w:r>
        <w:rPr>
          <w:rFonts w:hint="eastAsia"/>
          <w:lang w:val="en-US" w:eastAsia="zh-CN"/>
        </w:rPr>
        <w:t>中具有利用价值的全部外售废旧回收单位再次利用，不具有利用价值的全部外运至当地城建部门指定地点填埋处置。</w:t>
      </w:r>
    </w:p>
    <w:p>
      <w:pPr>
        <w:ind w:firstLine="482"/>
      </w:pPr>
      <w:r>
        <w:rPr>
          <w:b/>
          <w:bCs/>
        </w:rPr>
        <w:t>③</w:t>
      </w:r>
      <w:r>
        <w:rPr>
          <w:rFonts w:hint="eastAsia"/>
          <w:b/>
          <w:bCs/>
        </w:rPr>
        <w:t>废包装材料</w:t>
      </w:r>
    </w:p>
    <w:p>
      <w:pPr>
        <w:ind w:firstLine="480"/>
      </w:pPr>
      <w:r>
        <w:rPr>
          <w:rFonts w:hint="eastAsia"/>
        </w:rPr>
        <w:t>废包装材料主要是指生产设备、建筑材料等在拆包过程中产生的废包装材料，废包装材料主要以废纸壳、废塑料为主，根据建设单位提供的资料，废包装材料产生量为1.5</w:t>
      </w:r>
      <w:r>
        <w:t>t</w:t>
      </w:r>
      <w:r>
        <w:rPr>
          <w:rFonts w:hint="eastAsia"/>
        </w:rPr>
        <w:t>，废包装材料集中收集后外售废旧回收单位集中处置。</w:t>
      </w:r>
    </w:p>
    <w:p>
      <w:pPr>
        <w:ind w:firstLine="482"/>
        <w:rPr>
          <w:b/>
          <w:bCs/>
        </w:rPr>
      </w:pPr>
      <w:r>
        <w:rPr>
          <w:b/>
          <w:bCs/>
        </w:rPr>
        <w:t>④施工人员生活垃圾</w:t>
      </w:r>
    </w:p>
    <w:p>
      <w:pPr>
        <w:ind w:firstLine="480"/>
      </w:pPr>
      <w:r>
        <w:t>施工人员生活垃圾产生量按0.5kg/人</w:t>
      </w:r>
      <w:r>
        <w:rPr>
          <w:rFonts w:hint="eastAsia"/>
        </w:rPr>
        <w:t>·</w:t>
      </w:r>
      <w:r>
        <w:t>d，施工人员共计20人，施工周期</w:t>
      </w:r>
      <w:r>
        <w:rPr>
          <w:rFonts w:hint="eastAsia"/>
        </w:rPr>
        <w:t>12</w:t>
      </w:r>
      <w:r>
        <w:t>个月，则整个建设周期内生活垃圾产生总量为</w:t>
      </w:r>
      <w:r>
        <w:rPr>
          <w:rFonts w:hint="eastAsia"/>
        </w:rPr>
        <w:t>3.6</w:t>
      </w:r>
      <w:r>
        <w:t>t</w:t>
      </w:r>
      <w:r>
        <w:rPr>
          <w:rFonts w:hint="eastAsia"/>
        </w:rPr>
        <w:t>，施工人员生活垃圾集中收集后交由园区环卫部门统一处理</w:t>
      </w:r>
      <w:r>
        <w:t>。</w:t>
      </w:r>
    </w:p>
    <w:p>
      <w:pPr>
        <w:pStyle w:val="6"/>
        <w:ind w:firstLine="482"/>
      </w:pPr>
      <w:bookmarkStart w:id="552" w:name="_Toc10739_WPSOffice_Level2"/>
      <w:bookmarkStart w:id="553" w:name="_Toc6600_WPSOffice_Level2"/>
      <w:bookmarkStart w:id="554" w:name="_Toc15503"/>
      <w:r>
        <w:rPr>
          <w:rFonts w:hint="eastAsia"/>
          <w:lang w:val="en-US" w:eastAsia="zh-CN"/>
        </w:rPr>
        <w:t>3</w:t>
      </w:r>
      <w:r>
        <w:t>.</w:t>
      </w:r>
      <w:r>
        <w:rPr>
          <w:rFonts w:hint="eastAsia"/>
        </w:rPr>
        <w:t>6</w:t>
      </w:r>
      <w:r>
        <w:t>.2</w:t>
      </w:r>
      <w:r>
        <w:rPr>
          <w:rFonts w:hint="eastAsia"/>
        </w:rPr>
        <w:t>、</w:t>
      </w:r>
      <w:r>
        <w:t>运营期</w:t>
      </w:r>
      <w:bookmarkEnd w:id="533"/>
      <w:bookmarkEnd w:id="534"/>
      <w:bookmarkEnd w:id="552"/>
      <w:bookmarkEnd w:id="553"/>
      <w:r>
        <w:t>污染物</w:t>
      </w:r>
      <w:r>
        <w:rPr>
          <w:rFonts w:hint="eastAsia"/>
        </w:rPr>
        <w:t>源强分析</w:t>
      </w:r>
      <w:bookmarkEnd w:id="554"/>
    </w:p>
    <w:p>
      <w:pPr>
        <w:pStyle w:val="7"/>
        <w:ind w:firstLine="482"/>
      </w:pPr>
      <w:r>
        <w:rPr>
          <w:rFonts w:hint="eastAsia"/>
          <w:lang w:val="en-US" w:eastAsia="zh-CN"/>
        </w:rPr>
        <w:t>3</w:t>
      </w:r>
      <w:r>
        <w:rPr>
          <w:rFonts w:hint="eastAsia"/>
        </w:rPr>
        <w:t>.6.2.1、运营期废水源强分析</w:t>
      </w:r>
    </w:p>
    <w:p>
      <w:pPr>
        <w:ind w:firstLine="480"/>
        <w:rPr>
          <w:rFonts w:hint="default"/>
          <w:lang w:val="en-US"/>
        </w:rPr>
      </w:pPr>
      <w:r>
        <w:rPr>
          <w:rFonts w:hint="default" w:ascii="Times New Roman" w:hAnsi="Times New Roman" w:cs="Times New Roman"/>
        </w:rPr>
        <w:t>根据上文产污环节分析，本项目运营期产生的废水基本可以归类为：</w:t>
      </w:r>
      <w:r>
        <w:rPr>
          <w:rFonts w:hint="default" w:ascii="Times New Roman" w:hAnsi="Times New Roman" w:eastAsia="宋体" w:cs="Times New Roman"/>
        </w:rPr>
        <w:t>①</w:t>
      </w:r>
      <w:r>
        <w:rPr>
          <w:rFonts w:hint="default" w:ascii="Times New Roman" w:hAnsi="Times New Roman" w:cs="Times New Roman"/>
        </w:rPr>
        <w:t>待宰圈羊尿液；②肉羊精深加工生产线屠宰废水；</w:t>
      </w:r>
      <w:r>
        <w:rPr>
          <w:rFonts w:hint="default" w:ascii="Times New Roman" w:hAnsi="Times New Roman" w:eastAsia="宋体" w:cs="Times New Roman"/>
        </w:rPr>
        <w:t>③</w:t>
      </w:r>
      <w:r>
        <w:rPr>
          <w:rFonts w:hint="default" w:ascii="Times New Roman" w:hAnsi="Times New Roman" w:cs="Times New Roman"/>
        </w:rPr>
        <w:t>牛羊预制品生产线生产废水；④羊杂预制品生产线废水；⑤冷凝废水；⑥生活污水。</w:t>
      </w:r>
      <w:r>
        <w:rPr>
          <w:rFonts w:hint="eastAsia"/>
          <w:lang w:val="en-US" w:eastAsia="zh-CN"/>
        </w:rPr>
        <w:t>同时本项目现有污水处理站主要是处理肉牛屠宰废水、牛副产物产加工废水以及生活污水，而拟建项目废水也主要为肉羊屠宰废水、牛羊预制品生产废水以及生产废水，故总体上来说拟建项目和现有项目综合污水中个污染因子浓度差别不大，因此拟建项目综合废水中大肠菌群数、阴离子表面活性剂浓度参照《节水型工农业复合循环体系改造升级项目竣工环境保护验收监测报告》（甘肃沁园环保科技有限公司，2022年1月）中的监测数据，其中大肠菌群数取54000mg/L，阴离子表面活性剂取10.5mg/L，其他污染因子浓度根据</w:t>
      </w:r>
      <w:r>
        <w:rPr>
          <w:rFonts w:hint="eastAsia"/>
        </w:rPr>
        <w:t>《畜禽养殖业污染物排放标准》（GB18596-2001）</w:t>
      </w:r>
      <w:r>
        <w:rPr>
          <w:rFonts w:hint="eastAsia"/>
          <w:lang w:eastAsia="zh-CN"/>
        </w:rPr>
        <w:t>、</w:t>
      </w:r>
      <w:r>
        <w:rPr>
          <w:rFonts w:hint="eastAsia"/>
        </w:rPr>
        <w:t>《屠宰与肉类加工废水治理工程技术规范》（HJ2004—2010）</w:t>
      </w:r>
      <w:r>
        <w:rPr>
          <w:rFonts w:hint="eastAsia"/>
          <w:lang w:val="en-US" w:eastAsia="zh-CN"/>
        </w:rPr>
        <w:t>等相关标准确定，具体如下：</w:t>
      </w:r>
    </w:p>
    <w:p>
      <w:pPr>
        <w:ind w:firstLine="482"/>
        <w:rPr>
          <w:b/>
          <w:bCs/>
        </w:rPr>
      </w:pPr>
      <w:r>
        <w:rPr>
          <w:rFonts w:hint="eastAsia"/>
          <w:b/>
          <w:bCs/>
        </w:rPr>
        <w:t>（1）羊尿液</w:t>
      </w:r>
    </w:p>
    <w:p>
      <w:pPr>
        <w:ind w:firstLine="480"/>
        <w:rPr>
          <w:b/>
          <w:bCs/>
        </w:rPr>
      </w:pPr>
      <w:r>
        <w:rPr>
          <w:rFonts w:hint="eastAsia"/>
        </w:rPr>
        <w:t>肉羊在待宰圈待宰过程中会产生一定量的羊尿液，羊尿液产生量为1.33t/d（486t/a）。羊尿液中各污染物指标分别为CODcr—2600mg/L、BOD</w:t>
      </w:r>
      <w:r>
        <w:rPr>
          <w:rFonts w:hint="eastAsia"/>
          <w:vertAlign w:val="subscript"/>
        </w:rPr>
        <w:t>5</w:t>
      </w:r>
      <w:r>
        <w:rPr>
          <w:rFonts w:hint="eastAsia"/>
        </w:rPr>
        <w:t>—3000mg/L、SS—250mg/L、NH</w:t>
      </w:r>
      <w:r>
        <w:rPr>
          <w:rFonts w:hint="eastAsia"/>
          <w:vertAlign w:val="subscript"/>
        </w:rPr>
        <w:t>3</w:t>
      </w:r>
      <w:r>
        <w:rPr>
          <w:rFonts w:hint="eastAsia"/>
        </w:rPr>
        <w:t>-N—80mg/L。</w:t>
      </w:r>
    </w:p>
    <w:p>
      <w:pPr>
        <w:ind w:firstLine="482"/>
        <w:rPr>
          <w:b/>
          <w:bCs/>
        </w:rPr>
      </w:pPr>
      <w:r>
        <w:rPr>
          <w:rFonts w:hint="eastAsia"/>
          <w:b/>
          <w:bCs/>
        </w:rPr>
        <w:t>（2）肉羊精深加工生产线屠宰废水</w:t>
      </w:r>
    </w:p>
    <w:p>
      <w:pPr>
        <w:ind w:firstLine="480"/>
      </w:pPr>
      <w:r>
        <w:rPr>
          <w:rFonts w:hint="eastAsia"/>
        </w:rPr>
        <w:t>屠宰过程是指屠宰时进行的圈栏冲洗、宰前淋洗、宰后烫毛或剥皮、开腔、劈半、解体、内脏洗涤及车间冲洗等过程。</w:t>
      </w:r>
      <w:r>
        <w:rPr>
          <w:rFonts w:hint="eastAsia"/>
          <w:lang w:val="en-US" w:eastAsia="zh-CN"/>
        </w:rPr>
        <w:t>根据上文水平衡分析可知，</w:t>
      </w:r>
      <w:r>
        <w:rPr>
          <w:rFonts w:hint="eastAsia"/>
        </w:rPr>
        <w:t>屠宰废水产生量为394.52m</w:t>
      </w:r>
      <w:r>
        <w:rPr>
          <w:rFonts w:hint="eastAsia"/>
          <w:vertAlign w:val="superscript"/>
        </w:rPr>
        <w:t>3</w:t>
      </w:r>
      <w:r>
        <w:rPr>
          <w:rFonts w:hint="eastAsia"/>
        </w:rPr>
        <w:t>/d（144000</w:t>
      </w:r>
      <w:r>
        <w:t>m</w:t>
      </w:r>
      <w:r>
        <w:rPr>
          <w:vertAlign w:val="superscript"/>
        </w:rPr>
        <w:t>3</w:t>
      </w:r>
      <w:r>
        <w:t>/a</w:t>
      </w:r>
      <w:r>
        <w:rPr>
          <w:rFonts w:hint="eastAsia"/>
        </w:rPr>
        <w:t>）。屠宰废水污染物主要以CODcr、BOD</w:t>
      </w:r>
      <w:r>
        <w:rPr>
          <w:rFonts w:hint="eastAsia"/>
          <w:vertAlign w:val="subscript"/>
        </w:rPr>
        <w:t>5</w:t>
      </w:r>
      <w:r>
        <w:rPr>
          <w:rFonts w:hint="eastAsia"/>
        </w:rPr>
        <w:t>、SS、NH</w:t>
      </w:r>
      <w:r>
        <w:rPr>
          <w:rFonts w:hint="eastAsia"/>
          <w:vertAlign w:val="subscript"/>
        </w:rPr>
        <w:t>3</w:t>
      </w:r>
      <w:r>
        <w:rPr>
          <w:rFonts w:hint="eastAsia"/>
        </w:rPr>
        <w:t>-N、动植物油为主，肉羊精深加工生产线屠宰废水经厂区污水处理站处理达标后用于厂区饲草区灌溉。肉羊精深加工生产线屠宰废水各污染物的产生浓度参照《屠宰与肉类加工废水治理工程技术规范》（HJ2004—2010）表3中的数据</w:t>
      </w:r>
      <w:r>
        <w:rPr>
          <w:rFonts w:hint="eastAsia"/>
          <w:lang w:val="en-US" w:eastAsia="zh-CN"/>
        </w:rPr>
        <w:t>确定</w:t>
      </w:r>
      <w:r>
        <w:rPr>
          <w:rFonts w:hint="eastAsia"/>
        </w:rPr>
        <w:t>，本环评核算时按最不利因素考虑，即取最大值，具体情况详见下表。</w:t>
      </w:r>
    </w:p>
    <w:p>
      <w:pPr>
        <w:spacing w:line="240" w:lineRule="auto"/>
        <w:ind w:firstLine="482"/>
        <w:jc w:val="center"/>
      </w:pPr>
      <w:r>
        <w:rPr>
          <w:rFonts w:hint="eastAsia"/>
          <w:b/>
          <w:bCs/>
        </w:rPr>
        <w:t>表</w:t>
      </w:r>
      <w:r>
        <w:rPr>
          <w:rFonts w:hint="eastAsia"/>
          <w:b/>
          <w:bCs/>
          <w:lang w:val="en-US" w:eastAsia="zh-CN"/>
        </w:rPr>
        <w:t>3.16</w:t>
      </w:r>
      <w:r>
        <w:rPr>
          <w:rFonts w:hint="eastAsia"/>
          <w:b/>
          <w:bCs/>
        </w:rPr>
        <w:t xml:space="preserve">    屠宰废水水质设计取值依据一览表  单位：mg/L（pH值除外）</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716"/>
        <w:gridCol w:w="1423"/>
        <w:gridCol w:w="1441"/>
        <w:gridCol w:w="1188"/>
        <w:gridCol w:w="1264"/>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b/>
                <w:bCs/>
                <w:sz w:val="21"/>
                <w:szCs w:val="21"/>
              </w:rPr>
              <w:t>污染物指标</w:t>
            </w:r>
          </w:p>
        </w:tc>
        <w:tc>
          <w:tcPr>
            <w:tcW w:w="861" w:type="pct"/>
            <w:tcBorders>
              <w:tl2br w:val="nil"/>
              <w:tr2bl w:val="nil"/>
            </w:tcBorders>
            <w:vAlign w:val="center"/>
          </w:tcPr>
          <w:p>
            <w:pPr>
              <w:spacing w:line="240" w:lineRule="auto"/>
              <w:ind w:firstLine="0" w:firstLineChars="0"/>
              <w:jc w:val="center"/>
              <w:rPr>
                <w:sz w:val="21"/>
                <w:szCs w:val="21"/>
              </w:rPr>
            </w:pPr>
            <w:r>
              <w:rPr>
                <w:sz w:val="21"/>
                <w:szCs w:val="21"/>
              </w:rPr>
              <w:t>CODcr</w:t>
            </w:r>
          </w:p>
        </w:tc>
        <w:tc>
          <w:tcPr>
            <w:tcW w:w="714" w:type="pct"/>
            <w:tcBorders>
              <w:tl2br w:val="nil"/>
              <w:tr2bl w:val="nil"/>
            </w:tcBorders>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723" w:type="pct"/>
            <w:tcBorders>
              <w:tl2br w:val="nil"/>
              <w:tr2bl w:val="nil"/>
            </w:tcBorders>
            <w:vAlign w:val="center"/>
          </w:tcPr>
          <w:p>
            <w:pPr>
              <w:spacing w:line="240" w:lineRule="auto"/>
              <w:ind w:firstLine="0" w:firstLineChars="0"/>
              <w:jc w:val="center"/>
              <w:rPr>
                <w:sz w:val="21"/>
                <w:szCs w:val="21"/>
              </w:rPr>
            </w:pPr>
            <w:r>
              <w:rPr>
                <w:sz w:val="21"/>
                <w:szCs w:val="21"/>
              </w:rPr>
              <w:t>SS</w:t>
            </w:r>
          </w:p>
        </w:tc>
        <w:tc>
          <w:tcPr>
            <w:tcW w:w="596"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r>
              <w:rPr>
                <w:sz w:val="21"/>
                <w:szCs w:val="21"/>
              </w:rPr>
              <w:t>-N</w:t>
            </w:r>
          </w:p>
        </w:tc>
        <w:tc>
          <w:tcPr>
            <w:tcW w:w="634" w:type="pct"/>
            <w:tcBorders>
              <w:tl2br w:val="nil"/>
              <w:tr2bl w:val="nil"/>
            </w:tcBorders>
            <w:vAlign w:val="center"/>
          </w:tcPr>
          <w:p>
            <w:pPr>
              <w:spacing w:line="240" w:lineRule="auto"/>
              <w:ind w:firstLine="0" w:firstLineChars="0"/>
              <w:jc w:val="center"/>
              <w:rPr>
                <w:sz w:val="21"/>
                <w:szCs w:val="21"/>
              </w:rPr>
            </w:pPr>
            <w:r>
              <w:rPr>
                <w:sz w:val="21"/>
                <w:szCs w:val="21"/>
              </w:rPr>
              <w:t>动植物油</w:t>
            </w:r>
          </w:p>
        </w:tc>
        <w:tc>
          <w:tcPr>
            <w:tcW w:w="582" w:type="pct"/>
            <w:tcBorders>
              <w:tl2br w:val="nil"/>
              <w:tr2bl w:val="nil"/>
            </w:tcBorders>
            <w:vAlign w:val="center"/>
          </w:tcPr>
          <w:p>
            <w:pPr>
              <w:spacing w:line="240" w:lineRule="auto"/>
              <w:ind w:firstLine="0" w:firstLineChars="0"/>
              <w:jc w:val="center"/>
              <w:rPr>
                <w:sz w:val="21"/>
                <w:szCs w:val="21"/>
              </w:rPr>
            </w:pPr>
            <w:r>
              <w:rPr>
                <w:sz w:val="21"/>
                <w:szCs w:val="21"/>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b/>
                <w:bCs/>
                <w:sz w:val="21"/>
                <w:szCs w:val="21"/>
              </w:rPr>
              <w:t>废水浓度范围</w:t>
            </w:r>
          </w:p>
        </w:tc>
        <w:tc>
          <w:tcPr>
            <w:tcW w:w="861" w:type="pct"/>
            <w:tcBorders>
              <w:tl2br w:val="nil"/>
              <w:tr2bl w:val="nil"/>
            </w:tcBorders>
            <w:vAlign w:val="center"/>
          </w:tcPr>
          <w:p>
            <w:pPr>
              <w:spacing w:line="240" w:lineRule="auto"/>
              <w:ind w:firstLine="0" w:firstLineChars="0"/>
              <w:jc w:val="center"/>
              <w:rPr>
                <w:sz w:val="21"/>
                <w:szCs w:val="21"/>
              </w:rPr>
            </w:pPr>
            <w:r>
              <w:rPr>
                <w:sz w:val="21"/>
                <w:szCs w:val="21"/>
              </w:rPr>
              <w:t>1500～2000</w:t>
            </w:r>
          </w:p>
        </w:tc>
        <w:tc>
          <w:tcPr>
            <w:tcW w:w="714" w:type="pct"/>
            <w:tcBorders>
              <w:tl2br w:val="nil"/>
              <w:tr2bl w:val="nil"/>
            </w:tcBorders>
            <w:vAlign w:val="center"/>
          </w:tcPr>
          <w:p>
            <w:pPr>
              <w:spacing w:line="240" w:lineRule="auto"/>
              <w:ind w:firstLine="0" w:firstLineChars="0"/>
              <w:jc w:val="center"/>
              <w:rPr>
                <w:sz w:val="21"/>
                <w:szCs w:val="21"/>
              </w:rPr>
            </w:pPr>
            <w:r>
              <w:rPr>
                <w:sz w:val="21"/>
                <w:szCs w:val="21"/>
              </w:rPr>
              <w:t>750～1000</w:t>
            </w:r>
          </w:p>
        </w:tc>
        <w:tc>
          <w:tcPr>
            <w:tcW w:w="723" w:type="pct"/>
            <w:tcBorders>
              <w:tl2br w:val="nil"/>
              <w:tr2bl w:val="nil"/>
            </w:tcBorders>
            <w:vAlign w:val="center"/>
          </w:tcPr>
          <w:p>
            <w:pPr>
              <w:spacing w:line="240" w:lineRule="auto"/>
              <w:ind w:firstLine="0" w:firstLineChars="0"/>
              <w:jc w:val="center"/>
              <w:rPr>
                <w:sz w:val="21"/>
                <w:szCs w:val="21"/>
              </w:rPr>
            </w:pPr>
            <w:r>
              <w:rPr>
                <w:sz w:val="21"/>
                <w:szCs w:val="21"/>
              </w:rPr>
              <w:t>750～1000</w:t>
            </w:r>
          </w:p>
        </w:tc>
        <w:tc>
          <w:tcPr>
            <w:tcW w:w="596" w:type="pct"/>
            <w:tcBorders>
              <w:tl2br w:val="nil"/>
              <w:tr2bl w:val="nil"/>
            </w:tcBorders>
            <w:vAlign w:val="center"/>
          </w:tcPr>
          <w:p>
            <w:pPr>
              <w:spacing w:line="240" w:lineRule="auto"/>
              <w:ind w:firstLine="0" w:firstLineChars="0"/>
              <w:jc w:val="center"/>
              <w:rPr>
                <w:sz w:val="21"/>
                <w:szCs w:val="21"/>
              </w:rPr>
            </w:pPr>
            <w:r>
              <w:rPr>
                <w:sz w:val="21"/>
                <w:szCs w:val="21"/>
              </w:rPr>
              <w:t>50～150</w:t>
            </w:r>
          </w:p>
        </w:tc>
        <w:tc>
          <w:tcPr>
            <w:tcW w:w="634" w:type="pct"/>
            <w:tcBorders>
              <w:tl2br w:val="nil"/>
              <w:tr2bl w:val="nil"/>
            </w:tcBorders>
            <w:vAlign w:val="center"/>
          </w:tcPr>
          <w:p>
            <w:pPr>
              <w:spacing w:line="240" w:lineRule="auto"/>
              <w:ind w:firstLine="0" w:firstLineChars="0"/>
              <w:jc w:val="center"/>
              <w:rPr>
                <w:sz w:val="21"/>
                <w:szCs w:val="21"/>
              </w:rPr>
            </w:pPr>
            <w:r>
              <w:rPr>
                <w:sz w:val="21"/>
                <w:szCs w:val="21"/>
              </w:rPr>
              <w:t>50～200</w:t>
            </w:r>
          </w:p>
        </w:tc>
        <w:tc>
          <w:tcPr>
            <w:tcW w:w="582" w:type="pct"/>
            <w:tcBorders>
              <w:tl2br w:val="nil"/>
              <w:tr2bl w:val="nil"/>
            </w:tcBorders>
            <w:vAlign w:val="center"/>
          </w:tcPr>
          <w:p>
            <w:pPr>
              <w:spacing w:line="240" w:lineRule="auto"/>
              <w:ind w:firstLine="0" w:firstLineChars="0"/>
              <w:jc w:val="center"/>
              <w:rPr>
                <w:sz w:val="21"/>
                <w:szCs w:val="21"/>
              </w:rPr>
            </w:pPr>
            <w:r>
              <w:rPr>
                <w:sz w:val="21"/>
                <w:szCs w:val="21"/>
              </w:rPr>
              <w:t>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本环评取值</w:t>
            </w:r>
          </w:p>
        </w:tc>
        <w:tc>
          <w:tcPr>
            <w:tcW w:w="861" w:type="pct"/>
            <w:tcBorders>
              <w:tl2br w:val="nil"/>
              <w:tr2bl w:val="nil"/>
            </w:tcBorders>
            <w:vAlign w:val="center"/>
          </w:tcPr>
          <w:p>
            <w:pPr>
              <w:spacing w:line="240" w:lineRule="auto"/>
              <w:ind w:firstLine="0" w:firstLineChars="0"/>
              <w:jc w:val="center"/>
              <w:rPr>
                <w:sz w:val="21"/>
                <w:szCs w:val="21"/>
              </w:rPr>
            </w:pPr>
            <w:r>
              <w:rPr>
                <w:rFonts w:hint="eastAsia"/>
                <w:sz w:val="21"/>
                <w:szCs w:val="21"/>
              </w:rPr>
              <w:t>2000</w:t>
            </w:r>
          </w:p>
        </w:tc>
        <w:tc>
          <w:tcPr>
            <w:tcW w:w="714"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723"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596" w:type="pct"/>
            <w:tcBorders>
              <w:tl2br w:val="nil"/>
              <w:tr2bl w:val="nil"/>
            </w:tcBorders>
            <w:vAlign w:val="center"/>
          </w:tcPr>
          <w:p>
            <w:pPr>
              <w:spacing w:line="240" w:lineRule="auto"/>
              <w:ind w:firstLine="0" w:firstLineChars="0"/>
              <w:jc w:val="center"/>
              <w:rPr>
                <w:sz w:val="21"/>
                <w:szCs w:val="21"/>
              </w:rPr>
            </w:pPr>
            <w:r>
              <w:rPr>
                <w:rFonts w:hint="eastAsia"/>
                <w:sz w:val="21"/>
                <w:szCs w:val="21"/>
              </w:rPr>
              <w:t>150</w:t>
            </w:r>
          </w:p>
        </w:tc>
        <w:tc>
          <w:tcPr>
            <w:tcW w:w="634" w:type="pct"/>
            <w:tcBorders>
              <w:tl2br w:val="nil"/>
              <w:tr2bl w:val="nil"/>
            </w:tcBorders>
            <w:vAlign w:val="center"/>
          </w:tcPr>
          <w:p>
            <w:pPr>
              <w:spacing w:line="240" w:lineRule="auto"/>
              <w:ind w:firstLine="0" w:firstLineChars="0"/>
              <w:jc w:val="center"/>
              <w:rPr>
                <w:sz w:val="21"/>
                <w:szCs w:val="21"/>
              </w:rPr>
            </w:pPr>
            <w:r>
              <w:rPr>
                <w:rFonts w:hint="eastAsia"/>
                <w:sz w:val="21"/>
                <w:szCs w:val="21"/>
              </w:rPr>
              <w:t>200</w:t>
            </w:r>
          </w:p>
        </w:tc>
        <w:tc>
          <w:tcPr>
            <w:tcW w:w="582" w:type="pct"/>
            <w:tcBorders>
              <w:tl2br w:val="nil"/>
              <w:tr2bl w:val="nil"/>
            </w:tcBorders>
            <w:vAlign w:val="center"/>
          </w:tcPr>
          <w:p>
            <w:pPr>
              <w:spacing w:line="240" w:lineRule="auto"/>
              <w:ind w:firstLine="0" w:firstLineChars="0"/>
              <w:jc w:val="center"/>
              <w:rPr>
                <w:sz w:val="21"/>
                <w:szCs w:val="21"/>
              </w:rPr>
            </w:pPr>
            <w:r>
              <w:rPr>
                <w:rFonts w:hint="eastAsia"/>
                <w:sz w:val="21"/>
                <w:szCs w:val="21"/>
              </w:rPr>
              <w:t>7.5</w:t>
            </w:r>
          </w:p>
        </w:tc>
      </w:tr>
    </w:tbl>
    <w:p>
      <w:pPr>
        <w:ind w:firstLine="482"/>
        <w:rPr>
          <w:b/>
          <w:bCs/>
        </w:rPr>
      </w:pPr>
      <w:r>
        <w:rPr>
          <w:rFonts w:hint="eastAsia"/>
          <w:b/>
          <w:bCs/>
        </w:rPr>
        <w:t>（3）牛羊预制品生产线生产废水</w:t>
      </w:r>
    </w:p>
    <w:p>
      <w:pPr>
        <w:ind w:firstLine="480"/>
      </w:pPr>
      <w:r>
        <w:rPr>
          <w:rFonts w:hint="eastAsia"/>
        </w:rPr>
        <w:t>牛羊预制品生产线生产废水是指牛羊预制品生产线生产设备清洗废水、牛羊肉清洗废水、蔬菜清洗废水、牛羊肉焯水废水、牛肉卤水和牛羊肉蒸煮水。</w:t>
      </w:r>
      <w:r>
        <w:rPr>
          <w:rFonts w:hint="eastAsia"/>
          <w:lang w:val="en-US" w:eastAsia="zh-CN"/>
        </w:rPr>
        <w:t>根据上文水平衡分析可知，</w:t>
      </w:r>
      <w:r>
        <w:rPr>
          <w:rFonts w:hint="eastAsia"/>
        </w:rPr>
        <w:t>牛羊预制品生产线废水产生量为</w:t>
      </w:r>
      <w:r>
        <w:rPr>
          <w:rFonts w:hint="eastAsia"/>
          <w:lang w:val="en-US" w:eastAsia="zh-CN"/>
        </w:rPr>
        <w:t>197.26</w:t>
      </w:r>
      <w:r>
        <w:rPr>
          <w:rFonts w:hint="eastAsia"/>
        </w:rPr>
        <w:t>m</w:t>
      </w:r>
      <w:r>
        <w:rPr>
          <w:rFonts w:hint="eastAsia"/>
          <w:vertAlign w:val="superscript"/>
        </w:rPr>
        <w:t>3</w:t>
      </w:r>
      <w:r>
        <w:rPr>
          <w:rFonts w:hint="eastAsia"/>
        </w:rPr>
        <w:t>/d（</w:t>
      </w:r>
      <w:r>
        <w:rPr>
          <w:rFonts w:hint="eastAsia"/>
          <w:lang w:val="en-US" w:eastAsia="zh-CN"/>
        </w:rPr>
        <w:t>72000</w:t>
      </w:r>
      <w:r>
        <w:rPr>
          <w:rFonts w:hint="eastAsia"/>
        </w:rPr>
        <w:t>m</w:t>
      </w:r>
      <w:r>
        <w:rPr>
          <w:rFonts w:hint="eastAsia"/>
          <w:vertAlign w:val="superscript"/>
        </w:rPr>
        <w:t>3</w:t>
      </w:r>
      <w:r>
        <w:rPr>
          <w:rFonts w:hint="eastAsia"/>
        </w:rPr>
        <w:t>/a）</w:t>
      </w:r>
      <w:r>
        <w:rPr>
          <w:rFonts w:hint="eastAsia"/>
          <w:lang w:eastAsia="zh-CN"/>
        </w:rPr>
        <w:t>，</w:t>
      </w:r>
      <w:r>
        <w:rPr>
          <w:rFonts w:hint="eastAsia"/>
        </w:rPr>
        <w:t>牛羊废水中的污染物主要以CODcr、BOD</w:t>
      </w:r>
      <w:r>
        <w:rPr>
          <w:rFonts w:hint="eastAsia"/>
          <w:vertAlign w:val="subscript"/>
        </w:rPr>
        <w:t>5</w:t>
      </w:r>
      <w:r>
        <w:rPr>
          <w:rFonts w:hint="eastAsia"/>
        </w:rPr>
        <w:t>、SS、NH</w:t>
      </w:r>
      <w:r>
        <w:rPr>
          <w:rFonts w:hint="eastAsia"/>
          <w:vertAlign w:val="subscript"/>
        </w:rPr>
        <w:t>3</w:t>
      </w:r>
      <w:r>
        <w:rPr>
          <w:rFonts w:hint="eastAsia"/>
        </w:rPr>
        <w:t>-N、动植物油为主，牛羊预制品生产线废水经污水处理站处理达标后用于厂区饲草区灌溉。牛羊预制品生产线废水各污染物的产生浓度参照《屠宰与肉类加工废水治理工程技术规范》（HJ2004—2010）中的“表4—肉类加工废水水质设计取值”中的数据</w:t>
      </w:r>
      <w:r>
        <w:rPr>
          <w:rFonts w:hint="eastAsia"/>
          <w:lang w:val="en-US" w:eastAsia="zh-CN"/>
        </w:rPr>
        <w:t>确定</w:t>
      </w:r>
      <w:r>
        <w:rPr>
          <w:rFonts w:hint="eastAsia"/>
        </w:rPr>
        <w:t>，本环评核算时按最不利因素考虑，即取最大值，具体情况详见下表。</w:t>
      </w:r>
    </w:p>
    <w:p>
      <w:pPr>
        <w:spacing w:line="240" w:lineRule="auto"/>
        <w:ind w:firstLine="0" w:firstLineChars="0"/>
        <w:jc w:val="center"/>
      </w:pPr>
      <w:r>
        <w:rPr>
          <w:b/>
          <w:bCs/>
        </w:rPr>
        <w:t>表</w:t>
      </w:r>
      <w:r>
        <w:rPr>
          <w:rFonts w:hint="eastAsia"/>
          <w:b/>
          <w:bCs/>
          <w:lang w:val="en-US" w:eastAsia="zh-CN"/>
        </w:rPr>
        <w:t>3.17</w:t>
      </w:r>
      <w:r>
        <w:rPr>
          <w:rFonts w:hint="eastAsia"/>
          <w:b/>
          <w:bCs/>
        </w:rPr>
        <w:t xml:space="preserve">  牛羊预制品生产线废水各污染因子浓度一览表</w:t>
      </w:r>
      <w:r>
        <w:rPr>
          <w:b/>
          <w:bCs/>
        </w:rPr>
        <w:t xml:space="preserve"> </w:t>
      </w:r>
      <w:r>
        <w:rPr>
          <w:rFonts w:hint="eastAsia"/>
          <w:b/>
          <w:bCs/>
        </w:rPr>
        <w:t xml:space="preserve"> 单位：</w:t>
      </w:r>
      <w:r>
        <w:rPr>
          <w:b/>
          <w:bCs/>
        </w:rPr>
        <w:t>mg/L</w:t>
      </w:r>
      <w:r>
        <w:rPr>
          <w:rFonts w:hint="eastAsia"/>
          <w:b/>
          <w:bCs/>
        </w:rPr>
        <w:t>（</w:t>
      </w:r>
      <w:r>
        <w:rPr>
          <w:b/>
          <w:bCs/>
        </w:rPr>
        <w:t>pH</w:t>
      </w:r>
      <w:r>
        <w:rPr>
          <w:rFonts w:hint="eastAsia"/>
          <w:b/>
          <w:bCs/>
        </w:rPr>
        <w:t>除外）</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716"/>
        <w:gridCol w:w="1423"/>
        <w:gridCol w:w="1441"/>
        <w:gridCol w:w="1188"/>
        <w:gridCol w:w="1264"/>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b/>
                <w:bCs/>
                <w:sz w:val="21"/>
                <w:szCs w:val="21"/>
              </w:rPr>
              <w:t>污染物指标</w:t>
            </w:r>
          </w:p>
        </w:tc>
        <w:tc>
          <w:tcPr>
            <w:tcW w:w="861" w:type="pct"/>
            <w:tcBorders>
              <w:tl2br w:val="nil"/>
              <w:tr2bl w:val="nil"/>
            </w:tcBorders>
            <w:vAlign w:val="center"/>
          </w:tcPr>
          <w:p>
            <w:pPr>
              <w:spacing w:line="240" w:lineRule="auto"/>
              <w:ind w:firstLine="0" w:firstLineChars="0"/>
              <w:jc w:val="center"/>
              <w:rPr>
                <w:sz w:val="21"/>
                <w:szCs w:val="21"/>
              </w:rPr>
            </w:pPr>
            <w:r>
              <w:rPr>
                <w:sz w:val="21"/>
                <w:szCs w:val="21"/>
              </w:rPr>
              <w:t>CODcr</w:t>
            </w:r>
          </w:p>
        </w:tc>
        <w:tc>
          <w:tcPr>
            <w:tcW w:w="714" w:type="pct"/>
            <w:tcBorders>
              <w:tl2br w:val="nil"/>
              <w:tr2bl w:val="nil"/>
            </w:tcBorders>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723" w:type="pct"/>
            <w:tcBorders>
              <w:tl2br w:val="nil"/>
              <w:tr2bl w:val="nil"/>
            </w:tcBorders>
            <w:vAlign w:val="center"/>
          </w:tcPr>
          <w:p>
            <w:pPr>
              <w:spacing w:line="240" w:lineRule="auto"/>
              <w:ind w:firstLine="0" w:firstLineChars="0"/>
              <w:jc w:val="center"/>
              <w:rPr>
                <w:sz w:val="21"/>
                <w:szCs w:val="21"/>
              </w:rPr>
            </w:pPr>
            <w:r>
              <w:rPr>
                <w:sz w:val="21"/>
                <w:szCs w:val="21"/>
              </w:rPr>
              <w:t>SS</w:t>
            </w:r>
          </w:p>
        </w:tc>
        <w:tc>
          <w:tcPr>
            <w:tcW w:w="596"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r>
              <w:rPr>
                <w:sz w:val="21"/>
                <w:szCs w:val="21"/>
              </w:rPr>
              <w:t>-N</w:t>
            </w:r>
          </w:p>
        </w:tc>
        <w:tc>
          <w:tcPr>
            <w:tcW w:w="634" w:type="pct"/>
            <w:tcBorders>
              <w:tl2br w:val="nil"/>
              <w:tr2bl w:val="nil"/>
            </w:tcBorders>
            <w:vAlign w:val="center"/>
          </w:tcPr>
          <w:p>
            <w:pPr>
              <w:spacing w:line="240" w:lineRule="auto"/>
              <w:ind w:firstLine="0" w:firstLineChars="0"/>
              <w:jc w:val="center"/>
              <w:rPr>
                <w:sz w:val="21"/>
                <w:szCs w:val="21"/>
              </w:rPr>
            </w:pPr>
            <w:r>
              <w:rPr>
                <w:sz w:val="21"/>
                <w:szCs w:val="21"/>
              </w:rPr>
              <w:t>动植物油</w:t>
            </w:r>
          </w:p>
        </w:tc>
        <w:tc>
          <w:tcPr>
            <w:tcW w:w="582" w:type="pct"/>
            <w:tcBorders>
              <w:tl2br w:val="nil"/>
              <w:tr2bl w:val="nil"/>
            </w:tcBorders>
            <w:vAlign w:val="center"/>
          </w:tcPr>
          <w:p>
            <w:pPr>
              <w:spacing w:line="240" w:lineRule="auto"/>
              <w:ind w:firstLine="0" w:firstLineChars="0"/>
              <w:jc w:val="center"/>
              <w:rPr>
                <w:sz w:val="21"/>
                <w:szCs w:val="21"/>
              </w:rPr>
            </w:pPr>
            <w:r>
              <w:rPr>
                <w:sz w:val="21"/>
                <w:szCs w:val="21"/>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b/>
                <w:bCs/>
                <w:sz w:val="21"/>
                <w:szCs w:val="21"/>
              </w:rPr>
              <w:t>废水浓度范围</w:t>
            </w:r>
          </w:p>
        </w:tc>
        <w:tc>
          <w:tcPr>
            <w:tcW w:w="861" w:type="pct"/>
            <w:tcBorders>
              <w:tl2br w:val="nil"/>
              <w:tr2bl w:val="nil"/>
            </w:tcBorders>
            <w:vAlign w:val="center"/>
          </w:tcPr>
          <w:p>
            <w:pPr>
              <w:spacing w:line="240" w:lineRule="auto"/>
              <w:ind w:firstLine="0" w:firstLineChars="0"/>
              <w:jc w:val="center"/>
              <w:rPr>
                <w:sz w:val="21"/>
                <w:szCs w:val="21"/>
              </w:rPr>
            </w:pPr>
            <w:r>
              <w:rPr>
                <w:rFonts w:hint="eastAsia"/>
                <w:sz w:val="21"/>
                <w:szCs w:val="21"/>
              </w:rPr>
              <w:t>800</w:t>
            </w:r>
            <w:r>
              <w:rPr>
                <w:sz w:val="21"/>
                <w:szCs w:val="21"/>
              </w:rPr>
              <w:t>～2000</w:t>
            </w:r>
          </w:p>
        </w:tc>
        <w:tc>
          <w:tcPr>
            <w:tcW w:w="714" w:type="pct"/>
            <w:tcBorders>
              <w:tl2br w:val="nil"/>
              <w:tr2bl w:val="nil"/>
            </w:tcBorders>
            <w:vAlign w:val="center"/>
          </w:tcPr>
          <w:p>
            <w:pPr>
              <w:spacing w:line="240" w:lineRule="auto"/>
              <w:ind w:firstLine="0" w:firstLineChars="0"/>
              <w:jc w:val="center"/>
              <w:rPr>
                <w:sz w:val="21"/>
                <w:szCs w:val="21"/>
              </w:rPr>
            </w:pPr>
            <w:r>
              <w:rPr>
                <w:rFonts w:hint="eastAsia"/>
                <w:sz w:val="21"/>
                <w:szCs w:val="21"/>
              </w:rPr>
              <w:t>500</w:t>
            </w:r>
            <w:r>
              <w:rPr>
                <w:sz w:val="21"/>
                <w:szCs w:val="21"/>
              </w:rPr>
              <w:t>～1000</w:t>
            </w:r>
          </w:p>
        </w:tc>
        <w:tc>
          <w:tcPr>
            <w:tcW w:w="723" w:type="pct"/>
            <w:tcBorders>
              <w:tl2br w:val="nil"/>
              <w:tr2bl w:val="nil"/>
            </w:tcBorders>
            <w:vAlign w:val="center"/>
          </w:tcPr>
          <w:p>
            <w:pPr>
              <w:spacing w:line="240" w:lineRule="auto"/>
              <w:ind w:firstLine="0" w:firstLineChars="0"/>
              <w:jc w:val="center"/>
              <w:rPr>
                <w:sz w:val="21"/>
                <w:szCs w:val="21"/>
              </w:rPr>
            </w:pPr>
            <w:r>
              <w:rPr>
                <w:rFonts w:hint="eastAsia"/>
                <w:sz w:val="21"/>
                <w:szCs w:val="21"/>
              </w:rPr>
              <w:t>500</w:t>
            </w:r>
            <w:r>
              <w:rPr>
                <w:sz w:val="21"/>
                <w:szCs w:val="21"/>
              </w:rPr>
              <w:t>～1000</w:t>
            </w:r>
          </w:p>
        </w:tc>
        <w:tc>
          <w:tcPr>
            <w:tcW w:w="596" w:type="pct"/>
            <w:tcBorders>
              <w:tl2br w:val="nil"/>
              <w:tr2bl w:val="nil"/>
            </w:tcBorders>
            <w:vAlign w:val="center"/>
          </w:tcPr>
          <w:p>
            <w:pPr>
              <w:spacing w:line="240" w:lineRule="auto"/>
              <w:ind w:firstLine="0" w:firstLineChars="0"/>
              <w:jc w:val="center"/>
              <w:rPr>
                <w:sz w:val="21"/>
                <w:szCs w:val="21"/>
              </w:rPr>
            </w:pPr>
            <w:r>
              <w:rPr>
                <w:rFonts w:hint="eastAsia"/>
                <w:sz w:val="21"/>
                <w:szCs w:val="21"/>
              </w:rPr>
              <w:t>25</w:t>
            </w:r>
            <w:r>
              <w:rPr>
                <w:sz w:val="21"/>
                <w:szCs w:val="21"/>
              </w:rPr>
              <w:t>～</w:t>
            </w:r>
            <w:r>
              <w:rPr>
                <w:rFonts w:hint="eastAsia"/>
                <w:sz w:val="21"/>
                <w:szCs w:val="21"/>
              </w:rPr>
              <w:t>70</w:t>
            </w:r>
          </w:p>
        </w:tc>
        <w:tc>
          <w:tcPr>
            <w:tcW w:w="634"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r>
              <w:rPr>
                <w:sz w:val="21"/>
                <w:szCs w:val="21"/>
              </w:rPr>
              <w:t>～</w:t>
            </w:r>
            <w:r>
              <w:rPr>
                <w:rFonts w:hint="eastAsia"/>
                <w:sz w:val="21"/>
                <w:szCs w:val="21"/>
              </w:rPr>
              <w:t>1</w:t>
            </w:r>
            <w:r>
              <w:rPr>
                <w:sz w:val="21"/>
                <w:szCs w:val="21"/>
              </w:rPr>
              <w:t>00</w:t>
            </w:r>
          </w:p>
        </w:tc>
        <w:tc>
          <w:tcPr>
            <w:tcW w:w="582" w:type="pct"/>
            <w:tcBorders>
              <w:tl2br w:val="nil"/>
              <w:tr2bl w:val="nil"/>
            </w:tcBorders>
            <w:vAlign w:val="center"/>
          </w:tcPr>
          <w:p>
            <w:pPr>
              <w:spacing w:line="240" w:lineRule="auto"/>
              <w:ind w:firstLine="0" w:firstLineChars="0"/>
              <w:jc w:val="center"/>
              <w:rPr>
                <w:sz w:val="21"/>
                <w:szCs w:val="21"/>
              </w:rPr>
            </w:pPr>
            <w:r>
              <w:rPr>
                <w:sz w:val="21"/>
                <w:szCs w:val="21"/>
              </w:rPr>
              <w:t>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本环评取值</w:t>
            </w:r>
          </w:p>
        </w:tc>
        <w:tc>
          <w:tcPr>
            <w:tcW w:w="861" w:type="pct"/>
            <w:tcBorders>
              <w:tl2br w:val="nil"/>
              <w:tr2bl w:val="nil"/>
            </w:tcBorders>
            <w:vAlign w:val="center"/>
          </w:tcPr>
          <w:p>
            <w:pPr>
              <w:spacing w:line="240" w:lineRule="auto"/>
              <w:ind w:firstLine="0" w:firstLineChars="0"/>
              <w:jc w:val="center"/>
              <w:rPr>
                <w:sz w:val="21"/>
                <w:szCs w:val="21"/>
              </w:rPr>
            </w:pPr>
            <w:r>
              <w:rPr>
                <w:rFonts w:hint="eastAsia"/>
                <w:sz w:val="21"/>
                <w:szCs w:val="21"/>
              </w:rPr>
              <w:t>2000</w:t>
            </w:r>
          </w:p>
        </w:tc>
        <w:tc>
          <w:tcPr>
            <w:tcW w:w="714"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723"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596" w:type="pct"/>
            <w:tcBorders>
              <w:tl2br w:val="nil"/>
              <w:tr2bl w:val="nil"/>
            </w:tcBorders>
            <w:vAlign w:val="center"/>
          </w:tcPr>
          <w:p>
            <w:pPr>
              <w:spacing w:line="240" w:lineRule="auto"/>
              <w:ind w:firstLine="0" w:firstLineChars="0"/>
              <w:jc w:val="center"/>
              <w:rPr>
                <w:sz w:val="21"/>
                <w:szCs w:val="21"/>
              </w:rPr>
            </w:pPr>
            <w:r>
              <w:rPr>
                <w:rFonts w:hint="eastAsia"/>
                <w:sz w:val="21"/>
                <w:szCs w:val="21"/>
              </w:rPr>
              <w:t>70</w:t>
            </w:r>
          </w:p>
        </w:tc>
        <w:tc>
          <w:tcPr>
            <w:tcW w:w="634"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582" w:type="pct"/>
            <w:tcBorders>
              <w:tl2br w:val="nil"/>
              <w:tr2bl w:val="nil"/>
            </w:tcBorders>
            <w:vAlign w:val="center"/>
          </w:tcPr>
          <w:p>
            <w:pPr>
              <w:spacing w:line="240" w:lineRule="auto"/>
              <w:ind w:firstLine="0" w:firstLineChars="0"/>
              <w:jc w:val="center"/>
              <w:rPr>
                <w:sz w:val="21"/>
                <w:szCs w:val="21"/>
              </w:rPr>
            </w:pPr>
            <w:r>
              <w:rPr>
                <w:rFonts w:hint="eastAsia"/>
                <w:sz w:val="21"/>
                <w:szCs w:val="21"/>
              </w:rPr>
              <w:t>7.5</w:t>
            </w:r>
          </w:p>
        </w:tc>
      </w:tr>
    </w:tbl>
    <w:p>
      <w:pPr>
        <w:ind w:firstLine="482"/>
        <w:rPr>
          <w:b/>
          <w:bCs/>
        </w:rPr>
      </w:pPr>
      <w:r>
        <w:rPr>
          <w:rFonts w:hint="eastAsia"/>
          <w:b/>
          <w:bCs/>
        </w:rPr>
        <w:t>（4）羊杂预制品生产线废水</w:t>
      </w:r>
    </w:p>
    <w:p>
      <w:pPr>
        <w:ind w:firstLine="480"/>
      </w:pPr>
      <w:r>
        <w:rPr>
          <w:rFonts w:hint="eastAsia"/>
        </w:rPr>
        <w:t>羊杂预制品主要为蒸煮类制品，羊杂预制品生产线废水主要包括羊杂原料清洗废水、生产设备清洗废水以及蒸煮完成后的清洗废水</w:t>
      </w:r>
      <w:r>
        <w:rPr>
          <w:rFonts w:hint="eastAsia"/>
          <w:lang w:eastAsia="zh-CN"/>
        </w:rPr>
        <w:t>。</w:t>
      </w:r>
      <w:r>
        <w:rPr>
          <w:rFonts w:hint="eastAsia"/>
          <w:lang w:val="en-US" w:eastAsia="zh-CN"/>
        </w:rPr>
        <w:t>根据上文水平衡分析可知，</w:t>
      </w:r>
      <w:r>
        <w:rPr>
          <w:rFonts w:hint="eastAsia"/>
        </w:rPr>
        <w:t>羊杂预制品生产线废水产生量为</w:t>
      </w:r>
      <w:r>
        <w:rPr>
          <w:rFonts w:hint="eastAsia"/>
          <w:lang w:val="en-US" w:eastAsia="zh-CN"/>
        </w:rPr>
        <w:t>26.30</w:t>
      </w:r>
      <w:r>
        <w:rPr>
          <w:rFonts w:hint="eastAsia"/>
        </w:rPr>
        <w:t>m</w:t>
      </w:r>
      <w:r>
        <w:rPr>
          <w:rFonts w:hint="eastAsia"/>
          <w:vertAlign w:val="superscript"/>
        </w:rPr>
        <w:t>3</w:t>
      </w:r>
      <w:r>
        <w:rPr>
          <w:rFonts w:hint="eastAsia"/>
        </w:rPr>
        <w:t>/d（</w:t>
      </w:r>
      <w:r>
        <w:rPr>
          <w:rFonts w:hint="eastAsia"/>
          <w:lang w:val="en-US" w:eastAsia="zh-CN"/>
        </w:rPr>
        <w:t>9600</w:t>
      </w:r>
      <w:r>
        <w:rPr>
          <w:rFonts w:hint="eastAsia"/>
        </w:rPr>
        <w:t>m</w:t>
      </w:r>
      <w:r>
        <w:rPr>
          <w:rFonts w:hint="eastAsia"/>
          <w:vertAlign w:val="superscript"/>
        </w:rPr>
        <w:t>3</w:t>
      </w:r>
      <w:r>
        <w:rPr>
          <w:rFonts w:hint="eastAsia"/>
        </w:rPr>
        <w:t>/a）。废水中的污染物主要以CODcr、BOD</w:t>
      </w:r>
      <w:r>
        <w:rPr>
          <w:rFonts w:hint="eastAsia"/>
          <w:vertAlign w:val="subscript"/>
        </w:rPr>
        <w:t>5</w:t>
      </w:r>
      <w:r>
        <w:rPr>
          <w:rFonts w:hint="eastAsia"/>
        </w:rPr>
        <w:t>、SS、NH</w:t>
      </w:r>
      <w:r>
        <w:rPr>
          <w:rFonts w:hint="eastAsia"/>
          <w:vertAlign w:val="subscript"/>
        </w:rPr>
        <w:t>3</w:t>
      </w:r>
      <w:r>
        <w:rPr>
          <w:rFonts w:hint="eastAsia"/>
        </w:rPr>
        <w:t>-N、动植物油为主，羊杂预制品生产线废水经厂区污水处理站处理达标后用于厂区饲草区灌溉。羊杂预制品生产线废水各污染物的产生浓度参照《屠宰与肉类加工废水治理工程技术规范》（HJ2004—2010）中的“表4—肉类加工废水水质设计取值”中的数据</w:t>
      </w:r>
      <w:r>
        <w:rPr>
          <w:rFonts w:hint="eastAsia"/>
          <w:lang w:val="en-US" w:eastAsia="zh-CN"/>
        </w:rPr>
        <w:t>确定</w:t>
      </w:r>
      <w:r>
        <w:rPr>
          <w:rFonts w:hint="eastAsia"/>
        </w:rPr>
        <w:t>，本环评核算时取中间值，具体情况详见下表。</w:t>
      </w:r>
    </w:p>
    <w:p>
      <w:pPr>
        <w:spacing w:line="240" w:lineRule="auto"/>
        <w:ind w:firstLine="0" w:firstLineChars="0"/>
      </w:pPr>
      <w:r>
        <w:rPr>
          <w:b/>
          <w:bCs/>
        </w:rPr>
        <w:t>表</w:t>
      </w:r>
      <w:r>
        <w:rPr>
          <w:rFonts w:hint="eastAsia"/>
          <w:b/>
          <w:bCs/>
          <w:lang w:val="en-US" w:eastAsia="zh-CN"/>
        </w:rPr>
        <w:t>3.18</w:t>
      </w:r>
      <w:r>
        <w:rPr>
          <w:rFonts w:hint="eastAsia"/>
          <w:b/>
          <w:bCs/>
        </w:rPr>
        <w:t xml:space="preserve">  羊杂预制品生产线废水各污染因子浓度一览表</w:t>
      </w:r>
      <w:r>
        <w:rPr>
          <w:b/>
          <w:bCs/>
        </w:rPr>
        <w:t xml:space="preserve"> </w:t>
      </w:r>
      <w:r>
        <w:rPr>
          <w:rFonts w:hint="eastAsia"/>
          <w:b/>
          <w:bCs/>
        </w:rPr>
        <w:t xml:space="preserve"> 单位：</w:t>
      </w:r>
      <w:r>
        <w:rPr>
          <w:b/>
          <w:bCs/>
        </w:rPr>
        <w:t>mg/L</w:t>
      </w:r>
      <w:r>
        <w:rPr>
          <w:rFonts w:hint="eastAsia"/>
          <w:b/>
          <w:bCs/>
        </w:rPr>
        <w:t>（</w:t>
      </w:r>
      <w:r>
        <w:rPr>
          <w:b/>
          <w:bCs/>
        </w:rPr>
        <w:t>pH</w:t>
      </w:r>
      <w:r>
        <w:rPr>
          <w:rFonts w:hint="eastAsia"/>
          <w:b/>
          <w:bCs/>
        </w:rPr>
        <w:t>除外）</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716"/>
        <w:gridCol w:w="1423"/>
        <w:gridCol w:w="1441"/>
        <w:gridCol w:w="1188"/>
        <w:gridCol w:w="1264"/>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b/>
                <w:bCs/>
                <w:sz w:val="21"/>
                <w:szCs w:val="21"/>
              </w:rPr>
              <w:t>污染物指标</w:t>
            </w:r>
          </w:p>
        </w:tc>
        <w:tc>
          <w:tcPr>
            <w:tcW w:w="861" w:type="pct"/>
            <w:tcBorders>
              <w:tl2br w:val="nil"/>
              <w:tr2bl w:val="nil"/>
            </w:tcBorders>
            <w:vAlign w:val="center"/>
          </w:tcPr>
          <w:p>
            <w:pPr>
              <w:spacing w:line="240" w:lineRule="auto"/>
              <w:ind w:firstLine="0" w:firstLineChars="0"/>
              <w:jc w:val="center"/>
              <w:rPr>
                <w:sz w:val="21"/>
                <w:szCs w:val="21"/>
              </w:rPr>
            </w:pPr>
            <w:r>
              <w:rPr>
                <w:sz w:val="21"/>
                <w:szCs w:val="21"/>
              </w:rPr>
              <w:t>CODcr</w:t>
            </w:r>
          </w:p>
        </w:tc>
        <w:tc>
          <w:tcPr>
            <w:tcW w:w="714" w:type="pct"/>
            <w:tcBorders>
              <w:tl2br w:val="nil"/>
              <w:tr2bl w:val="nil"/>
            </w:tcBorders>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723" w:type="pct"/>
            <w:tcBorders>
              <w:tl2br w:val="nil"/>
              <w:tr2bl w:val="nil"/>
            </w:tcBorders>
            <w:vAlign w:val="center"/>
          </w:tcPr>
          <w:p>
            <w:pPr>
              <w:spacing w:line="240" w:lineRule="auto"/>
              <w:ind w:firstLine="0" w:firstLineChars="0"/>
              <w:jc w:val="center"/>
              <w:rPr>
                <w:sz w:val="21"/>
                <w:szCs w:val="21"/>
              </w:rPr>
            </w:pPr>
            <w:r>
              <w:rPr>
                <w:sz w:val="21"/>
                <w:szCs w:val="21"/>
              </w:rPr>
              <w:t>SS</w:t>
            </w:r>
          </w:p>
        </w:tc>
        <w:tc>
          <w:tcPr>
            <w:tcW w:w="596"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r>
              <w:rPr>
                <w:sz w:val="21"/>
                <w:szCs w:val="21"/>
              </w:rPr>
              <w:t>-N</w:t>
            </w:r>
          </w:p>
        </w:tc>
        <w:tc>
          <w:tcPr>
            <w:tcW w:w="634" w:type="pct"/>
            <w:tcBorders>
              <w:tl2br w:val="nil"/>
              <w:tr2bl w:val="nil"/>
            </w:tcBorders>
            <w:vAlign w:val="center"/>
          </w:tcPr>
          <w:p>
            <w:pPr>
              <w:spacing w:line="240" w:lineRule="auto"/>
              <w:ind w:firstLine="0" w:firstLineChars="0"/>
              <w:jc w:val="center"/>
              <w:rPr>
                <w:sz w:val="21"/>
                <w:szCs w:val="21"/>
              </w:rPr>
            </w:pPr>
            <w:r>
              <w:rPr>
                <w:sz w:val="21"/>
                <w:szCs w:val="21"/>
              </w:rPr>
              <w:t>动植物油</w:t>
            </w:r>
          </w:p>
        </w:tc>
        <w:tc>
          <w:tcPr>
            <w:tcW w:w="582" w:type="pct"/>
            <w:tcBorders>
              <w:tl2br w:val="nil"/>
              <w:tr2bl w:val="nil"/>
            </w:tcBorders>
            <w:vAlign w:val="center"/>
          </w:tcPr>
          <w:p>
            <w:pPr>
              <w:spacing w:line="240" w:lineRule="auto"/>
              <w:ind w:firstLine="0" w:firstLineChars="0"/>
              <w:jc w:val="center"/>
              <w:rPr>
                <w:sz w:val="21"/>
                <w:szCs w:val="21"/>
              </w:rPr>
            </w:pPr>
            <w:r>
              <w:rPr>
                <w:sz w:val="21"/>
                <w:szCs w:val="21"/>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b/>
                <w:bCs/>
                <w:sz w:val="21"/>
                <w:szCs w:val="21"/>
              </w:rPr>
              <w:t>废水浓度范围</w:t>
            </w:r>
          </w:p>
        </w:tc>
        <w:tc>
          <w:tcPr>
            <w:tcW w:w="861" w:type="pct"/>
            <w:tcBorders>
              <w:tl2br w:val="nil"/>
              <w:tr2bl w:val="nil"/>
            </w:tcBorders>
            <w:vAlign w:val="center"/>
          </w:tcPr>
          <w:p>
            <w:pPr>
              <w:spacing w:line="240" w:lineRule="auto"/>
              <w:ind w:firstLine="0" w:firstLineChars="0"/>
              <w:jc w:val="center"/>
              <w:rPr>
                <w:sz w:val="21"/>
                <w:szCs w:val="21"/>
              </w:rPr>
            </w:pPr>
            <w:r>
              <w:rPr>
                <w:rFonts w:hint="eastAsia"/>
                <w:sz w:val="21"/>
                <w:szCs w:val="21"/>
              </w:rPr>
              <w:t>800</w:t>
            </w:r>
            <w:r>
              <w:rPr>
                <w:sz w:val="21"/>
                <w:szCs w:val="21"/>
              </w:rPr>
              <w:t>～2000</w:t>
            </w:r>
          </w:p>
        </w:tc>
        <w:tc>
          <w:tcPr>
            <w:tcW w:w="714" w:type="pct"/>
            <w:tcBorders>
              <w:tl2br w:val="nil"/>
              <w:tr2bl w:val="nil"/>
            </w:tcBorders>
            <w:vAlign w:val="center"/>
          </w:tcPr>
          <w:p>
            <w:pPr>
              <w:spacing w:line="240" w:lineRule="auto"/>
              <w:ind w:firstLine="0" w:firstLineChars="0"/>
              <w:jc w:val="center"/>
              <w:rPr>
                <w:sz w:val="21"/>
                <w:szCs w:val="21"/>
              </w:rPr>
            </w:pPr>
            <w:r>
              <w:rPr>
                <w:rFonts w:hint="eastAsia"/>
                <w:sz w:val="21"/>
                <w:szCs w:val="21"/>
              </w:rPr>
              <w:t>500</w:t>
            </w:r>
            <w:r>
              <w:rPr>
                <w:sz w:val="21"/>
                <w:szCs w:val="21"/>
              </w:rPr>
              <w:t>～1000</w:t>
            </w:r>
          </w:p>
        </w:tc>
        <w:tc>
          <w:tcPr>
            <w:tcW w:w="723" w:type="pct"/>
            <w:tcBorders>
              <w:tl2br w:val="nil"/>
              <w:tr2bl w:val="nil"/>
            </w:tcBorders>
            <w:vAlign w:val="center"/>
          </w:tcPr>
          <w:p>
            <w:pPr>
              <w:spacing w:line="240" w:lineRule="auto"/>
              <w:ind w:firstLine="0" w:firstLineChars="0"/>
              <w:jc w:val="center"/>
              <w:rPr>
                <w:sz w:val="21"/>
                <w:szCs w:val="21"/>
              </w:rPr>
            </w:pPr>
            <w:r>
              <w:rPr>
                <w:rFonts w:hint="eastAsia"/>
                <w:sz w:val="21"/>
                <w:szCs w:val="21"/>
              </w:rPr>
              <w:t>500</w:t>
            </w:r>
            <w:r>
              <w:rPr>
                <w:sz w:val="21"/>
                <w:szCs w:val="21"/>
              </w:rPr>
              <w:t>～1000</w:t>
            </w:r>
          </w:p>
        </w:tc>
        <w:tc>
          <w:tcPr>
            <w:tcW w:w="596" w:type="pct"/>
            <w:tcBorders>
              <w:tl2br w:val="nil"/>
              <w:tr2bl w:val="nil"/>
            </w:tcBorders>
            <w:vAlign w:val="center"/>
          </w:tcPr>
          <w:p>
            <w:pPr>
              <w:spacing w:line="240" w:lineRule="auto"/>
              <w:ind w:firstLine="0" w:firstLineChars="0"/>
              <w:jc w:val="center"/>
              <w:rPr>
                <w:sz w:val="21"/>
                <w:szCs w:val="21"/>
              </w:rPr>
            </w:pPr>
            <w:r>
              <w:rPr>
                <w:rFonts w:hint="eastAsia"/>
                <w:sz w:val="21"/>
                <w:szCs w:val="21"/>
              </w:rPr>
              <w:t>25</w:t>
            </w:r>
            <w:r>
              <w:rPr>
                <w:sz w:val="21"/>
                <w:szCs w:val="21"/>
              </w:rPr>
              <w:t>～</w:t>
            </w:r>
            <w:r>
              <w:rPr>
                <w:rFonts w:hint="eastAsia"/>
                <w:sz w:val="21"/>
                <w:szCs w:val="21"/>
              </w:rPr>
              <w:t>70</w:t>
            </w:r>
          </w:p>
        </w:tc>
        <w:tc>
          <w:tcPr>
            <w:tcW w:w="634"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r>
              <w:rPr>
                <w:sz w:val="21"/>
                <w:szCs w:val="21"/>
              </w:rPr>
              <w:t>～</w:t>
            </w:r>
            <w:r>
              <w:rPr>
                <w:rFonts w:hint="eastAsia"/>
                <w:sz w:val="21"/>
                <w:szCs w:val="21"/>
              </w:rPr>
              <w:t>1</w:t>
            </w:r>
            <w:r>
              <w:rPr>
                <w:sz w:val="21"/>
                <w:szCs w:val="21"/>
              </w:rPr>
              <w:t>00</w:t>
            </w:r>
          </w:p>
        </w:tc>
        <w:tc>
          <w:tcPr>
            <w:tcW w:w="582" w:type="pct"/>
            <w:tcBorders>
              <w:tl2br w:val="nil"/>
              <w:tr2bl w:val="nil"/>
            </w:tcBorders>
            <w:vAlign w:val="center"/>
          </w:tcPr>
          <w:p>
            <w:pPr>
              <w:spacing w:line="240" w:lineRule="auto"/>
              <w:ind w:firstLine="0" w:firstLineChars="0"/>
              <w:jc w:val="center"/>
              <w:rPr>
                <w:sz w:val="21"/>
                <w:szCs w:val="21"/>
              </w:rPr>
            </w:pPr>
            <w:r>
              <w:rPr>
                <w:sz w:val="21"/>
                <w:szCs w:val="21"/>
              </w:rPr>
              <w:t>6.5～7.5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8"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本环评取值</w:t>
            </w:r>
          </w:p>
        </w:tc>
        <w:tc>
          <w:tcPr>
            <w:tcW w:w="1468" w:type="dxa"/>
            <w:tcBorders>
              <w:tl2br w:val="nil"/>
              <w:tr2bl w:val="nil"/>
            </w:tcBorders>
            <w:vAlign w:val="center"/>
          </w:tcPr>
          <w:p>
            <w:pPr>
              <w:spacing w:line="240" w:lineRule="auto"/>
              <w:ind w:firstLine="0" w:firstLineChars="0"/>
              <w:jc w:val="center"/>
              <w:rPr>
                <w:sz w:val="21"/>
                <w:szCs w:val="21"/>
              </w:rPr>
            </w:pPr>
            <w:r>
              <w:rPr>
                <w:rFonts w:hint="eastAsia"/>
                <w:sz w:val="21"/>
                <w:szCs w:val="21"/>
              </w:rPr>
              <w:t>2000</w:t>
            </w:r>
          </w:p>
        </w:tc>
        <w:tc>
          <w:tcPr>
            <w:tcW w:w="1217" w:type="dxa"/>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1233" w:type="dxa"/>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1016" w:type="dxa"/>
            <w:tcBorders>
              <w:tl2br w:val="nil"/>
              <w:tr2bl w:val="nil"/>
            </w:tcBorders>
            <w:vAlign w:val="center"/>
          </w:tcPr>
          <w:p>
            <w:pPr>
              <w:spacing w:line="240" w:lineRule="auto"/>
              <w:ind w:firstLine="0" w:firstLineChars="0"/>
              <w:jc w:val="center"/>
              <w:rPr>
                <w:sz w:val="21"/>
                <w:szCs w:val="21"/>
              </w:rPr>
            </w:pPr>
            <w:r>
              <w:rPr>
                <w:rFonts w:hint="eastAsia"/>
                <w:sz w:val="21"/>
                <w:szCs w:val="21"/>
              </w:rPr>
              <w:t>70</w:t>
            </w:r>
          </w:p>
        </w:tc>
        <w:tc>
          <w:tcPr>
            <w:tcW w:w="1081" w:type="dxa"/>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993" w:type="dxa"/>
            <w:tcBorders>
              <w:tl2br w:val="nil"/>
              <w:tr2bl w:val="nil"/>
            </w:tcBorders>
            <w:vAlign w:val="center"/>
          </w:tcPr>
          <w:p>
            <w:pPr>
              <w:spacing w:line="240" w:lineRule="auto"/>
              <w:ind w:firstLine="0" w:firstLineChars="0"/>
              <w:jc w:val="center"/>
              <w:rPr>
                <w:sz w:val="21"/>
                <w:szCs w:val="21"/>
              </w:rPr>
            </w:pPr>
            <w:r>
              <w:rPr>
                <w:rFonts w:hint="eastAsia"/>
                <w:sz w:val="21"/>
                <w:szCs w:val="21"/>
              </w:rPr>
              <w:t>7.5</w:t>
            </w:r>
          </w:p>
        </w:tc>
      </w:tr>
    </w:tbl>
    <w:p>
      <w:pPr>
        <w:ind w:firstLine="482"/>
      </w:pPr>
      <w:r>
        <w:rPr>
          <w:rFonts w:hint="eastAsia"/>
          <w:b/>
          <w:bCs/>
        </w:rPr>
        <w:t>（5）冷却废水</w:t>
      </w:r>
    </w:p>
    <w:p>
      <w:pPr>
        <w:ind w:firstLine="480"/>
      </w:pPr>
      <w:r>
        <w:rPr>
          <w:rFonts w:hint="eastAsia"/>
        </w:rPr>
        <w:t>冷却废水全部循环使用，不外排。</w:t>
      </w:r>
    </w:p>
    <w:p>
      <w:pPr>
        <w:ind w:firstLine="482"/>
        <w:rPr>
          <w:b/>
          <w:bCs/>
        </w:rPr>
      </w:pPr>
      <w:r>
        <w:rPr>
          <w:rFonts w:hint="eastAsia"/>
          <w:b/>
          <w:bCs/>
        </w:rPr>
        <w:t>（6）生活污水</w:t>
      </w:r>
    </w:p>
    <w:p>
      <w:pPr>
        <w:ind w:firstLine="480"/>
        <w:rPr>
          <w:rFonts w:hint="eastAsia" w:ascii="Times New Roman" w:hAnsi="Times New Roman" w:eastAsia="宋体" w:cs="Times New Roman"/>
        </w:rPr>
      </w:pPr>
      <w:r>
        <w:rPr>
          <w:rFonts w:hint="eastAsia"/>
        </w:rPr>
        <w:t>生活污水主要是指职工在日常</w:t>
      </w:r>
      <w:r>
        <w:rPr>
          <w:rFonts w:ascii="宋体" w:hAnsi="宋体" w:cs="宋体"/>
        </w:rPr>
        <w:t>饮用、烹调、洗涤、冲厕、洗澡等日常生活用水</w:t>
      </w:r>
      <w:r>
        <w:rPr>
          <w:rFonts w:hint="eastAsia" w:ascii="宋体" w:hAnsi="宋体" w:cs="宋体"/>
        </w:rPr>
        <w:t>过程中产生的废水</w:t>
      </w:r>
      <w:r>
        <w:rPr>
          <w:rFonts w:ascii="宋体" w:hAnsi="宋体" w:cs="宋体"/>
        </w:rPr>
        <w:t>，</w:t>
      </w:r>
      <w:r>
        <w:rPr>
          <w:rFonts w:hint="eastAsia"/>
          <w:lang w:val="en-US" w:eastAsia="zh-CN"/>
        </w:rPr>
        <w:t>根据上文水平衡分析可知，</w:t>
      </w:r>
      <w:r>
        <w:rPr>
          <w:rFonts w:hint="eastAsia"/>
        </w:rPr>
        <w:t>本项目生活污水产生量为</w:t>
      </w:r>
      <w:r>
        <w:rPr>
          <w:rFonts w:hint="eastAsia"/>
          <w:lang w:val="en-US" w:eastAsia="zh-CN"/>
        </w:rPr>
        <w:t>9.6</w:t>
      </w:r>
      <w:r>
        <w:t>m</w:t>
      </w:r>
      <w:r>
        <w:rPr>
          <w:vertAlign w:val="superscript"/>
        </w:rPr>
        <w:t>3</w:t>
      </w:r>
      <w:r>
        <w:t>/d（</w:t>
      </w:r>
      <w:r>
        <w:rPr>
          <w:rFonts w:hint="eastAsia"/>
          <w:lang w:val="en-US" w:eastAsia="zh-CN"/>
        </w:rPr>
        <w:t>3504</w:t>
      </w:r>
      <w:r>
        <w:t>m</w:t>
      </w:r>
      <w:r>
        <w:rPr>
          <w:vertAlign w:val="superscript"/>
        </w:rPr>
        <w:t>3</w:t>
      </w:r>
      <w:r>
        <w:t>/a）</w:t>
      </w:r>
      <w:r>
        <w:rPr>
          <w:rFonts w:hint="eastAsia"/>
        </w:rPr>
        <w:t>。生活污水中各污染物指标分别为CODcr—350mg/L、BOD</w:t>
      </w:r>
      <w:r>
        <w:rPr>
          <w:rFonts w:hint="eastAsia"/>
          <w:vertAlign w:val="subscript"/>
        </w:rPr>
        <w:t>5</w:t>
      </w:r>
      <w:r>
        <w:rPr>
          <w:rFonts w:hint="eastAsia"/>
        </w:rPr>
        <w:t>—250mg/L、SS—300mg/L、NH</w:t>
      </w:r>
      <w:r>
        <w:rPr>
          <w:rFonts w:hint="eastAsia"/>
          <w:vertAlign w:val="subscript"/>
        </w:rPr>
        <w:t>3</w:t>
      </w:r>
      <w:r>
        <w:rPr>
          <w:rFonts w:hint="eastAsia"/>
        </w:rPr>
        <w:t>-N—45mg/L和动植物油类—50mg/L。生活污水经厂区现有</w:t>
      </w:r>
      <w:r>
        <w:rPr>
          <w:rFonts w:hint="eastAsia" w:ascii="Times New Roman" w:hAnsi="Times New Roman" w:eastAsia="宋体" w:cs="Times New Roman"/>
        </w:rPr>
        <w:t>的隔油池、化粪池处理后排入厂区现有的污水处理站处理达标后用于厂区饲草区灌溉。</w:t>
      </w:r>
    </w:p>
    <w:p>
      <w:pPr>
        <w:ind w:firstLine="482"/>
        <w:rPr>
          <w:b/>
          <w:bCs/>
        </w:rPr>
      </w:pPr>
      <w:r>
        <w:rPr>
          <w:rFonts w:hint="eastAsia"/>
          <w:b/>
          <w:bCs/>
        </w:rPr>
        <w:t>（7）不可预见废水</w:t>
      </w:r>
    </w:p>
    <w:p>
      <w:pPr>
        <w:ind w:firstLine="480"/>
        <w:rPr>
          <w:rFonts w:hint="eastAsia"/>
          <w:lang w:eastAsia="zh-CN"/>
        </w:rPr>
      </w:pPr>
      <w:r>
        <w:rPr>
          <w:rFonts w:hint="eastAsia"/>
          <w:lang w:val="en-US" w:eastAsia="zh-CN"/>
        </w:rPr>
        <w:t>根据上文水平衡分析可知，</w:t>
      </w:r>
      <w:r>
        <w:rPr>
          <w:rFonts w:hint="eastAsia"/>
        </w:rPr>
        <w:t>不可预见废水产生量为</w:t>
      </w:r>
      <w:r>
        <w:rPr>
          <w:rFonts w:hint="eastAsia"/>
          <w:lang w:val="en-US" w:eastAsia="zh-CN"/>
        </w:rPr>
        <w:t>69.36</w:t>
      </w:r>
      <w:r>
        <w:rPr>
          <w:rFonts w:hint="eastAsia"/>
        </w:rPr>
        <w:t>m</w:t>
      </w:r>
      <w:r>
        <w:rPr>
          <w:rFonts w:hint="eastAsia"/>
          <w:vertAlign w:val="superscript"/>
        </w:rPr>
        <w:t>3</w:t>
      </w:r>
      <w:r>
        <w:rPr>
          <w:rFonts w:hint="eastAsia"/>
        </w:rPr>
        <w:t>/d（</w:t>
      </w:r>
      <w:r>
        <w:rPr>
          <w:rFonts w:hint="eastAsia"/>
          <w:lang w:val="en-US" w:eastAsia="zh-CN"/>
        </w:rPr>
        <w:t>25316</w:t>
      </w:r>
      <w:r>
        <w:t>m</w:t>
      </w:r>
      <w:r>
        <w:rPr>
          <w:vertAlign w:val="superscript"/>
        </w:rPr>
        <w:t>3</w:t>
      </w:r>
      <w:r>
        <w:t>/a</w:t>
      </w:r>
      <w:r>
        <w:rPr>
          <w:rFonts w:hint="eastAsia"/>
        </w:rPr>
        <w:t>）。不可预见废水各污染物指标分别为CODcr—350mg/L、BOD</w:t>
      </w:r>
      <w:r>
        <w:rPr>
          <w:rFonts w:hint="eastAsia"/>
          <w:vertAlign w:val="subscript"/>
        </w:rPr>
        <w:t>5</w:t>
      </w:r>
      <w:r>
        <w:rPr>
          <w:rFonts w:hint="eastAsia"/>
        </w:rPr>
        <w:t>—250mg/L、SS—300mg/L、NH</w:t>
      </w:r>
      <w:r>
        <w:rPr>
          <w:rFonts w:hint="eastAsia"/>
          <w:vertAlign w:val="subscript"/>
        </w:rPr>
        <w:t>3</w:t>
      </w:r>
      <w:r>
        <w:rPr>
          <w:rFonts w:hint="eastAsia"/>
        </w:rPr>
        <w:t>-N—45mg/L和动植物油类—50mg/L。不可预见废水经厂区污水处理站处理达标后用于厂区饲草区灌溉。本项目运营期废水中各污染物产生情况详见下表</w:t>
      </w:r>
      <w:r>
        <w:rPr>
          <w:rFonts w:hint="eastAsia"/>
          <w:lang w:eastAsia="zh-CN"/>
        </w:rPr>
        <w:t>。</w:t>
      </w:r>
    </w:p>
    <w:p>
      <w:pPr>
        <w:spacing w:line="240" w:lineRule="auto"/>
        <w:ind w:firstLine="482"/>
        <w:jc w:val="center"/>
      </w:pPr>
      <w:r>
        <w:rPr>
          <w:rFonts w:hint="eastAsia"/>
          <w:b/>
          <w:bCs/>
        </w:rPr>
        <w:t>表</w:t>
      </w:r>
      <w:r>
        <w:rPr>
          <w:rFonts w:hint="eastAsia"/>
          <w:b/>
          <w:bCs/>
          <w:lang w:val="en-US" w:eastAsia="zh-CN"/>
        </w:rPr>
        <w:t>3.19</w:t>
      </w:r>
      <w:r>
        <w:rPr>
          <w:rFonts w:hint="eastAsia"/>
          <w:b/>
          <w:bCs/>
        </w:rPr>
        <w:t xml:space="preserve">    本项目运营期废水中各污染物产生情况一览表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2"/>
        <w:gridCol w:w="900"/>
        <w:gridCol w:w="1488"/>
        <w:gridCol w:w="1362"/>
        <w:gridCol w:w="1388"/>
        <w:gridCol w:w="1350"/>
        <w:gridCol w:w="1412"/>
        <w:gridCol w:w="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tcBorders>
              <w:tl2br w:val="nil"/>
              <w:tr2bl w:val="nil"/>
            </w:tcBorders>
            <w:vAlign w:val="center"/>
          </w:tcPr>
          <w:p>
            <w:pPr>
              <w:spacing w:line="240" w:lineRule="auto"/>
              <w:ind w:firstLine="0" w:firstLineChars="0"/>
              <w:jc w:val="center"/>
              <w:rPr>
                <w:b/>
                <w:bCs/>
                <w:sz w:val="21"/>
                <w:szCs w:val="21"/>
              </w:rPr>
            </w:pPr>
            <w:r>
              <w:rPr>
                <w:b/>
                <w:bCs/>
                <w:sz w:val="21"/>
                <w:szCs w:val="21"/>
              </w:rPr>
              <w:t>类别/名称</w:t>
            </w:r>
          </w:p>
        </w:tc>
        <w:tc>
          <w:tcPr>
            <w:tcW w:w="452" w:type="pct"/>
            <w:tcBorders>
              <w:tl2br w:val="nil"/>
              <w:tr2bl w:val="nil"/>
            </w:tcBorders>
            <w:vAlign w:val="center"/>
          </w:tcPr>
          <w:p>
            <w:pPr>
              <w:spacing w:line="240" w:lineRule="auto"/>
              <w:ind w:firstLine="0" w:firstLineChars="0"/>
              <w:jc w:val="center"/>
              <w:rPr>
                <w:b/>
                <w:bCs/>
                <w:sz w:val="21"/>
                <w:szCs w:val="21"/>
              </w:rPr>
            </w:pPr>
            <w:r>
              <w:rPr>
                <w:b/>
                <w:bCs/>
                <w:sz w:val="21"/>
                <w:szCs w:val="21"/>
              </w:rPr>
              <w:t>废水量</w:t>
            </w:r>
          </w:p>
        </w:tc>
        <w:tc>
          <w:tcPr>
            <w:tcW w:w="747" w:type="pct"/>
            <w:tcBorders>
              <w:tl2br w:val="nil"/>
              <w:tr2bl w:val="nil"/>
            </w:tcBorders>
            <w:vAlign w:val="center"/>
          </w:tcPr>
          <w:p>
            <w:pPr>
              <w:spacing w:line="240" w:lineRule="auto"/>
              <w:ind w:firstLine="0" w:firstLineChars="0"/>
              <w:jc w:val="center"/>
              <w:rPr>
                <w:b/>
                <w:bCs/>
                <w:sz w:val="21"/>
                <w:szCs w:val="21"/>
              </w:rPr>
            </w:pPr>
            <w:r>
              <w:rPr>
                <w:b/>
                <w:bCs/>
                <w:sz w:val="21"/>
                <w:szCs w:val="21"/>
              </w:rPr>
              <w:t>CODcr</w:t>
            </w:r>
          </w:p>
        </w:tc>
        <w:tc>
          <w:tcPr>
            <w:tcW w:w="684" w:type="pct"/>
            <w:tcBorders>
              <w:tl2br w:val="nil"/>
              <w:tr2bl w:val="nil"/>
            </w:tcBorders>
            <w:vAlign w:val="center"/>
          </w:tcPr>
          <w:p>
            <w:pPr>
              <w:spacing w:line="240" w:lineRule="auto"/>
              <w:ind w:firstLine="0" w:firstLineChars="0"/>
              <w:jc w:val="center"/>
              <w:rPr>
                <w:b/>
                <w:bCs/>
                <w:sz w:val="21"/>
                <w:szCs w:val="21"/>
              </w:rPr>
            </w:pPr>
            <w:r>
              <w:rPr>
                <w:b/>
                <w:bCs/>
                <w:sz w:val="21"/>
                <w:szCs w:val="21"/>
              </w:rPr>
              <w:t>BOD</w:t>
            </w:r>
            <w:r>
              <w:rPr>
                <w:b/>
                <w:bCs/>
                <w:sz w:val="21"/>
                <w:szCs w:val="21"/>
                <w:vertAlign w:val="subscript"/>
              </w:rPr>
              <w:t>5</w:t>
            </w:r>
          </w:p>
        </w:tc>
        <w:tc>
          <w:tcPr>
            <w:tcW w:w="697" w:type="pct"/>
            <w:tcBorders>
              <w:tl2br w:val="nil"/>
              <w:tr2bl w:val="nil"/>
            </w:tcBorders>
            <w:vAlign w:val="center"/>
          </w:tcPr>
          <w:p>
            <w:pPr>
              <w:spacing w:line="240" w:lineRule="auto"/>
              <w:ind w:firstLine="0" w:firstLineChars="0"/>
              <w:jc w:val="center"/>
              <w:rPr>
                <w:b/>
                <w:bCs/>
                <w:sz w:val="21"/>
                <w:szCs w:val="21"/>
              </w:rPr>
            </w:pPr>
            <w:r>
              <w:rPr>
                <w:b/>
                <w:bCs/>
                <w:sz w:val="21"/>
                <w:szCs w:val="21"/>
              </w:rPr>
              <w:t>SS</w:t>
            </w:r>
          </w:p>
        </w:tc>
        <w:tc>
          <w:tcPr>
            <w:tcW w:w="678" w:type="pct"/>
            <w:tcBorders>
              <w:tl2br w:val="nil"/>
              <w:tr2bl w:val="nil"/>
            </w:tcBorders>
            <w:vAlign w:val="center"/>
          </w:tcPr>
          <w:p>
            <w:pPr>
              <w:spacing w:line="240" w:lineRule="auto"/>
              <w:ind w:firstLine="0" w:firstLineChars="0"/>
              <w:jc w:val="center"/>
              <w:rPr>
                <w:b/>
                <w:bCs/>
                <w:sz w:val="21"/>
                <w:szCs w:val="21"/>
              </w:rPr>
            </w:pPr>
            <w:r>
              <w:rPr>
                <w:b/>
                <w:bCs/>
                <w:sz w:val="21"/>
                <w:szCs w:val="21"/>
              </w:rPr>
              <w:t>NH</w:t>
            </w:r>
            <w:r>
              <w:rPr>
                <w:b/>
                <w:bCs/>
                <w:sz w:val="21"/>
                <w:szCs w:val="21"/>
                <w:vertAlign w:val="subscript"/>
              </w:rPr>
              <w:t>3</w:t>
            </w:r>
            <w:r>
              <w:rPr>
                <w:b/>
                <w:bCs/>
                <w:sz w:val="21"/>
                <w:szCs w:val="21"/>
              </w:rPr>
              <w:t>-N</w:t>
            </w:r>
          </w:p>
        </w:tc>
        <w:tc>
          <w:tcPr>
            <w:tcW w:w="709" w:type="pct"/>
            <w:tcBorders>
              <w:tl2br w:val="nil"/>
              <w:tr2bl w:val="nil"/>
            </w:tcBorders>
            <w:vAlign w:val="center"/>
          </w:tcPr>
          <w:p>
            <w:pPr>
              <w:spacing w:line="240" w:lineRule="auto"/>
              <w:ind w:firstLine="0" w:firstLineChars="0"/>
              <w:jc w:val="center"/>
              <w:rPr>
                <w:b/>
                <w:bCs/>
                <w:sz w:val="21"/>
                <w:szCs w:val="21"/>
              </w:rPr>
            </w:pPr>
            <w:r>
              <w:rPr>
                <w:b/>
                <w:bCs/>
                <w:sz w:val="21"/>
                <w:szCs w:val="21"/>
              </w:rPr>
              <w:t>动植物油</w:t>
            </w:r>
          </w:p>
        </w:tc>
        <w:tc>
          <w:tcPr>
            <w:tcW w:w="277" w:type="pct"/>
            <w:tcBorders>
              <w:tl2br w:val="nil"/>
              <w:tr2bl w:val="nil"/>
            </w:tcBorders>
            <w:vAlign w:val="center"/>
          </w:tcPr>
          <w:p>
            <w:pPr>
              <w:spacing w:line="240" w:lineRule="auto"/>
              <w:ind w:firstLine="0" w:firstLineChars="0"/>
              <w:jc w:val="center"/>
              <w:rPr>
                <w:b/>
                <w:bCs/>
                <w:sz w:val="21"/>
                <w:szCs w:val="21"/>
              </w:rPr>
            </w:pPr>
            <w:r>
              <w:rPr>
                <w:b/>
                <w:bCs/>
                <w:sz w:val="21"/>
                <w:szCs w:val="21"/>
              </w:rPr>
              <w:t>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羊尿液</w:t>
            </w:r>
          </w:p>
        </w:tc>
        <w:tc>
          <w:tcPr>
            <w:tcW w:w="452"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486</w:t>
            </w:r>
          </w:p>
          <w:p>
            <w:pPr>
              <w:spacing w:line="240" w:lineRule="auto"/>
              <w:ind w:firstLine="0" w:firstLineChars="0"/>
              <w:jc w:val="center"/>
              <w:rPr>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2600mg/L</w:t>
            </w:r>
          </w:p>
        </w:tc>
        <w:tc>
          <w:tcPr>
            <w:tcW w:w="684"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3000mg/L</w:t>
            </w:r>
          </w:p>
        </w:tc>
        <w:tc>
          <w:tcPr>
            <w:tcW w:w="69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250mg/L</w:t>
            </w:r>
          </w:p>
        </w:tc>
        <w:tc>
          <w:tcPr>
            <w:tcW w:w="67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80mg/L</w:t>
            </w:r>
          </w:p>
        </w:tc>
        <w:tc>
          <w:tcPr>
            <w:tcW w:w="709"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w:t>
            </w:r>
          </w:p>
        </w:tc>
        <w:tc>
          <w:tcPr>
            <w:tcW w:w="27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1.264t/a</w:t>
            </w:r>
          </w:p>
        </w:tc>
        <w:tc>
          <w:tcPr>
            <w:tcW w:w="684" w:type="pct"/>
            <w:tcBorders>
              <w:tl2br w:val="nil"/>
              <w:tr2bl w:val="nil"/>
            </w:tcBorders>
            <w:vAlign w:val="center"/>
          </w:tcPr>
          <w:p>
            <w:pPr>
              <w:spacing w:line="240" w:lineRule="auto"/>
              <w:ind w:firstLine="0" w:firstLineChars="0"/>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1.458t/a</w:t>
            </w:r>
          </w:p>
        </w:tc>
        <w:tc>
          <w:tcPr>
            <w:tcW w:w="697" w:type="pct"/>
            <w:tcBorders>
              <w:tl2br w:val="nil"/>
              <w:tr2bl w:val="nil"/>
            </w:tcBorders>
            <w:vAlign w:val="center"/>
          </w:tcPr>
          <w:p>
            <w:pPr>
              <w:spacing w:line="240" w:lineRule="auto"/>
              <w:ind w:firstLine="0" w:firstLineChars="0"/>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0.122t/a</w:t>
            </w:r>
          </w:p>
        </w:tc>
        <w:tc>
          <w:tcPr>
            <w:tcW w:w="678" w:type="pct"/>
            <w:tcBorders>
              <w:tl2br w:val="nil"/>
              <w:tr2bl w:val="nil"/>
            </w:tcBorders>
            <w:vAlign w:val="center"/>
          </w:tcPr>
          <w:p>
            <w:pPr>
              <w:spacing w:line="240" w:lineRule="auto"/>
              <w:ind w:firstLine="0" w:firstLineChars="0"/>
              <w:jc w:val="center"/>
              <w:rPr>
                <w:rFonts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0.039t/a</w:t>
            </w:r>
          </w:p>
        </w:tc>
        <w:tc>
          <w:tcPr>
            <w:tcW w:w="709" w:type="pct"/>
            <w:tcBorders>
              <w:tl2br w:val="nil"/>
              <w:tr2bl w:val="nil"/>
            </w:tcBorders>
            <w:vAlign w:val="center"/>
          </w:tcPr>
          <w:p>
            <w:pPr>
              <w:spacing w:line="240" w:lineRule="auto"/>
              <w:ind w:firstLine="0" w:firstLineChars="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lang w:val="en-US" w:eastAsia="zh-CN"/>
              </w:rPr>
              <w:t>/</w:t>
            </w:r>
          </w:p>
        </w:tc>
        <w:tc>
          <w:tcPr>
            <w:tcW w:w="27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肉羊精深加工生产线屠宰废水</w:t>
            </w:r>
          </w:p>
        </w:tc>
        <w:tc>
          <w:tcPr>
            <w:tcW w:w="452"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144000</w:t>
            </w:r>
          </w:p>
          <w:p>
            <w:pPr>
              <w:spacing w:line="240" w:lineRule="auto"/>
              <w:ind w:firstLine="0" w:firstLineChars="0"/>
              <w:jc w:val="center"/>
              <w:rPr>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2000</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1000mg/L</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1000mg/L</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150mg/L</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200mg/L</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288.0t/a</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144.0t/a</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144.0t/a</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21.6t/a</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28.8t/a</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牛羊预制品生产线生产废水</w:t>
            </w:r>
          </w:p>
        </w:tc>
        <w:tc>
          <w:tcPr>
            <w:tcW w:w="452" w:type="pct"/>
            <w:vMerge w:val="restart"/>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72000</w:t>
            </w:r>
          </w:p>
          <w:p>
            <w:pPr>
              <w:spacing w:line="240" w:lineRule="auto"/>
              <w:ind w:firstLine="0" w:firstLineChars="0"/>
              <w:jc w:val="center"/>
              <w:rPr>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2000mg/L</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1000mg/L</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1000mg/L</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70mg/L</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100mg/L</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144.0t/a</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72.0t/a</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72.0t/a</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5.04</w:t>
            </w:r>
            <w:r>
              <w:rPr>
                <w:rFonts w:hint="default" w:ascii="Times New Roman" w:hAnsi="Times New Roman" w:eastAsia="宋体" w:cs="Times New Roman"/>
                <w:color w:val="auto"/>
                <w:sz w:val="21"/>
                <w:szCs w:val="21"/>
                <w:lang w:val="en-US" w:eastAsia="zh-CN"/>
              </w:rPr>
              <w:t>t/a</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7.2t/a</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羊杂预制品生产线废水</w:t>
            </w:r>
          </w:p>
        </w:tc>
        <w:tc>
          <w:tcPr>
            <w:tcW w:w="452" w:type="pct"/>
            <w:vMerge w:val="restart"/>
            <w:tcBorders>
              <w:tl2br w:val="nil"/>
              <w:tr2bl w:val="nil"/>
            </w:tcBorders>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9600</w:t>
            </w:r>
          </w:p>
          <w:p>
            <w:pPr>
              <w:spacing w:line="240" w:lineRule="auto"/>
              <w:ind w:firstLine="0" w:firstLineChars="0"/>
              <w:jc w:val="center"/>
              <w:rPr>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2000mg/L</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1000mg/L</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1000mg/L</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70mg/L</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100mg/L</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19.2t/a</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9.6t/a</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9.6t/a</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0.672t/a</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0.96t/a</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生活污水</w:t>
            </w:r>
          </w:p>
        </w:tc>
        <w:tc>
          <w:tcPr>
            <w:tcW w:w="452" w:type="pct"/>
            <w:vMerge w:val="restart"/>
            <w:tcBorders>
              <w:tl2br w:val="nil"/>
              <w:tr2bl w:val="nil"/>
            </w:tcBorders>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3504</w:t>
            </w:r>
          </w:p>
          <w:p>
            <w:pPr>
              <w:spacing w:line="240" w:lineRule="auto"/>
              <w:ind w:firstLine="0" w:firstLineChars="0"/>
              <w:jc w:val="center"/>
              <w:rPr>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350mg/L</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250mg/L</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300mg/L</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45mg/L</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50mg/L</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1.226t/a</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0.876t/a</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1.051t/a</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0.158t/a</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0.175t/a</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不可预见废水</w:t>
            </w:r>
          </w:p>
        </w:tc>
        <w:tc>
          <w:tcPr>
            <w:tcW w:w="452" w:type="pct"/>
            <w:vMerge w:val="restart"/>
            <w:tcBorders>
              <w:tl2br w:val="nil"/>
              <w:tr2bl w:val="nil"/>
            </w:tcBorders>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25316</w:t>
            </w:r>
          </w:p>
          <w:p>
            <w:pPr>
              <w:spacing w:line="240" w:lineRule="auto"/>
              <w:ind w:firstLine="0" w:firstLineChars="0"/>
              <w:jc w:val="center"/>
              <w:rPr>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350mg/L</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250mg/L</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300mg/L</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45mg/L</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50mg/L</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8.861t/a</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6.329t/a</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7.595t/a</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1.139t/a</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1.266</w:t>
            </w:r>
            <w:r>
              <w:rPr>
                <w:rFonts w:hint="default" w:ascii="Times New Roman" w:hAnsi="Times New Roman" w:eastAsia="宋体" w:cs="Times New Roman"/>
                <w:color w:val="auto"/>
                <w:sz w:val="21"/>
                <w:szCs w:val="21"/>
                <w:lang w:val="en-US" w:eastAsia="zh-CN"/>
              </w:rPr>
              <w:t>t/a</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restart"/>
            <w:tcBorders>
              <w:tl2br w:val="nil"/>
              <w:tr2bl w:val="nil"/>
            </w:tcBorders>
            <w:vAlign w:val="center"/>
          </w:tcPr>
          <w:p>
            <w:pPr>
              <w:spacing w:line="240" w:lineRule="auto"/>
              <w:ind w:firstLine="0" w:firstLineChars="0"/>
              <w:jc w:val="center"/>
              <w:rPr>
                <w:b/>
                <w:bCs/>
                <w:color w:val="auto"/>
                <w:sz w:val="21"/>
                <w:szCs w:val="21"/>
              </w:rPr>
            </w:pPr>
            <w:r>
              <w:rPr>
                <w:color w:val="auto"/>
                <w:sz w:val="21"/>
                <w:szCs w:val="21"/>
              </w:rPr>
              <w:t>综合污水</w:t>
            </w:r>
          </w:p>
        </w:tc>
        <w:tc>
          <w:tcPr>
            <w:tcW w:w="452" w:type="pct"/>
            <w:vMerge w:val="restart"/>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254906</w:t>
            </w:r>
          </w:p>
          <w:p>
            <w:pPr>
              <w:spacing w:line="240" w:lineRule="auto"/>
              <w:ind w:firstLine="0" w:firstLineChars="0"/>
              <w:jc w:val="center"/>
              <w:rPr>
                <w:b/>
                <w:bCs/>
                <w:color w:val="auto"/>
                <w:sz w:val="21"/>
                <w:szCs w:val="21"/>
              </w:rPr>
            </w:pPr>
            <w:r>
              <w:rPr>
                <w:color w:val="auto"/>
                <w:sz w:val="21"/>
                <w:szCs w:val="21"/>
              </w:rPr>
              <w:t>m</w:t>
            </w:r>
            <w:r>
              <w:rPr>
                <w:color w:val="auto"/>
                <w:sz w:val="21"/>
                <w:szCs w:val="21"/>
                <w:vertAlign w:val="superscript"/>
              </w:rPr>
              <w:t>3</w:t>
            </w:r>
            <w:r>
              <w:rPr>
                <w:color w:val="auto"/>
                <w:sz w:val="21"/>
                <w:szCs w:val="21"/>
              </w:rPr>
              <w:t>/a</w:t>
            </w: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1814.593</w:t>
            </w:r>
            <w:r>
              <w:rPr>
                <w:rFonts w:hint="default" w:ascii="Times New Roman" w:hAnsi="Times New Roman" w:eastAsia="宋体" w:cs="Times New Roman"/>
                <w:color w:val="auto"/>
                <w:sz w:val="21"/>
                <w:szCs w:val="21"/>
                <w:lang w:val="en-US" w:eastAsia="zh-CN"/>
              </w:rPr>
              <w:t>mg/L</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919.017</w:t>
            </w:r>
            <w:r>
              <w:rPr>
                <w:rFonts w:hint="default" w:ascii="Times New Roman" w:hAnsi="Times New Roman" w:eastAsia="宋体" w:cs="Times New Roman"/>
                <w:color w:val="auto"/>
                <w:sz w:val="21"/>
                <w:szCs w:val="21"/>
                <w:lang w:val="en-US" w:eastAsia="zh-CN"/>
              </w:rPr>
              <w:t>mg/L</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919.427</w:t>
            </w:r>
            <w:r>
              <w:rPr>
                <w:rFonts w:hint="default" w:ascii="Times New Roman" w:hAnsi="Times New Roman" w:eastAsia="宋体" w:cs="Times New Roman"/>
                <w:color w:val="auto"/>
                <w:sz w:val="21"/>
                <w:szCs w:val="21"/>
                <w:lang w:val="en-US" w:eastAsia="zh-CN"/>
              </w:rPr>
              <w:t>mg/L</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112.386</w:t>
            </w:r>
            <w:r>
              <w:rPr>
                <w:rFonts w:hint="default" w:ascii="Times New Roman" w:hAnsi="Times New Roman" w:eastAsia="宋体" w:cs="Times New Roman"/>
                <w:color w:val="auto"/>
                <w:sz w:val="21"/>
                <w:szCs w:val="21"/>
                <w:lang w:val="en-US" w:eastAsia="zh-CN"/>
              </w:rPr>
              <w:t>mg/L</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150.648</w:t>
            </w:r>
            <w:r>
              <w:rPr>
                <w:rFonts w:hint="default" w:ascii="Times New Roman" w:hAnsi="Times New Roman" w:eastAsia="宋体" w:cs="Times New Roman"/>
                <w:color w:val="auto"/>
                <w:sz w:val="21"/>
                <w:szCs w:val="21"/>
                <w:lang w:val="en-US" w:eastAsia="zh-CN"/>
              </w:rPr>
              <w:t>mg/L</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pct"/>
            <w:vMerge w:val="continue"/>
            <w:tcBorders>
              <w:tl2br w:val="nil"/>
              <w:tr2bl w:val="nil"/>
            </w:tcBorders>
            <w:vAlign w:val="center"/>
          </w:tcPr>
          <w:p>
            <w:pPr>
              <w:spacing w:line="240" w:lineRule="auto"/>
              <w:ind w:firstLine="0" w:firstLineChars="0"/>
              <w:jc w:val="center"/>
              <w:rPr>
                <w:color w:val="auto"/>
                <w:sz w:val="21"/>
                <w:szCs w:val="21"/>
              </w:rPr>
            </w:pPr>
          </w:p>
        </w:tc>
        <w:tc>
          <w:tcPr>
            <w:tcW w:w="452" w:type="pct"/>
            <w:vMerge w:val="continue"/>
            <w:tcBorders>
              <w:tl2br w:val="nil"/>
              <w:tr2bl w:val="nil"/>
            </w:tcBorders>
            <w:vAlign w:val="center"/>
          </w:tcPr>
          <w:p>
            <w:pPr>
              <w:spacing w:line="240" w:lineRule="auto"/>
              <w:ind w:firstLine="0" w:firstLineChars="0"/>
              <w:jc w:val="center"/>
              <w:rPr>
                <w:color w:val="auto"/>
                <w:sz w:val="21"/>
                <w:szCs w:val="21"/>
              </w:rPr>
            </w:pPr>
          </w:p>
        </w:tc>
        <w:tc>
          <w:tcPr>
            <w:tcW w:w="74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462.551</w:t>
            </w:r>
            <w:r>
              <w:rPr>
                <w:rFonts w:hint="default" w:ascii="Times New Roman" w:hAnsi="Times New Roman" w:eastAsia="宋体" w:cs="Times New Roman"/>
                <w:color w:val="auto"/>
                <w:sz w:val="21"/>
                <w:szCs w:val="21"/>
                <w:lang w:val="en-US" w:eastAsia="zh-CN"/>
              </w:rPr>
              <w:t>t/a</w:t>
            </w:r>
          </w:p>
        </w:tc>
        <w:tc>
          <w:tcPr>
            <w:tcW w:w="684"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234.263</w:t>
            </w:r>
            <w:r>
              <w:rPr>
                <w:rFonts w:hint="default" w:ascii="Times New Roman" w:hAnsi="Times New Roman" w:eastAsia="宋体" w:cs="Times New Roman"/>
                <w:color w:val="auto"/>
                <w:sz w:val="21"/>
                <w:szCs w:val="21"/>
                <w:lang w:val="en-US" w:eastAsia="zh-CN"/>
              </w:rPr>
              <w:t>t/a</w:t>
            </w:r>
          </w:p>
        </w:tc>
        <w:tc>
          <w:tcPr>
            <w:tcW w:w="69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234.368</w:t>
            </w:r>
            <w:r>
              <w:rPr>
                <w:rFonts w:hint="default" w:ascii="Times New Roman" w:hAnsi="Times New Roman" w:eastAsia="宋体" w:cs="Times New Roman"/>
                <w:color w:val="auto"/>
                <w:sz w:val="21"/>
                <w:szCs w:val="21"/>
                <w:lang w:val="en-US" w:eastAsia="zh-CN"/>
              </w:rPr>
              <w:t>t/a</w:t>
            </w:r>
          </w:p>
        </w:tc>
        <w:tc>
          <w:tcPr>
            <w:tcW w:w="678"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28.648</w:t>
            </w:r>
            <w:r>
              <w:rPr>
                <w:rFonts w:hint="default" w:ascii="Times New Roman" w:hAnsi="Times New Roman" w:eastAsia="宋体" w:cs="Times New Roman"/>
                <w:color w:val="auto"/>
                <w:sz w:val="21"/>
                <w:szCs w:val="21"/>
                <w:lang w:val="en-US" w:eastAsia="zh-CN"/>
              </w:rPr>
              <w:t>t/a</w:t>
            </w:r>
          </w:p>
        </w:tc>
        <w:tc>
          <w:tcPr>
            <w:tcW w:w="70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38.401</w:t>
            </w:r>
            <w:r>
              <w:rPr>
                <w:rFonts w:hint="default" w:ascii="Times New Roman" w:hAnsi="Times New Roman" w:eastAsia="宋体" w:cs="Times New Roman"/>
                <w:color w:val="auto"/>
                <w:sz w:val="21"/>
                <w:szCs w:val="21"/>
                <w:lang w:val="en-US" w:eastAsia="zh-CN"/>
              </w:rPr>
              <w:t>t/a</w:t>
            </w:r>
          </w:p>
        </w:tc>
        <w:tc>
          <w:tcPr>
            <w:tcW w:w="277"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8"/>
            <w:tcBorders>
              <w:tl2br w:val="nil"/>
              <w:tr2bl w:val="nil"/>
            </w:tcBorders>
            <w:vAlign w:val="center"/>
          </w:tcPr>
          <w:p>
            <w:pPr>
              <w:spacing w:line="240" w:lineRule="auto"/>
              <w:ind w:firstLine="0" w:firstLineChars="0"/>
              <w:jc w:val="both"/>
              <w:rPr>
                <w:rFonts w:hint="eastAsia" w:eastAsia="宋体"/>
                <w:sz w:val="21"/>
                <w:szCs w:val="21"/>
                <w:lang w:val="en-US" w:eastAsia="zh-CN"/>
              </w:rPr>
            </w:pPr>
            <w:r>
              <w:rPr>
                <w:rFonts w:hint="eastAsia"/>
                <w:sz w:val="21"/>
                <w:szCs w:val="21"/>
                <w:lang w:val="en-US" w:eastAsia="zh-CN"/>
              </w:rPr>
              <w:t>备注：综合废水中大肠菌群数取54000mg/L，阴离子表面活性剂取10.5mg/L。</w:t>
            </w:r>
          </w:p>
        </w:tc>
      </w:tr>
    </w:tbl>
    <w:p>
      <w:pPr>
        <w:pStyle w:val="7"/>
        <w:ind w:firstLine="482"/>
      </w:pPr>
      <w:r>
        <w:rPr>
          <w:rFonts w:hint="eastAsia"/>
          <w:lang w:val="en-US" w:eastAsia="zh-CN"/>
        </w:rPr>
        <w:t>3</w:t>
      </w:r>
      <w:r>
        <w:rPr>
          <w:rFonts w:hint="eastAsia"/>
        </w:rPr>
        <w:t>.6.2.2、运营期废气源强分析</w:t>
      </w:r>
    </w:p>
    <w:p>
      <w:pPr>
        <w:ind w:firstLine="480"/>
      </w:pPr>
      <w:r>
        <w:t>项目营运期的废气主要来源于待宰</w:t>
      </w:r>
      <w:r>
        <w:rPr>
          <w:rFonts w:hint="eastAsia"/>
        </w:rPr>
        <w:t>圈</w:t>
      </w:r>
      <w:r>
        <w:t>恶臭</w:t>
      </w:r>
      <w:r>
        <w:rPr>
          <w:rFonts w:hint="eastAsia"/>
        </w:rPr>
        <w:t>气体</w:t>
      </w:r>
      <w:r>
        <w:t>、屠宰间恶臭</w:t>
      </w:r>
      <w:r>
        <w:rPr>
          <w:rFonts w:hint="eastAsia"/>
        </w:rPr>
        <w:t>气体、牛羊预制品生产线炒制工段烹饪油烟、</w:t>
      </w:r>
      <w:r>
        <w:t>食堂烹饪过程中产生的食堂油烟。</w:t>
      </w:r>
    </w:p>
    <w:p>
      <w:pPr>
        <w:ind w:firstLine="482"/>
        <w:rPr>
          <w:b/>
          <w:bCs/>
        </w:rPr>
      </w:pPr>
      <w:r>
        <w:rPr>
          <w:rFonts w:hint="eastAsia"/>
          <w:b/>
          <w:bCs/>
        </w:rPr>
        <w:t>（1）待宰圈恶臭气体</w:t>
      </w:r>
    </w:p>
    <w:p>
      <w:pPr>
        <w:ind w:firstLine="480"/>
        <w:rPr>
          <w:rFonts w:ascii="宋体" w:hAnsi="宋体" w:cs="宋体"/>
          <w:color w:val="000000"/>
          <w:kern w:val="0"/>
          <w:lang w:bidi="ar"/>
        </w:rPr>
      </w:pPr>
      <w:r>
        <w:rPr>
          <w:rFonts w:hint="eastAsia"/>
        </w:rPr>
        <w:t>项目收购的肉</w:t>
      </w:r>
      <w:r>
        <w:rPr>
          <w:rFonts w:hint="eastAsia" w:ascii="宋体" w:hAnsi="宋体" w:cs="宋体"/>
          <w:color w:val="000000"/>
          <w:kern w:val="0"/>
          <w:lang w:bidi="ar"/>
        </w:rPr>
        <w:t>羊全部来自建设</w:t>
      </w:r>
      <w:r>
        <w:rPr>
          <w:rFonts w:hint="eastAsia" w:ascii="宋体" w:hAnsi="宋体" w:cs="宋体"/>
          <w:color w:val="000000"/>
          <w:kern w:val="0"/>
          <w:lang w:val="en-US" w:eastAsia="zh-CN" w:bidi="ar"/>
        </w:rPr>
        <w:t>单位</w:t>
      </w:r>
      <w:r>
        <w:rPr>
          <w:rFonts w:hint="eastAsia" w:ascii="宋体" w:hAnsi="宋体" w:cs="宋体"/>
          <w:color w:val="000000"/>
          <w:kern w:val="0"/>
          <w:lang w:bidi="ar"/>
        </w:rPr>
        <w:t>自建的活畜交易市场，肉羊进厂后在待宰圈内停</w:t>
      </w:r>
      <w:r>
        <w:rPr>
          <w:color w:val="000000"/>
          <w:kern w:val="0"/>
          <w:lang w:bidi="ar"/>
        </w:rPr>
        <w:t>留时间不大于1天，只进水不喂食</w:t>
      </w:r>
      <w:r>
        <w:rPr>
          <w:rFonts w:hint="eastAsia"/>
          <w:color w:val="000000"/>
          <w:kern w:val="0"/>
          <w:lang w:eastAsia="zh-CN" w:bidi="ar"/>
        </w:rPr>
        <w:t>，</w:t>
      </w:r>
      <w:r>
        <w:rPr>
          <w:rFonts w:hint="eastAsia"/>
          <w:color w:val="000000"/>
          <w:kern w:val="0"/>
          <w:lang w:val="en-US" w:eastAsia="zh-CN" w:bidi="ar"/>
        </w:rPr>
        <w:t>考虑最不利因素，本项目肉羊屠宰时在待宰圈停留时间按1d计算</w:t>
      </w:r>
      <w:r>
        <w:rPr>
          <w:color w:val="000000"/>
          <w:kern w:val="0"/>
          <w:lang w:bidi="ar"/>
        </w:rPr>
        <w:t>。待宰圈的恶臭主要来自羊粪</w:t>
      </w:r>
      <w:r>
        <w:rPr>
          <w:rFonts w:hint="eastAsia"/>
          <w:color w:val="000000"/>
          <w:kern w:val="0"/>
          <w:lang w:bidi="ar"/>
        </w:rPr>
        <w:t>污</w:t>
      </w:r>
      <w:r>
        <w:rPr>
          <w:color w:val="000000"/>
          <w:kern w:val="0"/>
          <w:lang w:bidi="ar"/>
        </w:rPr>
        <w:t>产生的NH</w:t>
      </w:r>
      <w:r>
        <w:rPr>
          <w:color w:val="000000"/>
          <w:kern w:val="0"/>
          <w:szCs w:val="12"/>
          <w:vertAlign w:val="subscript"/>
          <w:lang w:bidi="ar"/>
        </w:rPr>
        <w:t>3</w:t>
      </w:r>
      <w:r>
        <w:rPr>
          <w:color w:val="000000"/>
          <w:kern w:val="0"/>
          <w:lang w:bidi="ar"/>
        </w:rPr>
        <w:t>、H</w:t>
      </w:r>
      <w:r>
        <w:rPr>
          <w:color w:val="000000"/>
          <w:kern w:val="0"/>
          <w:szCs w:val="12"/>
          <w:vertAlign w:val="subscript"/>
          <w:lang w:bidi="ar"/>
        </w:rPr>
        <w:t>2</w:t>
      </w:r>
      <w:r>
        <w:rPr>
          <w:color w:val="000000"/>
          <w:kern w:val="0"/>
          <w:lang w:bidi="ar"/>
        </w:rPr>
        <w:t>S等恶臭有害气体，</w:t>
      </w:r>
      <w:r>
        <w:rPr>
          <w:rFonts w:hint="eastAsia" w:ascii="宋体" w:hAnsi="宋体" w:cs="宋体"/>
          <w:color w:val="000000"/>
          <w:kern w:val="0"/>
          <w:lang w:bidi="ar"/>
        </w:rPr>
        <w:t>若未及时清除或清除后不能及时处理，将会使臭味成倍增加，进一步产生甲基硫醇、二甲基二硫醚、二甲胺等恶臭气体，并会孳生大量蚊蝇影响环境卫生。</w:t>
      </w:r>
    </w:p>
    <w:p>
      <w:pPr>
        <w:ind w:firstLine="480"/>
      </w:pPr>
      <w:r>
        <w:rPr>
          <w:rFonts w:hint="eastAsia"/>
        </w:rPr>
        <w:t>本次评价待宰圈恶臭排放源强参考《排污许可证申请与核发技术规范 畜禽养殖行业（HJ1029-2019）》表9-各类畜禽污染物产生量总氮含量进行计算，该表中生猪粪便中总氮污染物含量为9.3g/d·头/只，尿液中污染物总氮含量为11.2g/d·头/只，则生猪全氮产生量约20.5g/d·头。同时根据《畜禽养殖业污染物排放标准》（GB1859-2001）的规定，将生猪换算成肉羊，换算比例为3只羊换算成1头猪，则本项目</w:t>
      </w:r>
      <w:r>
        <w:rPr>
          <w:rFonts w:hint="eastAsia"/>
          <w:lang w:val="en-US" w:eastAsia="zh-CN"/>
        </w:rPr>
        <w:t>肉</w:t>
      </w:r>
      <w:r>
        <w:rPr>
          <w:rFonts w:hint="eastAsia"/>
        </w:rPr>
        <w:t>羊全氮产生量约6.83g/d·只。然后根据《环境评价工程师使用手册》（环境科学出版社）中“第八篇农业环境影响评价方法”及“第二章畜牧业项目环境影响评价”中相关内容</w:t>
      </w:r>
      <w:r>
        <w:rPr>
          <w:rFonts w:hint="eastAsia"/>
          <w:lang w:val="en-US" w:eastAsia="zh-CN"/>
        </w:rPr>
        <w:t>可知</w:t>
      </w:r>
      <w:r>
        <w:rPr>
          <w:rFonts w:hint="eastAsia"/>
        </w:rPr>
        <w:t>，羊粪污中总氮转化为NH</w:t>
      </w:r>
      <w:r>
        <w:rPr>
          <w:rFonts w:hint="eastAsia"/>
          <w:vertAlign w:val="subscript"/>
        </w:rPr>
        <w:t>3</w:t>
      </w:r>
      <w:r>
        <w:rPr>
          <w:rFonts w:hint="eastAsia"/>
        </w:rPr>
        <w:t>的比约为1%，H</w:t>
      </w:r>
      <w:r>
        <w:rPr>
          <w:rFonts w:hint="eastAsia"/>
          <w:vertAlign w:val="subscript"/>
        </w:rPr>
        <w:t>2</w:t>
      </w:r>
      <w:r>
        <w:rPr>
          <w:rFonts w:hint="eastAsia"/>
        </w:rPr>
        <w:t>S为NH</w:t>
      </w:r>
      <w:r>
        <w:rPr>
          <w:rFonts w:hint="eastAsia"/>
          <w:vertAlign w:val="subscript"/>
        </w:rPr>
        <w:t>3</w:t>
      </w:r>
      <w:r>
        <w:rPr>
          <w:rFonts w:hint="eastAsia"/>
        </w:rPr>
        <w:t>转化量的10%。本项目羊粪</w:t>
      </w:r>
      <w:r>
        <w:rPr>
          <w:rFonts w:hint="eastAsia"/>
          <w:lang w:val="en-US" w:eastAsia="zh-CN"/>
        </w:rPr>
        <w:t>污</w:t>
      </w:r>
      <w:r>
        <w:rPr>
          <w:rFonts w:hint="eastAsia"/>
        </w:rPr>
        <w:t>全氮产生量约6.83g/d·只，则NH</w:t>
      </w:r>
      <w:r>
        <w:rPr>
          <w:rFonts w:hint="eastAsia"/>
          <w:vertAlign w:val="subscript"/>
        </w:rPr>
        <w:t>3</w:t>
      </w:r>
      <w:r>
        <w:rPr>
          <w:rFonts w:hint="eastAsia"/>
        </w:rPr>
        <w:t>的产生量为0.0683g/只，H</w:t>
      </w:r>
      <w:r>
        <w:rPr>
          <w:rFonts w:hint="eastAsia"/>
          <w:vertAlign w:val="subscript"/>
        </w:rPr>
        <w:t>2</w:t>
      </w:r>
      <w:r>
        <w:rPr>
          <w:rFonts w:hint="eastAsia"/>
        </w:rPr>
        <w:t>S的产生量为0.00683g/只。本项目待宰圈肉羊最大暂存量按照日屠宰量计算，取1650只/d，则待宰圈中NH</w:t>
      </w:r>
      <w:r>
        <w:rPr>
          <w:rFonts w:hint="eastAsia"/>
          <w:vertAlign w:val="subscript"/>
        </w:rPr>
        <w:t>3</w:t>
      </w:r>
      <w:r>
        <w:rPr>
          <w:rFonts w:hint="eastAsia"/>
        </w:rPr>
        <w:t>的产生量为0.113kg/d（0.042t/a），NH</w:t>
      </w:r>
      <w:r>
        <w:rPr>
          <w:rFonts w:hint="eastAsia"/>
          <w:vertAlign w:val="subscript"/>
        </w:rPr>
        <w:t>3</w:t>
      </w:r>
      <w:r>
        <w:rPr>
          <w:rFonts w:hint="eastAsia"/>
        </w:rPr>
        <w:t>的产生速率为0.005kg/h</w:t>
      </w:r>
      <w:r>
        <w:rPr>
          <w:rFonts w:hint="eastAsia"/>
          <w:lang w:eastAsia="zh-CN"/>
        </w:rPr>
        <w:t>；</w:t>
      </w:r>
      <w:r>
        <w:rPr>
          <w:rFonts w:hint="eastAsia"/>
        </w:rPr>
        <w:t>H</w:t>
      </w:r>
      <w:r>
        <w:rPr>
          <w:rFonts w:hint="eastAsia"/>
          <w:vertAlign w:val="subscript"/>
        </w:rPr>
        <w:t>2</w:t>
      </w:r>
      <w:r>
        <w:rPr>
          <w:rFonts w:hint="eastAsia"/>
        </w:rPr>
        <w:t>S的产生量为0.0113kg/d（0.0042t/a），H</w:t>
      </w:r>
      <w:r>
        <w:rPr>
          <w:rFonts w:hint="eastAsia"/>
          <w:vertAlign w:val="subscript"/>
        </w:rPr>
        <w:t>2</w:t>
      </w:r>
      <w:r>
        <w:rPr>
          <w:rFonts w:hint="eastAsia"/>
        </w:rPr>
        <w:t>S的产生速率为0.0005kg/h。本项目待宰圈内牲畜产生的粪便日产日清（采用干清粪工艺进行收集处理），并定期喷洒生物除臭剂对待宰圈恶臭气体进行治理。根据《高效微生物除臭剂在畜禽粪便堆制中的应用效果及其除臭机理研究》（张生伟，黄旺洲，姚拓，杨巧丽，王鹏飞，李生贵，闫尊强，滚双宝）中的研究数据可知，在喷洒生物除臭剂后的前5d对畜禽粪便中NH</w:t>
      </w:r>
      <w:r>
        <w:rPr>
          <w:rFonts w:hint="eastAsia"/>
          <w:vertAlign w:val="subscript"/>
        </w:rPr>
        <w:t>3</w:t>
      </w:r>
      <w:r>
        <w:rPr>
          <w:rFonts w:hint="eastAsia"/>
        </w:rPr>
        <w:t>和H</w:t>
      </w:r>
      <w:r>
        <w:rPr>
          <w:rFonts w:hint="eastAsia"/>
          <w:vertAlign w:val="subscript"/>
        </w:rPr>
        <w:t>2</w:t>
      </w:r>
      <w:r>
        <w:rPr>
          <w:rFonts w:hint="eastAsia"/>
        </w:rPr>
        <w:t>S去除效率可达到80%以上，本项目羊粪日产日清，因此其去除臭效率可以达到80%以上，则经过以上治理措施后NH</w:t>
      </w:r>
      <w:r>
        <w:rPr>
          <w:rFonts w:hint="eastAsia"/>
          <w:vertAlign w:val="subscript"/>
        </w:rPr>
        <w:t>3</w:t>
      </w:r>
      <w:r>
        <w:rPr>
          <w:rFonts w:hint="eastAsia"/>
        </w:rPr>
        <w:t>排放量为0.023kg/d</w:t>
      </w:r>
      <w:r>
        <w:rPr>
          <w:rFonts w:hint="eastAsia"/>
          <w:lang w:eastAsia="zh-CN"/>
        </w:rPr>
        <w:t>（</w:t>
      </w:r>
      <w:r>
        <w:rPr>
          <w:rFonts w:hint="eastAsia"/>
          <w:lang w:val="en-US" w:eastAsia="zh-CN"/>
        </w:rPr>
        <w:t>0.0084t/a</w:t>
      </w:r>
      <w:r>
        <w:rPr>
          <w:rFonts w:hint="eastAsia"/>
          <w:lang w:eastAsia="zh-CN"/>
        </w:rPr>
        <w:t>），</w:t>
      </w:r>
      <w:r>
        <w:rPr>
          <w:rFonts w:hint="eastAsia"/>
        </w:rPr>
        <w:t>排放速率为</w:t>
      </w:r>
      <w:r>
        <w:rPr>
          <w:rFonts w:hint="eastAsia"/>
          <w:lang w:val="en-US" w:eastAsia="zh-CN"/>
        </w:rPr>
        <w:t>0.00096kg/h；</w:t>
      </w:r>
      <w:r>
        <w:rPr>
          <w:rFonts w:hint="eastAsia"/>
        </w:rPr>
        <w:t>H</w:t>
      </w:r>
      <w:r>
        <w:rPr>
          <w:rFonts w:hint="eastAsia"/>
          <w:vertAlign w:val="subscript"/>
        </w:rPr>
        <w:t>2</w:t>
      </w:r>
      <w:r>
        <w:rPr>
          <w:rFonts w:hint="eastAsia"/>
        </w:rPr>
        <w:t>S排放量为0.0</w:t>
      </w:r>
      <w:r>
        <w:rPr>
          <w:rFonts w:hint="eastAsia"/>
          <w:lang w:val="en-US" w:eastAsia="zh-CN"/>
        </w:rPr>
        <w:t>0</w:t>
      </w:r>
      <w:r>
        <w:rPr>
          <w:rFonts w:hint="eastAsia"/>
        </w:rPr>
        <w:t>23kg/d</w:t>
      </w:r>
      <w:r>
        <w:rPr>
          <w:rFonts w:hint="eastAsia"/>
          <w:lang w:eastAsia="zh-CN"/>
        </w:rPr>
        <w:t>（</w:t>
      </w:r>
      <w:r>
        <w:rPr>
          <w:rFonts w:hint="eastAsia"/>
          <w:lang w:val="en-US" w:eastAsia="zh-CN"/>
        </w:rPr>
        <w:t>0.00084t/a</w:t>
      </w:r>
      <w:r>
        <w:rPr>
          <w:rFonts w:hint="eastAsia"/>
          <w:lang w:eastAsia="zh-CN"/>
        </w:rPr>
        <w:t>），</w:t>
      </w:r>
      <w:r>
        <w:rPr>
          <w:rFonts w:hint="eastAsia"/>
        </w:rPr>
        <w:t>排放速率为</w:t>
      </w:r>
      <w:r>
        <w:rPr>
          <w:rFonts w:hint="eastAsia"/>
          <w:lang w:val="en-US" w:eastAsia="zh-CN"/>
        </w:rPr>
        <w:t>0.000096kg/h</w:t>
      </w:r>
      <w:r>
        <w:rPr>
          <w:rFonts w:hint="eastAsia"/>
        </w:rPr>
        <w:t>。</w:t>
      </w:r>
    </w:p>
    <w:p>
      <w:pPr>
        <w:ind w:firstLine="482"/>
        <w:rPr>
          <w:b/>
          <w:bCs/>
        </w:rPr>
      </w:pPr>
      <w:r>
        <w:rPr>
          <w:rFonts w:hint="eastAsia"/>
          <w:b/>
          <w:bCs/>
        </w:rPr>
        <w:t>（2）</w:t>
      </w:r>
      <w:r>
        <w:rPr>
          <w:b/>
          <w:bCs/>
        </w:rPr>
        <w:t>屠宰</w:t>
      </w:r>
      <w:r>
        <w:rPr>
          <w:rFonts w:hint="eastAsia"/>
          <w:b/>
          <w:bCs/>
        </w:rPr>
        <w:t>车间</w:t>
      </w:r>
      <w:r>
        <w:rPr>
          <w:b/>
          <w:bCs/>
        </w:rPr>
        <w:t>恶臭</w:t>
      </w:r>
      <w:r>
        <w:rPr>
          <w:rFonts w:hint="eastAsia"/>
          <w:b/>
          <w:bCs/>
        </w:rPr>
        <w:t>气体</w:t>
      </w:r>
    </w:p>
    <w:p>
      <w:pPr>
        <w:ind w:firstLine="480"/>
      </w:pPr>
      <w:r>
        <w:rPr>
          <w:rFonts w:hint="eastAsia"/>
        </w:rPr>
        <w:t>屠宰间包括屠宰区和副产品加工区，屠宰区和副产品加工区内许多作业都要使用自来水，地面上容易附着有大量自来水，所以空气湿度很高，屠宰后的牲畜的湿皮、血、肠胃内容物、粪尿等的臭气混杂在一起，产生刺鼻的腥臭味，并扩散至整个厂区及周围地区。</w:t>
      </w:r>
    </w:p>
    <w:p>
      <w:pPr>
        <w:ind w:firstLine="480"/>
      </w:pPr>
      <w:r>
        <w:rPr>
          <w:rFonts w:hint="eastAsia"/>
        </w:rPr>
        <w:t>本项目屠宰间恶臭气体产生量根据《环评中屠宰项目污染源强的确定》（李易，环评中屠宰项目污染源强的确定[J]，辽宁省环境科学学会，2008年学术年会，2009）中恶臭物质浓度与臭气强度的关系进行核算，具体详见表</w:t>
      </w:r>
      <w:r>
        <w:rPr>
          <w:rFonts w:hint="eastAsia"/>
          <w:lang w:val="en-US" w:eastAsia="zh-CN"/>
        </w:rPr>
        <w:t>3.20</w:t>
      </w:r>
      <w:r>
        <w:rPr>
          <w:rFonts w:hint="eastAsia"/>
        </w:rPr>
        <w:t>和</w:t>
      </w:r>
      <w:r>
        <w:rPr>
          <w:rFonts w:hint="eastAsia"/>
          <w:lang w:val="en-US" w:eastAsia="zh-CN"/>
        </w:rPr>
        <w:t>3.21</w:t>
      </w:r>
      <w:r>
        <w:rPr>
          <w:rFonts w:hint="eastAsia"/>
        </w:rPr>
        <w:t>。</w:t>
      </w:r>
    </w:p>
    <w:p>
      <w:pPr>
        <w:spacing w:line="240" w:lineRule="auto"/>
        <w:ind w:firstLine="482"/>
        <w:jc w:val="center"/>
        <w:rPr>
          <w:b/>
          <w:bCs/>
        </w:rPr>
      </w:pPr>
      <w:r>
        <w:rPr>
          <w:rFonts w:hint="eastAsia"/>
          <w:b/>
          <w:bCs/>
        </w:rPr>
        <w:t>表</w:t>
      </w:r>
      <w:r>
        <w:rPr>
          <w:rFonts w:hint="eastAsia"/>
          <w:b/>
          <w:bCs/>
          <w:lang w:val="en-US" w:eastAsia="zh-CN"/>
        </w:rPr>
        <w:t>3.20</w:t>
      </w:r>
      <w:r>
        <w:rPr>
          <w:rFonts w:hint="eastAsia"/>
          <w:b/>
          <w:bCs/>
        </w:rPr>
        <w:t xml:space="preserve">    臭气强度分级表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3986"/>
        <w:gridCol w:w="1343"/>
        <w:gridCol w:w="3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pct"/>
            <w:tcBorders>
              <w:tl2br w:val="nil"/>
              <w:tr2bl w:val="nil"/>
            </w:tcBorders>
            <w:vAlign w:val="center"/>
          </w:tcPr>
          <w:p>
            <w:pPr>
              <w:spacing w:line="240" w:lineRule="auto"/>
              <w:ind w:firstLine="0" w:firstLineChars="0"/>
              <w:jc w:val="center"/>
              <w:rPr>
                <w:b/>
                <w:bCs/>
                <w:sz w:val="21"/>
                <w:szCs w:val="21"/>
              </w:rPr>
            </w:pPr>
            <w:r>
              <w:rPr>
                <w:b/>
                <w:bCs/>
                <w:sz w:val="21"/>
                <w:szCs w:val="21"/>
              </w:rPr>
              <w:t>强度等级</w:t>
            </w:r>
          </w:p>
        </w:tc>
        <w:tc>
          <w:tcPr>
            <w:tcW w:w="2000" w:type="pct"/>
            <w:tcBorders>
              <w:tl2br w:val="nil"/>
              <w:tr2bl w:val="nil"/>
            </w:tcBorders>
            <w:vAlign w:val="center"/>
          </w:tcPr>
          <w:p>
            <w:pPr>
              <w:widowControl/>
              <w:spacing w:line="240" w:lineRule="auto"/>
              <w:ind w:firstLine="0" w:firstLineChars="0"/>
              <w:jc w:val="center"/>
              <w:rPr>
                <w:b/>
                <w:bCs/>
                <w:sz w:val="21"/>
                <w:szCs w:val="21"/>
              </w:rPr>
            </w:pPr>
            <w:r>
              <w:rPr>
                <w:b/>
                <w:bCs/>
                <w:color w:val="000000"/>
                <w:kern w:val="0"/>
                <w:sz w:val="21"/>
                <w:szCs w:val="21"/>
                <w:lang w:bidi="ar"/>
              </w:rPr>
              <w:t>嗅觉判别标准</w:t>
            </w:r>
          </w:p>
        </w:tc>
        <w:tc>
          <w:tcPr>
            <w:tcW w:w="674" w:type="pct"/>
            <w:tcBorders>
              <w:tl2br w:val="nil"/>
              <w:tr2bl w:val="nil"/>
            </w:tcBorders>
            <w:vAlign w:val="center"/>
          </w:tcPr>
          <w:p>
            <w:pPr>
              <w:widowControl/>
              <w:spacing w:line="240" w:lineRule="auto"/>
              <w:ind w:firstLine="0" w:firstLineChars="0"/>
              <w:jc w:val="center"/>
              <w:rPr>
                <w:b/>
                <w:bCs/>
                <w:sz w:val="21"/>
                <w:szCs w:val="21"/>
              </w:rPr>
            </w:pPr>
            <w:r>
              <w:rPr>
                <w:b/>
                <w:bCs/>
                <w:color w:val="000000"/>
                <w:kern w:val="0"/>
                <w:sz w:val="21"/>
                <w:szCs w:val="21"/>
                <w:lang w:bidi="ar"/>
              </w:rPr>
              <w:t>强度等级</w:t>
            </w:r>
          </w:p>
        </w:tc>
        <w:tc>
          <w:tcPr>
            <w:tcW w:w="1686" w:type="pct"/>
            <w:tcBorders>
              <w:tl2br w:val="nil"/>
              <w:tr2bl w:val="nil"/>
            </w:tcBorders>
            <w:vAlign w:val="center"/>
          </w:tcPr>
          <w:p>
            <w:pPr>
              <w:widowControl/>
              <w:spacing w:line="240" w:lineRule="auto"/>
              <w:ind w:firstLine="422"/>
              <w:jc w:val="center"/>
              <w:rPr>
                <w:b/>
                <w:bCs/>
                <w:sz w:val="21"/>
                <w:szCs w:val="21"/>
              </w:rPr>
            </w:pPr>
            <w:r>
              <w:rPr>
                <w:b/>
                <w:bCs/>
                <w:color w:val="000000"/>
                <w:kern w:val="0"/>
                <w:sz w:val="21"/>
                <w:szCs w:val="21"/>
                <w:lang w:bidi="ar"/>
              </w:rPr>
              <w:t>嗅觉判别标准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000" w:type="pct"/>
            <w:tcBorders>
              <w:tl2br w:val="nil"/>
              <w:tr2bl w:val="nil"/>
            </w:tcBorders>
            <w:vAlign w:val="center"/>
          </w:tcPr>
          <w:p>
            <w:pPr>
              <w:widowControl/>
              <w:spacing w:line="240" w:lineRule="auto"/>
              <w:ind w:firstLine="0" w:firstLineChars="0"/>
              <w:jc w:val="center"/>
              <w:rPr>
                <w:sz w:val="21"/>
                <w:szCs w:val="21"/>
              </w:rPr>
            </w:pPr>
            <w:r>
              <w:rPr>
                <w:color w:val="000000"/>
                <w:kern w:val="0"/>
                <w:sz w:val="21"/>
                <w:szCs w:val="21"/>
                <w:lang w:bidi="ar"/>
              </w:rPr>
              <w:t>无臭</w:t>
            </w:r>
          </w:p>
        </w:tc>
        <w:tc>
          <w:tcPr>
            <w:tcW w:w="674"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1686" w:type="pct"/>
            <w:tcBorders>
              <w:tl2br w:val="nil"/>
              <w:tr2bl w:val="nil"/>
            </w:tcBorders>
            <w:vAlign w:val="center"/>
          </w:tcPr>
          <w:p>
            <w:pPr>
              <w:widowControl/>
              <w:spacing w:line="240" w:lineRule="auto"/>
              <w:ind w:firstLine="0" w:firstLineChars="0"/>
              <w:jc w:val="center"/>
              <w:rPr>
                <w:color w:val="000000"/>
                <w:kern w:val="0"/>
                <w:sz w:val="21"/>
                <w:szCs w:val="21"/>
                <w:lang w:bidi="ar"/>
              </w:rPr>
            </w:pPr>
            <w:r>
              <w:rPr>
                <w:color w:val="000000"/>
                <w:kern w:val="0"/>
                <w:sz w:val="21"/>
                <w:szCs w:val="21"/>
                <w:lang w:bidi="ar"/>
              </w:rPr>
              <w:t>明显感到臭味（可嗅气种类）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2000" w:type="pct"/>
            <w:tcBorders>
              <w:tl2br w:val="nil"/>
              <w:tr2bl w:val="nil"/>
            </w:tcBorders>
            <w:vAlign w:val="center"/>
          </w:tcPr>
          <w:p>
            <w:pPr>
              <w:widowControl/>
              <w:spacing w:line="240" w:lineRule="auto"/>
              <w:ind w:firstLine="0" w:firstLineChars="0"/>
              <w:jc w:val="center"/>
              <w:rPr>
                <w:sz w:val="21"/>
                <w:szCs w:val="21"/>
              </w:rPr>
            </w:pPr>
            <w:r>
              <w:rPr>
                <w:color w:val="000000"/>
                <w:kern w:val="0"/>
                <w:sz w:val="21"/>
                <w:szCs w:val="21"/>
                <w:lang w:bidi="ar"/>
              </w:rPr>
              <w:t>勉强可以感到轻微臭觉（检知阈值）</w:t>
            </w:r>
          </w:p>
        </w:tc>
        <w:tc>
          <w:tcPr>
            <w:tcW w:w="674" w:type="pct"/>
            <w:tcBorders>
              <w:tl2br w:val="nil"/>
              <w:tr2bl w:val="nil"/>
            </w:tcBorders>
            <w:vAlign w:val="center"/>
          </w:tcPr>
          <w:p>
            <w:pPr>
              <w:spacing w:line="240" w:lineRule="auto"/>
              <w:ind w:firstLine="0" w:firstLineChars="0"/>
              <w:jc w:val="center"/>
              <w:rPr>
                <w:sz w:val="21"/>
                <w:szCs w:val="21"/>
              </w:rPr>
            </w:pPr>
            <w:r>
              <w:rPr>
                <w:sz w:val="21"/>
                <w:szCs w:val="21"/>
              </w:rPr>
              <w:t>4</w:t>
            </w:r>
          </w:p>
        </w:tc>
        <w:tc>
          <w:tcPr>
            <w:tcW w:w="1686" w:type="pct"/>
            <w:tcBorders>
              <w:tl2br w:val="nil"/>
              <w:tr2bl w:val="nil"/>
            </w:tcBorders>
            <w:vAlign w:val="center"/>
          </w:tcPr>
          <w:p>
            <w:pPr>
              <w:widowControl/>
              <w:spacing w:line="240" w:lineRule="auto"/>
              <w:ind w:firstLine="0" w:firstLineChars="0"/>
              <w:jc w:val="center"/>
              <w:rPr>
                <w:color w:val="000000"/>
                <w:kern w:val="0"/>
                <w:sz w:val="21"/>
                <w:szCs w:val="21"/>
                <w:lang w:bidi="ar"/>
              </w:rPr>
            </w:pPr>
            <w:r>
              <w:rPr>
                <w:rFonts w:hint="eastAsia"/>
                <w:color w:val="000000"/>
                <w:kern w:val="0"/>
                <w:sz w:val="21"/>
                <w:szCs w:val="21"/>
                <w:lang w:bidi="ar"/>
              </w:rPr>
              <w:t>强烈臭觉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2000" w:type="pct"/>
            <w:tcBorders>
              <w:tl2br w:val="nil"/>
              <w:tr2bl w:val="nil"/>
            </w:tcBorders>
            <w:vAlign w:val="center"/>
          </w:tcPr>
          <w:p>
            <w:pPr>
              <w:widowControl/>
              <w:spacing w:line="240" w:lineRule="auto"/>
              <w:ind w:firstLine="0" w:firstLineChars="0"/>
              <w:jc w:val="center"/>
              <w:rPr>
                <w:sz w:val="21"/>
                <w:szCs w:val="21"/>
              </w:rPr>
            </w:pPr>
            <w:r>
              <w:rPr>
                <w:color w:val="000000"/>
                <w:kern w:val="0"/>
                <w:sz w:val="21"/>
                <w:szCs w:val="21"/>
                <w:lang w:bidi="ar"/>
              </w:rPr>
              <w:t>容易感到轻微臭味（认知阈值浓度）</w:t>
            </w:r>
          </w:p>
        </w:tc>
        <w:tc>
          <w:tcPr>
            <w:tcW w:w="674" w:type="pct"/>
            <w:tcBorders>
              <w:tl2br w:val="nil"/>
              <w:tr2bl w:val="nil"/>
            </w:tcBorders>
            <w:vAlign w:val="center"/>
          </w:tcPr>
          <w:p>
            <w:pPr>
              <w:spacing w:line="240" w:lineRule="auto"/>
              <w:ind w:firstLine="0" w:firstLineChars="0"/>
              <w:jc w:val="center"/>
              <w:rPr>
                <w:sz w:val="21"/>
                <w:szCs w:val="21"/>
              </w:rPr>
            </w:pPr>
            <w:r>
              <w:rPr>
                <w:sz w:val="21"/>
                <w:szCs w:val="21"/>
              </w:rPr>
              <w:t>5</w:t>
            </w:r>
          </w:p>
        </w:tc>
        <w:tc>
          <w:tcPr>
            <w:tcW w:w="1686" w:type="pct"/>
            <w:tcBorders>
              <w:tl2br w:val="nil"/>
              <w:tr2bl w:val="nil"/>
            </w:tcBorders>
            <w:vAlign w:val="center"/>
          </w:tcPr>
          <w:p>
            <w:pPr>
              <w:widowControl/>
              <w:spacing w:line="240" w:lineRule="auto"/>
              <w:ind w:firstLine="0" w:firstLineChars="0"/>
              <w:jc w:val="center"/>
              <w:rPr>
                <w:color w:val="000000"/>
                <w:kern w:val="0"/>
                <w:sz w:val="21"/>
                <w:szCs w:val="21"/>
                <w:lang w:bidi="ar"/>
              </w:rPr>
            </w:pPr>
            <w:r>
              <w:rPr>
                <w:rFonts w:hint="eastAsia"/>
                <w:color w:val="000000"/>
                <w:kern w:val="0"/>
                <w:sz w:val="21"/>
                <w:szCs w:val="21"/>
                <w:lang w:bidi="ar"/>
              </w:rPr>
              <w:t>无法忍受的强烈臭觉</w:t>
            </w:r>
          </w:p>
        </w:tc>
      </w:tr>
    </w:tbl>
    <w:p>
      <w:pPr>
        <w:spacing w:line="240" w:lineRule="auto"/>
        <w:ind w:firstLine="482"/>
        <w:jc w:val="center"/>
        <w:rPr>
          <w:rFonts w:hint="eastAsia"/>
          <w:b/>
          <w:bCs/>
        </w:rPr>
      </w:pPr>
    </w:p>
    <w:p>
      <w:pPr>
        <w:spacing w:line="240" w:lineRule="auto"/>
        <w:ind w:firstLine="482"/>
        <w:jc w:val="center"/>
        <w:rPr>
          <w:b/>
          <w:bCs/>
        </w:rPr>
      </w:pPr>
      <w:r>
        <w:rPr>
          <w:rFonts w:hint="eastAsia"/>
          <w:b/>
          <w:bCs/>
        </w:rPr>
        <w:t>表</w:t>
      </w:r>
      <w:r>
        <w:rPr>
          <w:rFonts w:hint="eastAsia"/>
          <w:b/>
          <w:bCs/>
          <w:lang w:val="en-US" w:eastAsia="zh-CN"/>
        </w:rPr>
        <w:t>3.21</w:t>
      </w:r>
      <w:r>
        <w:rPr>
          <w:rFonts w:hint="eastAsia"/>
          <w:b/>
          <w:bCs/>
        </w:rPr>
        <w:t xml:space="preserve">    恶臭物质浓度与臭气强度的关系</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8"/>
        <w:gridCol w:w="1493"/>
        <w:gridCol w:w="1940"/>
        <w:gridCol w:w="1334"/>
        <w:gridCol w:w="1852"/>
        <w:gridCol w:w="2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pct"/>
            <w:tcBorders>
              <w:tl2br w:val="nil"/>
              <w:tr2bl w:val="nil"/>
            </w:tcBorders>
            <w:vAlign w:val="center"/>
          </w:tcPr>
          <w:p>
            <w:pPr>
              <w:spacing w:line="240" w:lineRule="auto"/>
              <w:ind w:firstLine="0" w:firstLineChars="0"/>
              <w:jc w:val="center"/>
              <w:rPr>
                <w:b/>
                <w:bCs/>
                <w:sz w:val="21"/>
                <w:szCs w:val="21"/>
              </w:rPr>
            </w:pPr>
            <w:r>
              <w:rPr>
                <w:b/>
                <w:bCs/>
                <w:sz w:val="21"/>
                <w:szCs w:val="21"/>
              </w:rPr>
              <w:t>强度等级</w:t>
            </w:r>
          </w:p>
        </w:tc>
        <w:tc>
          <w:tcPr>
            <w:tcW w:w="749" w:type="pct"/>
            <w:tcBorders>
              <w:tl2br w:val="nil"/>
              <w:tr2bl w:val="nil"/>
            </w:tcBorders>
            <w:vAlign w:val="center"/>
          </w:tcPr>
          <w:p>
            <w:pPr>
              <w:spacing w:line="240" w:lineRule="auto"/>
              <w:ind w:firstLine="0" w:firstLineChars="0"/>
              <w:jc w:val="center"/>
              <w:rPr>
                <w:b/>
                <w:bCs/>
                <w:sz w:val="21"/>
                <w:szCs w:val="21"/>
              </w:rPr>
            </w:pPr>
            <w:r>
              <w:rPr>
                <w:b/>
                <w:bCs/>
                <w:sz w:val="21"/>
                <w:szCs w:val="21"/>
              </w:rPr>
              <w:t>氨（mg/m</w:t>
            </w:r>
            <w:r>
              <w:rPr>
                <w:b/>
                <w:bCs/>
                <w:sz w:val="21"/>
                <w:szCs w:val="21"/>
                <w:vertAlign w:val="superscript"/>
              </w:rPr>
              <w:t>3</w:t>
            </w:r>
            <w:r>
              <w:rPr>
                <w:b/>
                <w:bCs/>
                <w:sz w:val="21"/>
                <w:szCs w:val="21"/>
              </w:rPr>
              <w:t>）</w:t>
            </w:r>
          </w:p>
        </w:tc>
        <w:tc>
          <w:tcPr>
            <w:tcW w:w="973" w:type="pct"/>
            <w:tcBorders>
              <w:tl2br w:val="nil"/>
              <w:tr2bl w:val="nil"/>
            </w:tcBorders>
            <w:vAlign w:val="center"/>
          </w:tcPr>
          <w:p>
            <w:pPr>
              <w:spacing w:line="240" w:lineRule="auto"/>
              <w:ind w:firstLine="0" w:firstLineChars="0"/>
              <w:jc w:val="center"/>
              <w:rPr>
                <w:b/>
                <w:bCs/>
                <w:sz w:val="21"/>
                <w:szCs w:val="21"/>
              </w:rPr>
            </w:pPr>
            <w:r>
              <w:rPr>
                <w:b/>
                <w:bCs/>
                <w:sz w:val="21"/>
                <w:szCs w:val="21"/>
              </w:rPr>
              <w:t>硫化氢（mg/m</w:t>
            </w:r>
            <w:r>
              <w:rPr>
                <w:b/>
                <w:bCs/>
                <w:sz w:val="21"/>
                <w:szCs w:val="21"/>
                <w:vertAlign w:val="superscript"/>
              </w:rPr>
              <w:t>3</w:t>
            </w:r>
            <w:r>
              <w:rPr>
                <w:b/>
                <w:bCs/>
                <w:sz w:val="21"/>
                <w:szCs w:val="21"/>
              </w:rPr>
              <w:t>）</w:t>
            </w:r>
          </w:p>
        </w:tc>
        <w:tc>
          <w:tcPr>
            <w:tcW w:w="669" w:type="pct"/>
            <w:tcBorders>
              <w:tl2br w:val="nil"/>
              <w:tr2bl w:val="nil"/>
            </w:tcBorders>
            <w:vAlign w:val="center"/>
          </w:tcPr>
          <w:p>
            <w:pPr>
              <w:spacing w:line="240" w:lineRule="auto"/>
              <w:ind w:firstLine="0" w:firstLineChars="0"/>
              <w:jc w:val="center"/>
              <w:rPr>
                <w:b/>
                <w:bCs/>
                <w:sz w:val="21"/>
                <w:szCs w:val="21"/>
              </w:rPr>
            </w:pPr>
            <w:r>
              <w:rPr>
                <w:b/>
                <w:bCs/>
                <w:sz w:val="21"/>
                <w:szCs w:val="21"/>
              </w:rPr>
              <w:t>强度等级</w:t>
            </w:r>
          </w:p>
        </w:tc>
        <w:tc>
          <w:tcPr>
            <w:tcW w:w="929" w:type="pct"/>
            <w:tcBorders>
              <w:tl2br w:val="nil"/>
              <w:tr2bl w:val="nil"/>
            </w:tcBorders>
            <w:vAlign w:val="center"/>
          </w:tcPr>
          <w:p>
            <w:pPr>
              <w:spacing w:line="240" w:lineRule="auto"/>
              <w:ind w:firstLine="0" w:firstLineChars="0"/>
              <w:jc w:val="center"/>
              <w:rPr>
                <w:b/>
                <w:bCs/>
                <w:sz w:val="21"/>
                <w:szCs w:val="21"/>
              </w:rPr>
            </w:pPr>
            <w:r>
              <w:rPr>
                <w:b/>
                <w:bCs/>
                <w:sz w:val="21"/>
                <w:szCs w:val="21"/>
              </w:rPr>
              <w:t>氨（mg/m</w:t>
            </w:r>
            <w:r>
              <w:rPr>
                <w:b/>
                <w:bCs/>
                <w:sz w:val="21"/>
                <w:szCs w:val="21"/>
                <w:vertAlign w:val="superscript"/>
              </w:rPr>
              <w:t>3</w:t>
            </w:r>
            <w:r>
              <w:rPr>
                <w:b/>
                <w:bCs/>
                <w:sz w:val="21"/>
                <w:szCs w:val="21"/>
              </w:rPr>
              <w:t>）</w:t>
            </w:r>
          </w:p>
        </w:tc>
        <w:tc>
          <w:tcPr>
            <w:tcW w:w="1041" w:type="pct"/>
            <w:tcBorders>
              <w:tl2br w:val="nil"/>
              <w:tr2bl w:val="nil"/>
            </w:tcBorders>
            <w:vAlign w:val="center"/>
          </w:tcPr>
          <w:p>
            <w:pPr>
              <w:spacing w:line="240" w:lineRule="auto"/>
              <w:ind w:firstLine="0" w:firstLineChars="0"/>
              <w:jc w:val="center"/>
              <w:rPr>
                <w:b/>
                <w:bCs/>
                <w:sz w:val="21"/>
                <w:szCs w:val="21"/>
              </w:rPr>
            </w:pPr>
            <w:r>
              <w:rPr>
                <w:b/>
                <w:bCs/>
                <w:sz w:val="21"/>
                <w:szCs w:val="21"/>
              </w:rPr>
              <w:t>硫化氢（mg/m</w:t>
            </w:r>
            <w:r>
              <w:rPr>
                <w:b/>
                <w:bCs/>
                <w:sz w:val="21"/>
                <w:szCs w:val="21"/>
                <w:vertAlign w:val="superscript"/>
              </w:rPr>
              <w:t>3</w:t>
            </w:r>
            <w:r>
              <w:rPr>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0.1</w:t>
            </w:r>
          </w:p>
        </w:tc>
        <w:tc>
          <w:tcPr>
            <w:tcW w:w="973" w:type="pct"/>
            <w:tcBorders>
              <w:tl2br w:val="nil"/>
              <w:tr2bl w:val="nil"/>
            </w:tcBorders>
            <w:vAlign w:val="center"/>
          </w:tcPr>
          <w:p>
            <w:pPr>
              <w:spacing w:line="240" w:lineRule="auto"/>
              <w:ind w:firstLine="0" w:firstLineChars="0"/>
              <w:jc w:val="center"/>
              <w:rPr>
                <w:sz w:val="21"/>
                <w:szCs w:val="21"/>
              </w:rPr>
            </w:pPr>
            <w:r>
              <w:rPr>
                <w:rFonts w:hint="eastAsia"/>
                <w:sz w:val="21"/>
                <w:szCs w:val="21"/>
              </w:rPr>
              <w:t>0.0005</w:t>
            </w:r>
          </w:p>
        </w:tc>
        <w:tc>
          <w:tcPr>
            <w:tcW w:w="669" w:type="pct"/>
            <w:tcBorders>
              <w:tl2br w:val="nil"/>
              <w:tr2bl w:val="nil"/>
            </w:tcBorders>
            <w:vAlign w:val="center"/>
          </w:tcPr>
          <w:p>
            <w:pPr>
              <w:spacing w:line="240" w:lineRule="auto"/>
              <w:ind w:firstLine="0" w:firstLineChars="0"/>
              <w:jc w:val="center"/>
              <w:rPr>
                <w:sz w:val="21"/>
                <w:szCs w:val="21"/>
              </w:rPr>
            </w:pPr>
            <w:r>
              <w:rPr>
                <w:sz w:val="21"/>
                <w:szCs w:val="21"/>
              </w:rPr>
              <w:t>3.5</w:t>
            </w:r>
          </w:p>
        </w:tc>
        <w:tc>
          <w:tcPr>
            <w:tcW w:w="929" w:type="pct"/>
            <w:tcBorders>
              <w:tl2br w:val="nil"/>
              <w:tr2bl w:val="nil"/>
            </w:tcBorders>
            <w:vAlign w:val="center"/>
          </w:tcPr>
          <w:p>
            <w:pPr>
              <w:spacing w:line="240" w:lineRule="auto"/>
              <w:ind w:firstLine="0" w:firstLineChars="0"/>
              <w:jc w:val="center"/>
              <w:rPr>
                <w:sz w:val="21"/>
                <w:szCs w:val="21"/>
              </w:rPr>
            </w:pPr>
            <w:r>
              <w:rPr>
                <w:rFonts w:hint="eastAsia"/>
                <w:sz w:val="21"/>
                <w:szCs w:val="21"/>
              </w:rPr>
              <w:t>5</w:t>
            </w:r>
          </w:p>
        </w:tc>
        <w:tc>
          <w:tcPr>
            <w:tcW w:w="1041" w:type="pct"/>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c>
          <w:tcPr>
            <w:tcW w:w="973" w:type="pct"/>
            <w:tcBorders>
              <w:tl2br w:val="nil"/>
              <w:tr2bl w:val="nil"/>
            </w:tcBorders>
            <w:vAlign w:val="center"/>
          </w:tcPr>
          <w:p>
            <w:pPr>
              <w:spacing w:line="240" w:lineRule="auto"/>
              <w:ind w:firstLine="0" w:firstLineChars="0"/>
              <w:jc w:val="center"/>
              <w:rPr>
                <w:sz w:val="21"/>
                <w:szCs w:val="21"/>
              </w:rPr>
            </w:pPr>
            <w:r>
              <w:rPr>
                <w:rFonts w:hint="eastAsia"/>
                <w:sz w:val="21"/>
                <w:szCs w:val="21"/>
              </w:rPr>
              <w:t>0.006</w:t>
            </w:r>
          </w:p>
        </w:tc>
        <w:tc>
          <w:tcPr>
            <w:tcW w:w="669" w:type="pct"/>
            <w:tcBorders>
              <w:tl2br w:val="nil"/>
              <w:tr2bl w:val="nil"/>
            </w:tcBorders>
            <w:vAlign w:val="center"/>
          </w:tcPr>
          <w:p>
            <w:pPr>
              <w:spacing w:line="240" w:lineRule="auto"/>
              <w:ind w:firstLine="0" w:firstLineChars="0"/>
              <w:jc w:val="center"/>
              <w:rPr>
                <w:sz w:val="21"/>
                <w:szCs w:val="21"/>
              </w:rPr>
            </w:pPr>
            <w:r>
              <w:rPr>
                <w:sz w:val="21"/>
                <w:szCs w:val="21"/>
              </w:rPr>
              <w:t>4</w:t>
            </w:r>
          </w:p>
        </w:tc>
        <w:tc>
          <w:tcPr>
            <w:tcW w:w="929"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1041" w:type="pct"/>
            <w:tcBorders>
              <w:tl2br w:val="nil"/>
              <w:tr2bl w:val="nil"/>
            </w:tcBorders>
            <w:vAlign w:val="center"/>
          </w:tcPr>
          <w:p>
            <w:pPr>
              <w:spacing w:line="240" w:lineRule="auto"/>
              <w:ind w:firstLine="0" w:firstLineChars="0"/>
              <w:jc w:val="center"/>
              <w:rPr>
                <w:sz w:val="21"/>
                <w:szCs w:val="21"/>
              </w:rPr>
            </w:pPr>
            <w:r>
              <w:rPr>
                <w:rFonts w:hint="eastAsia"/>
                <w:sz w:val="21"/>
                <w:szCs w:val="2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pct"/>
            <w:tcBorders>
              <w:tl2br w:val="nil"/>
              <w:tr2bl w:val="nil"/>
            </w:tcBorders>
            <w:vAlign w:val="center"/>
          </w:tcPr>
          <w:p>
            <w:pPr>
              <w:spacing w:line="240" w:lineRule="auto"/>
              <w:ind w:firstLine="0" w:firstLineChars="0"/>
              <w:jc w:val="center"/>
              <w:rPr>
                <w:sz w:val="21"/>
                <w:szCs w:val="21"/>
              </w:rPr>
            </w:pPr>
            <w:r>
              <w:rPr>
                <w:sz w:val="21"/>
                <w:szCs w:val="21"/>
              </w:rPr>
              <w:t>2.5</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97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669" w:type="pct"/>
            <w:tcBorders>
              <w:tl2br w:val="nil"/>
              <w:tr2bl w:val="nil"/>
            </w:tcBorders>
            <w:vAlign w:val="center"/>
          </w:tcPr>
          <w:p>
            <w:pPr>
              <w:spacing w:line="240" w:lineRule="auto"/>
              <w:ind w:firstLine="0" w:firstLineChars="0"/>
              <w:jc w:val="center"/>
              <w:rPr>
                <w:sz w:val="21"/>
                <w:szCs w:val="21"/>
              </w:rPr>
            </w:pPr>
            <w:r>
              <w:rPr>
                <w:sz w:val="21"/>
                <w:szCs w:val="21"/>
              </w:rPr>
              <w:t>5</w:t>
            </w:r>
          </w:p>
        </w:tc>
        <w:tc>
          <w:tcPr>
            <w:tcW w:w="929" w:type="pct"/>
            <w:tcBorders>
              <w:tl2br w:val="nil"/>
              <w:tr2bl w:val="nil"/>
            </w:tcBorders>
            <w:vAlign w:val="center"/>
          </w:tcPr>
          <w:p>
            <w:pPr>
              <w:spacing w:line="240" w:lineRule="auto"/>
              <w:ind w:firstLine="0" w:firstLineChars="0"/>
              <w:jc w:val="center"/>
              <w:rPr>
                <w:sz w:val="21"/>
                <w:szCs w:val="21"/>
              </w:rPr>
            </w:pPr>
            <w:r>
              <w:rPr>
                <w:rFonts w:hint="eastAsia"/>
                <w:sz w:val="21"/>
                <w:szCs w:val="21"/>
              </w:rPr>
              <w:t>40</w:t>
            </w:r>
          </w:p>
        </w:tc>
        <w:tc>
          <w:tcPr>
            <w:tcW w:w="1041" w:type="pct"/>
            <w:tcBorders>
              <w:tl2br w:val="nil"/>
              <w:tr2bl w:val="nil"/>
            </w:tcBorders>
            <w:vAlign w:val="center"/>
          </w:tcPr>
          <w:p>
            <w:pPr>
              <w:spacing w:line="240" w:lineRule="auto"/>
              <w:ind w:firstLine="0" w:firstLineChars="0"/>
              <w:jc w:val="center"/>
              <w:rPr>
                <w:sz w:val="21"/>
                <w:szCs w:val="21"/>
              </w:rPr>
            </w:pPr>
            <w:r>
              <w:rPr>
                <w:rFonts w:hint="eastAsia"/>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749" w:type="pct"/>
            <w:tcBorders>
              <w:tl2br w:val="nil"/>
              <w:tr2bl w:val="nil"/>
            </w:tcBorders>
            <w:vAlign w:val="center"/>
          </w:tcPr>
          <w:p>
            <w:pPr>
              <w:spacing w:line="240" w:lineRule="auto"/>
              <w:ind w:firstLine="0" w:firstLineChars="0"/>
              <w:jc w:val="center"/>
              <w:rPr>
                <w:sz w:val="21"/>
                <w:szCs w:val="21"/>
              </w:rPr>
            </w:pPr>
            <w:r>
              <w:rPr>
                <w:rFonts w:hint="eastAsia"/>
                <w:sz w:val="21"/>
                <w:szCs w:val="21"/>
              </w:rPr>
              <w:t>2</w:t>
            </w:r>
          </w:p>
        </w:tc>
        <w:tc>
          <w:tcPr>
            <w:tcW w:w="973"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669" w:type="pct"/>
            <w:tcBorders>
              <w:tl2br w:val="nil"/>
              <w:tr2bl w:val="nil"/>
            </w:tcBorders>
            <w:vAlign w:val="center"/>
          </w:tcPr>
          <w:p>
            <w:pPr>
              <w:spacing w:line="240" w:lineRule="auto"/>
              <w:ind w:firstLine="0" w:firstLineChars="0"/>
              <w:jc w:val="center"/>
              <w:rPr>
                <w:sz w:val="21"/>
                <w:szCs w:val="21"/>
              </w:rPr>
            </w:pPr>
            <w:r>
              <w:rPr>
                <w:rFonts w:hint="eastAsia"/>
                <w:sz w:val="21"/>
                <w:szCs w:val="21"/>
              </w:rPr>
              <w:t>臭气特征</w:t>
            </w:r>
          </w:p>
        </w:tc>
        <w:tc>
          <w:tcPr>
            <w:tcW w:w="929" w:type="pct"/>
            <w:tcBorders>
              <w:tl2br w:val="nil"/>
              <w:tr2bl w:val="nil"/>
            </w:tcBorders>
            <w:vAlign w:val="center"/>
          </w:tcPr>
          <w:p>
            <w:pPr>
              <w:spacing w:line="240" w:lineRule="auto"/>
              <w:ind w:firstLine="0" w:firstLineChars="0"/>
              <w:jc w:val="center"/>
              <w:rPr>
                <w:sz w:val="21"/>
                <w:szCs w:val="21"/>
              </w:rPr>
            </w:pPr>
            <w:r>
              <w:rPr>
                <w:rFonts w:hint="eastAsia"/>
                <w:sz w:val="21"/>
                <w:szCs w:val="21"/>
              </w:rPr>
              <w:t>刺激性</w:t>
            </w:r>
          </w:p>
        </w:tc>
        <w:tc>
          <w:tcPr>
            <w:tcW w:w="1041" w:type="pct"/>
            <w:tcBorders>
              <w:tl2br w:val="nil"/>
              <w:tr2bl w:val="nil"/>
            </w:tcBorders>
            <w:vAlign w:val="center"/>
          </w:tcPr>
          <w:p>
            <w:pPr>
              <w:spacing w:line="240" w:lineRule="auto"/>
              <w:ind w:firstLine="0" w:firstLineChars="0"/>
              <w:jc w:val="center"/>
              <w:rPr>
                <w:sz w:val="21"/>
                <w:szCs w:val="21"/>
              </w:rPr>
            </w:pPr>
            <w:r>
              <w:rPr>
                <w:rFonts w:hint="eastAsia"/>
                <w:sz w:val="21"/>
                <w:szCs w:val="21"/>
              </w:rPr>
              <w:t>蛋臭味</w:t>
            </w:r>
          </w:p>
        </w:tc>
      </w:tr>
    </w:tbl>
    <w:p>
      <w:pPr>
        <w:ind w:firstLine="480"/>
      </w:pPr>
      <w:r>
        <w:rPr>
          <w:rFonts w:hint="eastAsia"/>
        </w:rPr>
        <w:t>屠宰间的恶臭气体源一般能感觉到，但未必强烈，因此根据表</w:t>
      </w:r>
      <w:r>
        <w:rPr>
          <w:rFonts w:hint="eastAsia"/>
          <w:lang w:val="en-US" w:eastAsia="zh-CN"/>
        </w:rPr>
        <w:t>3.20</w:t>
      </w:r>
      <w:r>
        <w:rPr>
          <w:rFonts w:hint="eastAsia"/>
        </w:rPr>
        <w:t>和表</w:t>
      </w:r>
      <w:r>
        <w:rPr>
          <w:rFonts w:hint="eastAsia"/>
          <w:lang w:val="en-US" w:eastAsia="zh-CN"/>
        </w:rPr>
        <w:t>3.21</w:t>
      </w:r>
      <w:r>
        <w:rPr>
          <w:rFonts w:hint="eastAsia"/>
        </w:rPr>
        <w:t>数据确定屠宰间恶臭为2~3级之间，因此，本次环评取较大值，即NH</w:t>
      </w:r>
      <w:r>
        <w:rPr>
          <w:rFonts w:hint="eastAsia"/>
          <w:vertAlign w:val="subscript"/>
        </w:rPr>
        <w:t>3</w:t>
      </w:r>
      <w:r>
        <w:rPr>
          <w:rFonts w:hint="eastAsia"/>
        </w:rPr>
        <w:t>的产生浓度为2.0mg/m</w:t>
      </w:r>
      <w:r>
        <w:rPr>
          <w:rFonts w:hint="eastAsia"/>
          <w:vertAlign w:val="superscript"/>
        </w:rPr>
        <w:t>3</w:t>
      </w:r>
      <w:r>
        <w:rPr>
          <w:rFonts w:hint="eastAsia"/>
        </w:rPr>
        <w:t>，H</w:t>
      </w:r>
      <w:r>
        <w:rPr>
          <w:rFonts w:hint="eastAsia"/>
          <w:vertAlign w:val="subscript"/>
        </w:rPr>
        <w:t>2</w:t>
      </w:r>
      <w:r>
        <w:rPr>
          <w:rFonts w:hint="eastAsia"/>
        </w:rPr>
        <w:t>S浓度的产生浓度为0.06mg/m</w:t>
      </w:r>
      <w:r>
        <w:rPr>
          <w:rFonts w:hint="eastAsia"/>
          <w:vertAlign w:val="superscript"/>
        </w:rPr>
        <w:t>3</w:t>
      </w:r>
      <w:r>
        <w:rPr>
          <w:rFonts w:hint="eastAsia"/>
        </w:rPr>
        <w:t>。参考《牛羊屠宰与分割车间设计规范》（GB51225-2017），屠宰间采用机械通风以保证卫生和生产要求，设计排气量为50000m</w:t>
      </w:r>
      <w:r>
        <w:rPr>
          <w:rFonts w:hint="eastAsia"/>
          <w:vertAlign w:val="superscript"/>
        </w:rPr>
        <w:t>3</w:t>
      </w:r>
      <w:r>
        <w:rPr>
          <w:rFonts w:hint="eastAsia"/>
        </w:rPr>
        <w:t>/h，故项目NH</w:t>
      </w:r>
      <w:r>
        <w:rPr>
          <w:rFonts w:hint="eastAsia"/>
          <w:vertAlign w:val="subscript"/>
        </w:rPr>
        <w:t>3</w:t>
      </w:r>
      <w:r>
        <w:rPr>
          <w:rFonts w:hint="eastAsia"/>
        </w:rPr>
        <w:t>产生量为</w:t>
      </w:r>
      <w:r>
        <w:rPr>
          <w:rFonts w:hint="eastAsia"/>
          <w:lang w:val="en-US" w:eastAsia="zh-CN"/>
        </w:rPr>
        <w:t>0.88</w:t>
      </w:r>
      <w:r>
        <w:rPr>
          <w:rFonts w:hint="eastAsia"/>
        </w:rPr>
        <w:t>t/a</w:t>
      </w:r>
      <w:r>
        <w:rPr>
          <w:rFonts w:hint="eastAsia"/>
          <w:lang w:eastAsia="zh-CN"/>
        </w:rPr>
        <w:t>，</w:t>
      </w:r>
      <w:r>
        <w:rPr>
          <w:rFonts w:hint="eastAsia"/>
        </w:rPr>
        <w:t>产生速率为0.1kg/h，</w:t>
      </w:r>
      <w:r>
        <w:rPr>
          <w:rFonts w:hint="eastAsia"/>
          <w:lang w:val="en-US" w:eastAsia="zh-CN"/>
        </w:rPr>
        <w:t>产生浓度为</w:t>
      </w:r>
      <w:r>
        <w:rPr>
          <w:rFonts w:hint="eastAsia"/>
        </w:rPr>
        <w:t>2.0mg/m</w:t>
      </w:r>
      <w:r>
        <w:rPr>
          <w:rFonts w:hint="eastAsia"/>
          <w:vertAlign w:val="superscript"/>
        </w:rPr>
        <w:t>3</w:t>
      </w:r>
      <w:r>
        <w:rPr>
          <w:rFonts w:hint="eastAsia"/>
        </w:rPr>
        <w:t>；H</w:t>
      </w:r>
      <w:r>
        <w:rPr>
          <w:rFonts w:hint="eastAsia"/>
          <w:vertAlign w:val="subscript"/>
        </w:rPr>
        <w:t>2</w:t>
      </w:r>
      <w:r>
        <w:rPr>
          <w:rFonts w:hint="eastAsia"/>
        </w:rPr>
        <w:t>S产生量为</w:t>
      </w:r>
      <w:r>
        <w:rPr>
          <w:rFonts w:hint="eastAsia"/>
          <w:lang w:val="en-US" w:eastAsia="zh-CN"/>
        </w:rPr>
        <w:t>0.03</w:t>
      </w:r>
      <w:r>
        <w:rPr>
          <w:rFonts w:hint="eastAsia"/>
        </w:rPr>
        <w:t>t/a</w:t>
      </w:r>
      <w:r>
        <w:rPr>
          <w:rFonts w:hint="eastAsia"/>
          <w:lang w:eastAsia="zh-CN"/>
        </w:rPr>
        <w:t>，</w:t>
      </w:r>
      <w:r>
        <w:rPr>
          <w:rFonts w:hint="eastAsia"/>
        </w:rPr>
        <w:t>产生速率为0.003kg/h，</w:t>
      </w:r>
      <w:r>
        <w:rPr>
          <w:rFonts w:hint="eastAsia"/>
          <w:lang w:val="en-US" w:eastAsia="zh-CN"/>
        </w:rPr>
        <w:t>产生浓度为0.06</w:t>
      </w:r>
      <w:r>
        <w:rPr>
          <w:rFonts w:hint="eastAsia"/>
        </w:rPr>
        <w:t>mg/m</w:t>
      </w:r>
      <w:r>
        <w:rPr>
          <w:rFonts w:hint="eastAsia"/>
          <w:vertAlign w:val="superscript"/>
        </w:rPr>
        <w:t>3</w:t>
      </w:r>
      <w:r>
        <w:rPr>
          <w:rFonts w:hint="eastAsia"/>
        </w:rPr>
        <w:t>。屠宰间恶臭气体采用引风机把恶臭气体引至活性炭除臭装置处理后经15m高排气筒排放，处理效率不低于70%，屠宰间为封闭式生产车间，集气效率可达到90%以上。经处理后NH</w:t>
      </w:r>
      <w:r>
        <w:rPr>
          <w:rFonts w:hint="eastAsia"/>
          <w:vertAlign w:val="subscript"/>
        </w:rPr>
        <w:t>3</w:t>
      </w:r>
      <w:r>
        <w:rPr>
          <w:rFonts w:hint="eastAsia"/>
        </w:rPr>
        <w:t>排放量为</w:t>
      </w:r>
      <w:r>
        <w:rPr>
          <w:rFonts w:hint="eastAsia"/>
          <w:lang w:val="en-US" w:eastAsia="zh-CN"/>
        </w:rPr>
        <w:t>0.24</w:t>
      </w:r>
      <w:r>
        <w:rPr>
          <w:rFonts w:hint="eastAsia"/>
        </w:rPr>
        <w:t>t/a</w:t>
      </w:r>
      <w:r>
        <w:rPr>
          <w:rFonts w:hint="eastAsia"/>
          <w:lang w:eastAsia="zh-CN"/>
        </w:rPr>
        <w:t>，</w:t>
      </w:r>
      <w:r>
        <w:rPr>
          <w:rFonts w:hint="eastAsia"/>
        </w:rPr>
        <w:t>排放速率为0.027kg/h，排放浓度为</w:t>
      </w:r>
      <w:r>
        <w:rPr>
          <w:rFonts w:hint="eastAsia"/>
          <w:lang w:val="en-US" w:eastAsia="zh-CN"/>
        </w:rPr>
        <w:t>0.54</w:t>
      </w:r>
      <w:r>
        <w:rPr>
          <w:rFonts w:hint="eastAsia"/>
        </w:rPr>
        <w:t>mg/m</w:t>
      </w:r>
      <w:r>
        <w:rPr>
          <w:rFonts w:hint="eastAsia"/>
          <w:vertAlign w:val="superscript"/>
        </w:rPr>
        <w:t>3</w:t>
      </w:r>
      <w:r>
        <w:rPr>
          <w:rFonts w:hint="eastAsia"/>
          <w:lang w:eastAsia="zh-CN"/>
        </w:rPr>
        <w:t>；</w:t>
      </w:r>
      <w:r>
        <w:rPr>
          <w:rFonts w:hint="eastAsia"/>
        </w:rPr>
        <w:t>H</w:t>
      </w:r>
      <w:r>
        <w:rPr>
          <w:rFonts w:hint="eastAsia"/>
          <w:vertAlign w:val="subscript"/>
        </w:rPr>
        <w:t>2</w:t>
      </w:r>
      <w:r>
        <w:rPr>
          <w:rFonts w:hint="eastAsia"/>
        </w:rPr>
        <w:t>S排放量为</w:t>
      </w:r>
      <w:r>
        <w:rPr>
          <w:rFonts w:hint="eastAsia"/>
          <w:lang w:val="en-US" w:eastAsia="zh-CN"/>
        </w:rPr>
        <w:t>0.0081</w:t>
      </w:r>
      <w:r>
        <w:rPr>
          <w:rFonts w:hint="eastAsia"/>
        </w:rPr>
        <w:t>t/a</w:t>
      </w:r>
      <w:r>
        <w:rPr>
          <w:rFonts w:hint="eastAsia"/>
          <w:lang w:eastAsia="zh-CN"/>
        </w:rPr>
        <w:t>，</w:t>
      </w:r>
      <w:r>
        <w:rPr>
          <w:rFonts w:hint="eastAsia"/>
        </w:rPr>
        <w:t>排放速率为</w:t>
      </w:r>
      <w:r>
        <w:rPr>
          <w:rFonts w:hint="eastAsia"/>
          <w:lang w:val="en-US" w:eastAsia="zh-CN"/>
        </w:rPr>
        <w:t>0.0009</w:t>
      </w:r>
      <w:r>
        <w:rPr>
          <w:rFonts w:hint="eastAsia"/>
        </w:rPr>
        <w:t>kg/h，排放浓度为</w:t>
      </w:r>
      <w:r>
        <w:rPr>
          <w:rFonts w:hint="eastAsia"/>
          <w:lang w:val="en-US" w:eastAsia="zh-CN"/>
        </w:rPr>
        <w:t>0.018</w:t>
      </w:r>
      <w:r>
        <w:rPr>
          <w:rFonts w:hint="eastAsia"/>
        </w:rPr>
        <w:t>mg/m</w:t>
      </w:r>
      <w:r>
        <w:rPr>
          <w:rFonts w:hint="eastAsia"/>
          <w:vertAlign w:val="superscript"/>
        </w:rPr>
        <w:t>3</w:t>
      </w:r>
      <w:r>
        <w:rPr>
          <w:rFonts w:hint="eastAsia"/>
        </w:rPr>
        <w:t>。</w:t>
      </w:r>
    </w:p>
    <w:p>
      <w:pPr>
        <w:ind w:firstLine="482"/>
        <w:rPr>
          <w:b/>
          <w:bCs/>
        </w:rPr>
      </w:pPr>
      <w:r>
        <w:rPr>
          <w:rFonts w:hint="eastAsia"/>
          <w:b/>
          <w:bCs/>
        </w:rPr>
        <w:t>（3）牛羊预制品生产线烹饪油烟</w:t>
      </w:r>
    </w:p>
    <w:p>
      <w:pPr>
        <w:ind w:firstLine="480"/>
        <w:rPr>
          <w:rFonts w:hint="eastAsia"/>
        </w:rPr>
      </w:pPr>
      <w:r>
        <w:t>本项目</w:t>
      </w:r>
      <w:r>
        <w:rPr>
          <w:rFonts w:hint="eastAsia"/>
        </w:rPr>
        <w:t>牛羊预制品生产线在进行牛羊预制品炒制时会产生一定量的油烟，根据建设单位提供的资料，本项目设置4口炒锅（其中2口为羊肉预制品炒锅，2口为牛肉预制品炒锅），本项目使用的食用油全部为植物油，年使用量为102t</w:t>
      </w:r>
      <w:r>
        <w:t>，</w:t>
      </w:r>
      <w:r>
        <w:rPr>
          <w:rFonts w:hint="eastAsia"/>
        </w:rPr>
        <w:t>则每口炒锅年使用植物油量为25.5t，</w:t>
      </w:r>
      <w:r>
        <w:t>一般油烟和油的挥发量占总耗油量的2％～4％之间，</w:t>
      </w:r>
      <w:r>
        <w:rPr>
          <w:rFonts w:hint="eastAsia"/>
        </w:rPr>
        <w:t>本环评</w:t>
      </w:r>
      <w:r>
        <w:t>取3％，则</w:t>
      </w:r>
      <w:r>
        <w:rPr>
          <w:rFonts w:hint="eastAsia"/>
        </w:rPr>
        <w:t>每口炒锅</w:t>
      </w:r>
      <w:r>
        <w:t>油烟的产生量约为</w:t>
      </w:r>
      <w:r>
        <w:rPr>
          <w:rFonts w:hint="eastAsia"/>
        </w:rPr>
        <w:t>0.77</w:t>
      </w:r>
      <w:r>
        <w:t>t/a</w:t>
      </w:r>
      <w:r>
        <w:rPr>
          <w:rFonts w:hint="eastAsia"/>
        </w:rPr>
        <w:t>，产生速率为0.21kg/h，</w:t>
      </w:r>
      <w:r>
        <w:t>（年工作日3</w:t>
      </w:r>
      <w:r>
        <w:rPr>
          <w:rFonts w:hint="eastAsia"/>
        </w:rPr>
        <w:t>65</w:t>
      </w:r>
      <w:r>
        <w:t>天</w:t>
      </w:r>
      <w:r>
        <w:rPr>
          <w:rFonts w:hint="eastAsia"/>
        </w:rPr>
        <w:t>，每天10h</w:t>
      </w:r>
      <w:r>
        <w:t>），产生浓度约为</w:t>
      </w:r>
      <w:r>
        <w:rPr>
          <w:rFonts w:hint="eastAsia"/>
        </w:rPr>
        <w:t>10.5</w:t>
      </w:r>
      <w:r>
        <w:t>mg/m</w:t>
      </w:r>
      <w:r>
        <w:rPr>
          <w:vertAlign w:val="superscript"/>
        </w:rPr>
        <w:t>3</w:t>
      </w:r>
      <w:r>
        <w:t>。本环评要求建设单位</w:t>
      </w:r>
      <w:r>
        <w:rPr>
          <w:rFonts w:hint="eastAsia"/>
        </w:rPr>
        <w:t>在每口炒锅上方</w:t>
      </w:r>
      <w:r>
        <w:t>安装静电油烟处理</w:t>
      </w:r>
      <w:r>
        <w:rPr>
          <w:rFonts w:hint="eastAsia"/>
        </w:rPr>
        <w:t>装置</w:t>
      </w:r>
      <w:r>
        <w:t>，</w:t>
      </w:r>
      <w:r>
        <w:rPr>
          <w:rFonts w:hint="eastAsia"/>
        </w:rPr>
        <w:t>产生的油烟经</w:t>
      </w:r>
      <w:r>
        <w:t>静电油烟处理</w:t>
      </w:r>
      <w:r>
        <w:rPr>
          <w:rFonts w:hint="eastAsia"/>
        </w:rPr>
        <w:t>装置处理后汇集到1根排气筒中，然后引至生产车间楼顶排放，每个</w:t>
      </w:r>
      <w:r>
        <w:t>静电油烟处理</w:t>
      </w:r>
      <w:r>
        <w:rPr>
          <w:rFonts w:hint="eastAsia"/>
        </w:rPr>
        <w:t>装置风机分量为20000m</w:t>
      </w:r>
      <w:r>
        <w:rPr>
          <w:rFonts w:hint="eastAsia"/>
          <w:vertAlign w:val="superscript"/>
        </w:rPr>
        <w:t>3</w:t>
      </w:r>
      <w:r>
        <w:rPr>
          <w:rFonts w:hint="eastAsia"/>
        </w:rPr>
        <w:t>/h，</w:t>
      </w:r>
      <w:r>
        <w:t>净化效率</w:t>
      </w:r>
      <w:r>
        <w:rPr>
          <w:rFonts w:hint="eastAsia"/>
        </w:rPr>
        <w:t>不低于90</w:t>
      </w:r>
      <w:r>
        <w:t>%，则</w:t>
      </w:r>
      <w:r>
        <w:rPr>
          <w:rFonts w:hint="eastAsia"/>
        </w:rPr>
        <w:t>每口炒锅</w:t>
      </w:r>
      <w:r>
        <w:t>油烟排放量为</w:t>
      </w:r>
      <w:r>
        <w:rPr>
          <w:rFonts w:hint="eastAsia"/>
        </w:rPr>
        <w:t>0.077</w:t>
      </w:r>
      <w:r>
        <w:t>t/a，</w:t>
      </w:r>
      <w:r>
        <w:rPr>
          <w:rFonts w:hint="eastAsia"/>
        </w:rPr>
        <w:t>排放速率为0.021kg/h，</w:t>
      </w:r>
      <w:r>
        <w:t>排放浓度为</w:t>
      </w:r>
      <w:r>
        <w:rPr>
          <w:rFonts w:hint="eastAsia"/>
        </w:rPr>
        <w:t>1.05</w:t>
      </w:r>
      <w:r>
        <w:t>mg/m</w:t>
      </w:r>
      <w:r>
        <w:rPr>
          <w:vertAlign w:val="superscript"/>
        </w:rPr>
        <w:t>3</w:t>
      </w:r>
      <w:r>
        <w:rPr>
          <w:rFonts w:hint="eastAsia"/>
        </w:rPr>
        <w:t>。</w:t>
      </w:r>
    </w:p>
    <w:p>
      <w:pPr>
        <w:ind w:firstLine="480"/>
      </w:pPr>
      <w:r>
        <w:rPr>
          <w:rFonts w:hint="eastAsia"/>
          <w:lang w:val="en-US" w:eastAsia="zh-CN"/>
        </w:rPr>
        <w:t>综上所述，</w:t>
      </w:r>
      <w:r>
        <w:rPr>
          <w:rFonts w:hint="eastAsia"/>
        </w:rPr>
        <w:t>采取以上措施后牛羊预制品生产线炒制工段总的油烟</w:t>
      </w:r>
      <w:r>
        <w:rPr>
          <w:rFonts w:hint="eastAsia"/>
          <w:lang w:val="en-US" w:eastAsia="zh-CN"/>
        </w:rPr>
        <w:t>产生量为3.08</w:t>
      </w:r>
      <w:r>
        <w:t>t/a</w:t>
      </w:r>
      <w:r>
        <w:rPr>
          <w:rFonts w:hint="eastAsia"/>
        </w:rPr>
        <w:t>，产生速率为</w:t>
      </w:r>
      <w:r>
        <w:rPr>
          <w:rFonts w:hint="eastAsia"/>
          <w:lang w:val="en-US" w:eastAsia="zh-CN"/>
        </w:rPr>
        <w:t>0.84</w:t>
      </w:r>
      <w:r>
        <w:rPr>
          <w:rFonts w:hint="eastAsia"/>
        </w:rPr>
        <w:t>kg/h，</w:t>
      </w:r>
      <w:r>
        <w:t>产生浓度约为</w:t>
      </w:r>
      <w:r>
        <w:rPr>
          <w:rFonts w:hint="eastAsia"/>
        </w:rPr>
        <w:t>10.5</w:t>
      </w:r>
      <w:r>
        <w:t>mg/m</w:t>
      </w:r>
      <w:r>
        <w:rPr>
          <w:vertAlign w:val="superscript"/>
        </w:rPr>
        <w:t>3</w:t>
      </w:r>
      <w:r>
        <w:rPr>
          <w:rFonts w:hint="eastAsia"/>
          <w:lang w:eastAsia="zh-CN"/>
        </w:rPr>
        <w:t>，</w:t>
      </w:r>
      <w:r>
        <w:rPr>
          <w:rFonts w:hint="eastAsia"/>
          <w:lang w:val="en-US" w:eastAsia="zh-CN"/>
        </w:rPr>
        <w:t>烟油经每口炒锅上方设置的</w:t>
      </w:r>
      <w:r>
        <w:t>静电油烟处理</w:t>
      </w:r>
      <w:r>
        <w:rPr>
          <w:rFonts w:hint="eastAsia"/>
        </w:rPr>
        <w:t>装置</w:t>
      </w:r>
      <w:r>
        <w:rPr>
          <w:rFonts w:hint="eastAsia"/>
          <w:lang w:val="en-US" w:eastAsia="zh-CN"/>
        </w:rPr>
        <w:t>处理后通过1根排气筒排放，</w:t>
      </w:r>
      <w:r>
        <w:rPr>
          <w:rFonts w:hint="eastAsia"/>
        </w:rPr>
        <w:t>总风量为80000m</w:t>
      </w:r>
      <w:r>
        <w:rPr>
          <w:rFonts w:hint="eastAsia"/>
          <w:vertAlign w:val="superscript"/>
        </w:rPr>
        <w:t>3</w:t>
      </w:r>
      <w:r>
        <w:rPr>
          <w:rFonts w:hint="eastAsia"/>
        </w:rPr>
        <w:t>/h，</w:t>
      </w:r>
      <w:r>
        <w:rPr>
          <w:rFonts w:hint="eastAsia"/>
          <w:lang w:val="en-US" w:eastAsia="zh-CN"/>
        </w:rPr>
        <w:t>则采取以上措施处理后本项目油烟总排放量</w:t>
      </w:r>
      <w:r>
        <w:rPr>
          <w:rFonts w:hint="eastAsia"/>
        </w:rPr>
        <w:t>为0.308</w:t>
      </w:r>
      <w:r>
        <w:t>t/a</w:t>
      </w:r>
      <w:r>
        <w:rPr>
          <w:rFonts w:hint="eastAsia"/>
        </w:rPr>
        <w:t>，排放速率为0.084kg/h，排放浓度为1.05</w:t>
      </w:r>
      <w:r>
        <w:t>mg/m</w:t>
      </w:r>
      <w:r>
        <w:rPr>
          <w:vertAlign w:val="superscript"/>
        </w:rPr>
        <w:t>3</w:t>
      </w:r>
      <w:r>
        <w:rPr>
          <w:rFonts w:hint="eastAsia"/>
        </w:rPr>
        <w:t>，能够</w:t>
      </w:r>
      <w:r>
        <w:t>满足《饮食业油烟排放标准（试行）》（GB18483-2001）中的大型规模标准中的2.0mg/m</w:t>
      </w:r>
      <w:r>
        <w:rPr>
          <w:vertAlign w:val="superscript"/>
        </w:rPr>
        <w:t>3</w:t>
      </w:r>
      <w:r>
        <w:t>的限值要求。</w:t>
      </w:r>
    </w:p>
    <w:p>
      <w:pPr>
        <w:ind w:firstLine="480"/>
      </w:pPr>
      <w:r>
        <w:rPr>
          <w:rFonts w:hint="eastAsia"/>
        </w:rPr>
        <w:t>本项目运用期废气产排情况详见下表</w:t>
      </w:r>
    </w:p>
    <w:p>
      <w:pPr>
        <w:spacing w:line="240" w:lineRule="auto"/>
        <w:ind w:firstLine="482"/>
        <w:jc w:val="center"/>
        <w:rPr>
          <w:b/>
          <w:bCs/>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spacing w:line="240" w:lineRule="auto"/>
        <w:ind w:firstLine="482"/>
        <w:jc w:val="center"/>
        <w:rPr>
          <w:b/>
          <w:bCs/>
          <w:color w:val="FF0000"/>
        </w:rPr>
      </w:pPr>
      <w:r>
        <w:rPr>
          <w:b/>
          <w:bCs/>
        </w:rPr>
        <w:t>表</w:t>
      </w:r>
      <w:r>
        <w:rPr>
          <w:rFonts w:hint="eastAsia"/>
          <w:b/>
          <w:bCs/>
          <w:lang w:val="en-US" w:eastAsia="zh-CN"/>
        </w:rPr>
        <w:t>3.22</w:t>
      </w:r>
      <w:r>
        <w:rPr>
          <w:b/>
          <w:bCs/>
        </w:rPr>
        <w:t xml:space="preserve">    本项目运营期大气污染物产排情况一览表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28" w:type="dxa"/>
          <w:bottom w:w="28" w:type="dxa"/>
          <w:right w:w="28" w:type="dxa"/>
        </w:tblCellMar>
      </w:tblPr>
      <w:tblGrid>
        <w:gridCol w:w="341"/>
        <w:gridCol w:w="1026"/>
        <w:gridCol w:w="894"/>
        <w:gridCol w:w="1085"/>
        <w:gridCol w:w="1271"/>
        <w:gridCol w:w="1432"/>
        <w:gridCol w:w="1626"/>
        <w:gridCol w:w="3143"/>
        <w:gridCol w:w="992"/>
        <w:gridCol w:w="1119"/>
        <w:gridCol w:w="1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jc w:val="center"/>
        </w:trPr>
        <w:tc>
          <w:tcPr>
            <w:tcW w:w="121"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rPr>
                <w:rFonts w:hint="default" w:ascii="Times New Roman" w:hAnsi="Times New Roman" w:eastAsia="宋体" w:cs="Times New Roman"/>
                <w:sz w:val="21"/>
                <w:szCs w:val="21"/>
              </w:rPr>
            </w:pPr>
            <w:bookmarkStart w:id="555" w:name="OLE_LINK38"/>
            <w:r>
              <w:rPr>
                <w:rFonts w:hint="default" w:ascii="Times New Roman" w:hAnsi="Times New Roman" w:eastAsia="宋体" w:cs="Times New Roman"/>
                <w:sz w:val="21"/>
                <w:szCs w:val="21"/>
              </w:rPr>
              <w:t>序号</w:t>
            </w:r>
          </w:p>
        </w:tc>
        <w:tc>
          <w:tcPr>
            <w:tcW w:w="364"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污染源</w:t>
            </w:r>
          </w:p>
        </w:tc>
        <w:tc>
          <w:tcPr>
            <w:tcW w:w="317"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污染物名称</w:t>
            </w:r>
          </w:p>
        </w:tc>
        <w:tc>
          <w:tcPr>
            <w:tcW w:w="385"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排放形式</w:t>
            </w:r>
          </w:p>
        </w:tc>
        <w:tc>
          <w:tcPr>
            <w:tcW w:w="1536" w:type="pct"/>
            <w:gridSpan w:val="3"/>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产生情况</w:t>
            </w:r>
          </w:p>
        </w:tc>
        <w:tc>
          <w:tcPr>
            <w:tcW w:w="1115"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拟采取污染防治措施</w:t>
            </w:r>
          </w:p>
        </w:tc>
        <w:tc>
          <w:tcPr>
            <w:tcW w:w="1160" w:type="pct"/>
            <w:gridSpan w:val="3"/>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jc w:val="center"/>
        </w:trPr>
        <w:tc>
          <w:tcPr>
            <w:tcW w:w="121" w:type="pct"/>
            <w:vMerge w:val="continue"/>
            <w:tcBorders>
              <w:tl2br w:val="nil"/>
              <w:tr2bl w:val="nil"/>
            </w:tcBorders>
            <w:tcMar>
              <w:top w:w="28" w:type="dxa"/>
              <w:left w:w="68" w:type="dxa"/>
              <w:bottom w:w="28" w:type="dxa"/>
              <w:right w:w="68" w:type="dxa"/>
            </w:tcMar>
            <w:vAlign w:val="center"/>
          </w:tcPr>
          <w:p>
            <w:pPr>
              <w:bidi w:val="0"/>
              <w:spacing w:line="240" w:lineRule="auto"/>
              <w:rPr>
                <w:rFonts w:hint="default" w:ascii="Times New Roman" w:hAnsi="Times New Roman" w:eastAsia="宋体" w:cs="Times New Roman"/>
                <w:sz w:val="21"/>
                <w:szCs w:val="21"/>
              </w:rPr>
            </w:pPr>
          </w:p>
        </w:tc>
        <w:tc>
          <w:tcPr>
            <w:tcW w:w="364" w:type="pct"/>
            <w:vMerge w:val="continue"/>
            <w:tcBorders>
              <w:tl2br w:val="nil"/>
              <w:tr2bl w:val="nil"/>
            </w:tcBorders>
            <w:tcMar>
              <w:top w:w="28" w:type="dxa"/>
              <w:left w:w="68" w:type="dxa"/>
              <w:bottom w:w="28" w:type="dxa"/>
              <w:right w:w="68" w:type="dxa"/>
            </w:tcMar>
            <w:vAlign w:val="center"/>
          </w:tcPr>
          <w:p>
            <w:pPr>
              <w:bidi w:val="0"/>
              <w:spacing w:line="240" w:lineRule="auto"/>
              <w:jc w:val="center"/>
              <w:rPr>
                <w:rFonts w:hint="default" w:ascii="Times New Roman" w:hAnsi="Times New Roman" w:eastAsia="宋体" w:cs="Times New Roman"/>
                <w:b/>
                <w:bCs/>
                <w:sz w:val="21"/>
                <w:szCs w:val="21"/>
              </w:rPr>
            </w:pPr>
          </w:p>
        </w:tc>
        <w:tc>
          <w:tcPr>
            <w:tcW w:w="317" w:type="pct"/>
            <w:vMerge w:val="continue"/>
            <w:tcBorders>
              <w:tl2br w:val="nil"/>
              <w:tr2bl w:val="nil"/>
            </w:tcBorders>
            <w:tcMar>
              <w:top w:w="28" w:type="dxa"/>
              <w:left w:w="68" w:type="dxa"/>
              <w:bottom w:w="28" w:type="dxa"/>
              <w:right w:w="68" w:type="dxa"/>
            </w:tcMar>
            <w:vAlign w:val="center"/>
          </w:tcPr>
          <w:p>
            <w:pPr>
              <w:bidi w:val="0"/>
              <w:spacing w:line="240" w:lineRule="auto"/>
              <w:jc w:val="center"/>
              <w:rPr>
                <w:rFonts w:hint="default" w:ascii="Times New Roman" w:hAnsi="Times New Roman" w:eastAsia="宋体" w:cs="Times New Roman"/>
                <w:b/>
                <w:bCs/>
                <w:sz w:val="21"/>
                <w:szCs w:val="21"/>
              </w:rPr>
            </w:pPr>
          </w:p>
        </w:tc>
        <w:tc>
          <w:tcPr>
            <w:tcW w:w="385" w:type="pct"/>
            <w:vMerge w:val="continue"/>
            <w:tcBorders>
              <w:tl2br w:val="nil"/>
              <w:tr2bl w:val="nil"/>
            </w:tcBorders>
            <w:tcMar>
              <w:top w:w="28" w:type="dxa"/>
              <w:left w:w="68" w:type="dxa"/>
              <w:bottom w:w="28" w:type="dxa"/>
              <w:right w:w="68" w:type="dxa"/>
            </w:tcMar>
            <w:vAlign w:val="center"/>
          </w:tcPr>
          <w:p>
            <w:pPr>
              <w:bidi w:val="0"/>
              <w:spacing w:line="240" w:lineRule="auto"/>
              <w:jc w:val="center"/>
              <w:rPr>
                <w:rFonts w:hint="default" w:ascii="Times New Roman" w:hAnsi="Times New Roman" w:eastAsia="宋体" w:cs="Times New Roman"/>
                <w:b/>
                <w:bCs/>
                <w:sz w:val="21"/>
                <w:szCs w:val="21"/>
              </w:rPr>
            </w:pPr>
          </w:p>
        </w:tc>
        <w:tc>
          <w:tcPr>
            <w:tcW w:w="45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产生量（t/a）</w:t>
            </w:r>
          </w:p>
        </w:tc>
        <w:tc>
          <w:tcPr>
            <w:tcW w:w="508"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产生速率（kg/h）</w:t>
            </w:r>
          </w:p>
        </w:tc>
        <w:tc>
          <w:tcPr>
            <w:tcW w:w="57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产生浓度（mg/m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p>
        </w:tc>
        <w:tc>
          <w:tcPr>
            <w:tcW w:w="1115" w:type="pct"/>
            <w:vMerge w:val="continue"/>
            <w:tcBorders>
              <w:tl2br w:val="nil"/>
              <w:tr2bl w:val="nil"/>
            </w:tcBorders>
            <w:tcMar>
              <w:top w:w="28" w:type="dxa"/>
              <w:left w:w="68" w:type="dxa"/>
              <w:bottom w:w="28" w:type="dxa"/>
              <w:right w:w="68" w:type="dxa"/>
            </w:tcMar>
            <w:vAlign w:val="center"/>
          </w:tcPr>
          <w:p>
            <w:pPr>
              <w:bidi w:val="0"/>
              <w:spacing w:line="240" w:lineRule="auto"/>
              <w:jc w:val="center"/>
              <w:rPr>
                <w:rFonts w:hint="default" w:ascii="Times New Roman" w:hAnsi="Times New Roman" w:eastAsia="宋体" w:cs="Times New Roman"/>
                <w:b/>
                <w:bCs/>
                <w:sz w:val="21"/>
                <w:szCs w:val="21"/>
              </w:rPr>
            </w:pPr>
          </w:p>
        </w:tc>
        <w:tc>
          <w:tcPr>
            <w:tcW w:w="352"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排放量（t/a）</w:t>
            </w:r>
          </w:p>
        </w:tc>
        <w:tc>
          <w:tcPr>
            <w:tcW w:w="39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排放速率（kg/h）</w:t>
            </w:r>
          </w:p>
        </w:tc>
        <w:tc>
          <w:tcPr>
            <w:tcW w:w="410"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排放浓度（mg/m3）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483" w:hRule="atLeast"/>
          <w:jc w:val="center"/>
        </w:trPr>
        <w:tc>
          <w:tcPr>
            <w:tcW w:w="121"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364"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待宰圈恶臭气体</w:t>
            </w:r>
          </w:p>
        </w:tc>
        <w:tc>
          <w:tcPr>
            <w:tcW w:w="31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p>
        </w:tc>
        <w:tc>
          <w:tcPr>
            <w:tcW w:w="385"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45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0.042</w:t>
            </w:r>
          </w:p>
        </w:tc>
        <w:tc>
          <w:tcPr>
            <w:tcW w:w="508"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0.005</w:t>
            </w:r>
          </w:p>
        </w:tc>
        <w:tc>
          <w:tcPr>
            <w:tcW w:w="57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5"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干清粪工艺（日产日清）+定期喷洒生物除臭剂，NH</w:t>
            </w:r>
            <w:r>
              <w:rPr>
                <w:rFonts w:hint="default" w:ascii="Times New Roman" w:hAnsi="Times New Roman" w:eastAsia="宋体" w:cs="Times New Roman"/>
                <w:sz w:val="21"/>
                <w:szCs w:val="21"/>
                <w:vertAlign w:val="subscript"/>
              </w:rPr>
              <w:t>3</w:t>
            </w:r>
            <w:r>
              <w:rPr>
                <w:rFonts w:hint="default" w:ascii="Times New Roman" w:hAnsi="Times New Roman" w:eastAsia="宋体" w:cs="Times New Roman"/>
                <w:sz w:val="21"/>
                <w:szCs w:val="21"/>
              </w:rPr>
              <w:t>和H</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S去除效率不低于80%</w:t>
            </w:r>
          </w:p>
        </w:tc>
        <w:tc>
          <w:tcPr>
            <w:tcW w:w="352"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0.0084</w:t>
            </w:r>
          </w:p>
        </w:tc>
        <w:tc>
          <w:tcPr>
            <w:tcW w:w="39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0.0009</w:t>
            </w:r>
            <w:r>
              <w:rPr>
                <w:rFonts w:hint="default" w:ascii="Times New Roman" w:hAnsi="Times New Roman" w:eastAsia="宋体" w:cs="Times New Roman"/>
                <w:sz w:val="21"/>
                <w:szCs w:val="21"/>
                <w:lang w:val="en-US" w:eastAsia="zh-CN"/>
              </w:rPr>
              <w:t>6</w:t>
            </w:r>
          </w:p>
        </w:tc>
        <w:tc>
          <w:tcPr>
            <w:tcW w:w="410"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jc w:val="center"/>
        </w:trPr>
        <w:tc>
          <w:tcPr>
            <w:tcW w:w="121"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364"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31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S</w:t>
            </w:r>
          </w:p>
        </w:tc>
        <w:tc>
          <w:tcPr>
            <w:tcW w:w="385"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45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0.0042</w:t>
            </w:r>
          </w:p>
        </w:tc>
        <w:tc>
          <w:tcPr>
            <w:tcW w:w="508"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0.0005</w:t>
            </w:r>
          </w:p>
        </w:tc>
        <w:tc>
          <w:tcPr>
            <w:tcW w:w="57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115"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352"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0.00084</w:t>
            </w:r>
          </w:p>
        </w:tc>
        <w:tc>
          <w:tcPr>
            <w:tcW w:w="39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0.00009</w:t>
            </w:r>
            <w:r>
              <w:rPr>
                <w:rFonts w:hint="default" w:ascii="Times New Roman" w:hAnsi="Times New Roman" w:eastAsia="宋体" w:cs="Times New Roman"/>
                <w:sz w:val="21"/>
                <w:szCs w:val="21"/>
                <w:lang w:val="en-US" w:eastAsia="zh-CN"/>
              </w:rPr>
              <w:t>6</w:t>
            </w:r>
          </w:p>
        </w:tc>
        <w:tc>
          <w:tcPr>
            <w:tcW w:w="410"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trHeight w:val="495" w:hRule="atLeast"/>
          <w:jc w:val="center"/>
        </w:trPr>
        <w:tc>
          <w:tcPr>
            <w:tcW w:w="121"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364"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屠宰车间恶臭气体</w:t>
            </w:r>
          </w:p>
        </w:tc>
        <w:tc>
          <w:tcPr>
            <w:tcW w:w="31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NH</w:t>
            </w:r>
            <w:r>
              <w:rPr>
                <w:rFonts w:hint="default" w:ascii="Times New Roman" w:hAnsi="Times New Roman" w:eastAsia="宋体" w:cs="Times New Roman"/>
                <w:sz w:val="21"/>
                <w:szCs w:val="21"/>
                <w:vertAlign w:val="subscript"/>
              </w:rPr>
              <w:t>3</w:t>
            </w:r>
          </w:p>
        </w:tc>
        <w:tc>
          <w:tcPr>
            <w:tcW w:w="385"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有组织</w:t>
            </w:r>
          </w:p>
        </w:tc>
        <w:tc>
          <w:tcPr>
            <w:tcW w:w="45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0.88</w:t>
            </w:r>
          </w:p>
        </w:tc>
        <w:tc>
          <w:tcPr>
            <w:tcW w:w="508"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w:t>
            </w:r>
          </w:p>
        </w:tc>
        <w:tc>
          <w:tcPr>
            <w:tcW w:w="57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115" w:type="pct"/>
            <w:vMerge w:val="restar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集气系统+活性炭吸附+15m高排气筒，处理效率不低于70%，集气效率不低于90%</w:t>
            </w:r>
          </w:p>
        </w:tc>
        <w:tc>
          <w:tcPr>
            <w:tcW w:w="352"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0.24</w:t>
            </w:r>
          </w:p>
        </w:tc>
        <w:tc>
          <w:tcPr>
            <w:tcW w:w="39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0.027</w:t>
            </w:r>
          </w:p>
        </w:tc>
        <w:tc>
          <w:tcPr>
            <w:tcW w:w="410"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jc w:val="center"/>
        </w:trPr>
        <w:tc>
          <w:tcPr>
            <w:tcW w:w="121"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364"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31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rPr>
              <w:t>S</w:t>
            </w:r>
          </w:p>
        </w:tc>
        <w:tc>
          <w:tcPr>
            <w:tcW w:w="385"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45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0.03</w:t>
            </w:r>
          </w:p>
        </w:tc>
        <w:tc>
          <w:tcPr>
            <w:tcW w:w="508"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0.003</w:t>
            </w:r>
          </w:p>
        </w:tc>
        <w:tc>
          <w:tcPr>
            <w:tcW w:w="57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0.06</w:t>
            </w:r>
          </w:p>
        </w:tc>
        <w:tc>
          <w:tcPr>
            <w:tcW w:w="1115" w:type="pct"/>
            <w:vMerge w:val="continue"/>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p>
        </w:tc>
        <w:tc>
          <w:tcPr>
            <w:tcW w:w="352"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0.0081</w:t>
            </w:r>
          </w:p>
        </w:tc>
        <w:tc>
          <w:tcPr>
            <w:tcW w:w="39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0.000</w:t>
            </w:r>
            <w:r>
              <w:rPr>
                <w:rFonts w:hint="default" w:ascii="Times New Roman" w:hAnsi="Times New Roman" w:eastAsia="宋体" w:cs="Times New Roman"/>
                <w:sz w:val="21"/>
                <w:szCs w:val="21"/>
                <w:lang w:val="en-US" w:eastAsia="zh-CN"/>
              </w:rPr>
              <w:t>9</w:t>
            </w:r>
          </w:p>
        </w:tc>
        <w:tc>
          <w:tcPr>
            <w:tcW w:w="410"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28" w:type="dxa"/>
            <w:bottom w:w="28" w:type="dxa"/>
            <w:right w:w="28" w:type="dxa"/>
          </w:tblCellMar>
        </w:tblPrEx>
        <w:trPr>
          <w:jc w:val="center"/>
        </w:trPr>
        <w:tc>
          <w:tcPr>
            <w:tcW w:w="12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364"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牛羊预制品生产线烹饪油烟</w:t>
            </w:r>
          </w:p>
        </w:tc>
        <w:tc>
          <w:tcPr>
            <w:tcW w:w="31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油烟</w:t>
            </w:r>
          </w:p>
        </w:tc>
        <w:tc>
          <w:tcPr>
            <w:tcW w:w="385"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有组织</w:t>
            </w:r>
          </w:p>
        </w:tc>
        <w:tc>
          <w:tcPr>
            <w:tcW w:w="451"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3.08</w:t>
            </w:r>
          </w:p>
        </w:tc>
        <w:tc>
          <w:tcPr>
            <w:tcW w:w="508"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0.84</w:t>
            </w:r>
          </w:p>
        </w:tc>
        <w:tc>
          <w:tcPr>
            <w:tcW w:w="57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42.0</w:t>
            </w:r>
          </w:p>
        </w:tc>
        <w:tc>
          <w:tcPr>
            <w:tcW w:w="1115"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静电油烟处理装置，净化效率不低于90%</w:t>
            </w:r>
          </w:p>
        </w:tc>
        <w:tc>
          <w:tcPr>
            <w:tcW w:w="352"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0.308</w:t>
            </w:r>
          </w:p>
        </w:tc>
        <w:tc>
          <w:tcPr>
            <w:tcW w:w="397"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0.084</w:t>
            </w:r>
          </w:p>
        </w:tc>
        <w:tc>
          <w:tcPr>
            <w:tcW w:w="410" w:type="pct"/>
            <w:tcBorders>
              <w:tl2br w:val="nil"/>
              <w:tr2bl w:val="nil"/>
            </w:tcBorders>
            <w:tcMar>
              <w:top w:w="28" w:type="dxa"/>
              <w:left w:w="68" w:type="dxa"/>
              <w:bottom w:w="28" w:type="dxa"/>
              <w:right w:w="68" w:type="dxa"/>
            </w:tcMar>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1.05</w:t>
            </w:r>
          </w:p>
        </w:tc>
      </w:tr>
      <w:bookmarkEnd w:id="555"/>
    </w:tbl>
    <w:p>
      <w:pPr>
        <w:pStyle w:val="2"/>
        <w:rPr>
          <w:b/>
          <w:bCs/>
          <w:color w:val="auto"/>
        </w:rPr>
      </w:pPr>
    </w:p>
    <w:p>
      <w:pPr>
        <w:ind w:firstLine="480"/>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pPr>
    </w:p>
    <w:p>
      <w:pPr>
        <w:pStyle w:val="7"/>
        <w:ind w:firstLine="482"/>
      </w:pPr>
      <w:r>
        <w:rPr>
          <w:rFonts w:hint="eastAsia"/>
          <w:lang w:val="en-US" w:eastAsia="zh-CN"/>
        </w:rPr>
        <w:t>3</w:t>
      </w:r>
      <w:r>
        <w:rPr>
          <w:rFonts w:hint="eastAsia"/>
        </w:rPr>
        <w:t>.6.2.3、运用期噪声源强分析</w:t>
      </w:r>
    </w:p>
    <w:p>
      <w:pPr>
        <w:ind w:firstLine="480"/>
      </w:pPr>
      <w:r>
        <w:t>本项目运营期噪声主要为生产设备运转时的噪声，主要为</w:t>
      </w:r>
      <w:r>
        <w:rPr>
          <w:rFonts w:hint="eastAsia"/>
        </w:rPr>
        <w:t>牵羊机</w:t>
      </w:r>
      <w:r>
        <w:t>、</w:t>
      </w:r>
      <w:r>
        <w:rPr>
          <w:rFonts w:hint="eastAsia"/>
        </w:rPr>
        <w:t>肉羊输送机</w:t>
      </w:r>
      <w:r>
        <w:t>、</w:t>
      </w:r>
      <w:r>
        <w:rPr>
          <w:rFonts w:hint="eastAsia"/>
        </w:rPr>
        <w:t>液压</w:t>
      </w:r>
      <w:r>
        <w:t>剥皮机、</w:t>
      </w:r>
      <w:r>
        <w:rPr>
          <w:rFonts w:hint="eastAsia"/>
        </w:rPr>
        <w:t>自动清洗机、真空包装机、洗肚机、砍排机、全自动搅拌式电炒锅</w:t>
      </w:r>
      <w:r>
        <w:t>以及风机、水泵等机械设备</w:t>
      </w:r>
      <w:r>
        <w:rPr>
          <w:rFonts w:hint="eastAsia"/>
          <w:lang w:val="en-US" w:eastAsia="zh-CN"/>
        </w:rPr>
        <w:t>产生的</w:t>
      </w:r>
      <w:r>
        <w:t>噪声</w:t>
      </w:r>
      <w:r>
        <w:rPr>
          <w:rFonts w:hint="eastAsia"/>
          <w:lang w:eastAsia="zh-CN"/>
        </w:rPr>
        <w:t>，</w:t>
      </w:r>
      <w:r>
        <w:rPr>
          <w:rFonts w:hint="eastAsia"/>
          <w:lang w:val="en-US" w:eastAsia="zh-CN"/>
        </w:rPr>
        <w:t>噪声排放方式为</w:t>
      </w:r>
      <w:r>
        <w:t>连续噪声，噪声源类型为固定噪声源</w:t>
      </w:r>
      <w:r>
        <w:rPr>
          <w:rFonts w:hint="eastAsia"/>
          <w:lang w:eastAsia="zh-CN"/>
        </w:rPr>
        <w:t>，</w:t>
      </w:r>
      <w:r>
        <w:t>主要机</w:t>
      </w:r>
      <w:r>
        <w:rPr>
          <w:rFonts w:hint="eastAsia"/>
        </w:rPr>
        <w:t>噪声源强按照《环境噪声与振动控制工程技术导则》（</w:t>
      </w:r>
      <w:r>
        <w:t>HJ2034-2013</w:t>
      </w:r>
      <w:r>
        <w:rPr>
          <w:rFonts w:hint="eastAsia"/>
        </w:rPr>
        <w:t>）中</w:t>
      </w:r>
      <w:r>
        <w:t>给出的声压级范围取平均值</w:t>
      </w:r>
      <w:r>
        <w:rPr>
          <w:rFonts w:hint="eastAsia"/>
        </w:rPr>
        <w:t>，</w:t>
      </w:r>
      <w:r>
        <w:t>具体产噪设备见表</w:t>
      </w:r>
      <w:r>
        <w:rPr>
          <w:rFonts w:hint="eastAsia"/>
          <w:lang w:val="en-US" w:eastAsia="zh-CN"/>
        </w:rPr>
        <w:t>3.23</w:t>
      </w:r>
      <w:r>
        <w:t>。</w:t>
      </w:r>
    </w:p>
    <w:p>
      <w:pPr>
        <w:pStyle w:val="31"/>
      </w:pPr>
    </w:p>
    <w:p/>
    <w:p>
      <w:pPr>
        <w:spacing w:line="240" w:lineRule="auto"/>
        <w:ind w:firstLine="482"/>
        <w:jc w:val="center"/>
        <w:rPr>
          <w:b/>
          <w:bCs/>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bidi w:val="0"/>
        <w:spacing w:line="240" w:lineRule="auto"/>
        <w:jc w:val="center"/>
        <w:rPr>
          <w:rFonts w:hint="eastAsia"/>
          <w:lang w:val="en-US" w:eastAsia="zh-CN"/>
        </w:rPr>
      </w:pPr>
      <w:r>
        <w:rPr>
          <w:rFonts w:hint="eastAsia"/>
          <w:b/>
          <w:bCs/>
          <w:lang w:val="en-US" w:eastAsia="zh-CN"/>
        </w:rPr>
        <w:t>表3.23    拟建项目噪声源强调查清单（室内声源）</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68" w:type="dxa"/>
          <w:bottom w:w="0" w:type="dxa"/>
          <w:right w:w="68" w:type="dxa"/>
        </w:tblCellMar>
      </w:tblPr>
      <w:tblGrid>
        <w:gridCol w:w="580"/>
        <w:gridCol w:w="725"/>
        <w:gridCol w:w="2265"/>
        <w:gridCol w:w="797"/>
        <w:gridCol w:w="1101"/>
        <w:gridCol w:w="610"/>
        <w:gridCol w:w="956"/>
        <w:gridCol w:w="515"/>
        <w:gridCol w:w="589"/>
        <w:gridCol w:w="530"/>
        <w:gridCol w:w="598"/>
        <w:gridCol w:w="640"/>
        <w:gridCol w:w="560"/>
        <w:gridCol w:w="791"/>
        <w:gridCol w:w="696"/>
        <w:gridCol w:w="998"/>
        <w:gridCol w:w="882"/>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vMerge w:val="restart"/>
            <w:tcBorders>
              <w:tl2br w:val="nil"/>
              <w:tr2bl w:val="nil"/>
            </w:tcBorders>
            <w:vAlign w:val="center"/>
          </w:tcPr>
          <w:p>
            <w:pPr>
              <w:pStyle w:val="103"/>
              <w:spacing w:line="240" w:lineRule="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245" w:type="pct"/>
            <w:vMerge w:val="restart"/>
            <w:tcBorders>
              <w:tl2br w:val="nil"/>
              <w:tr2bl w:val="nil"/>
            </w:tcBorders>
            <w:vAlign w:val="center"/>
          </w:tcPr>
          <w:p>
            <w:pPr>
              <w:pStyle w:val="103"/>
              <w:spacing w:line="240" w:lineRule="auto"/>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建筑物名称</w:t>
            </w:r>
          </w:p>
        </w:tc>
        <w:tc>
          <w:tcPr>
            <w:tcW w:w="765" w:type="pct"/>
            <w:vMerge w:val="restar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声</w:t>
            </w:r>
            <w:r>
              <w:rPr>
                <w:rFonts w:hint="default" w:ascii="Times New Roman" w:hAnsi="Times New Roman" w:cs="Times New Roman"/>
                <w:b/>
                <w:bCs/>
                <w:color w:val="auto"/>
                <w:sz w:val="21"/>
                <w:szCs w:val="21"/>
              </w:rPr>
              <w:t>源</w:t>
            </w:r>
            <w:r>
              <w:rPr>
                <w:rFonts w:hint="eastAsia" w:ascii="Times New Roman" w:hAnsi="Times New Roman" w:cs="Times New Roman"/>
                <w:b/>
                <w:bCs/>
                <w:color w:val="auto"/>
                <w:sz w:val="21"/>
                <w:szCs w:val="21"/>
                <w:lang w:val="en-US" w:eastAsia="zh-CN"/>
              </w:rPr>
              <w:t>名称</w:t>
            </w:r>
          </w:p>
        </w:tc>
        <w:tc>
          <w:tcPr>
            <w:tcW w:w="269" w:type="pct"/>
            <w:vMerge w:val="restar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eastAsia="zh-CN"/>
              </w:rPr>
            </w:pPr>
            <w:r>
              <w:rPr>
                <w:rFonts w:hint="eastAsia" w:ascii="Times New Roman" w:hAnsi="Times New Roman" w:cs="Times New Roman"/>
                <w:b/>
                <w:bCs/>
                <w:color w:val="auto"/>
                <w:sz w:val="21"/>
                <w:szCs w:val="21"/>
                <w:lang w:val="en-US" w:eastAsia="zh-CN"/>
              </w:rPr>
              <w:t>数量</w:t>
            </w:r>
          </w:p>
        </w:tc>
        <w:tc>
          <w:tcPr>
            <w:tcW w:w="372" w:type="pct"/>
            <w:tcBorders>
              <w:tl2br w:val="nil"/>
              <w:tr2bl w:val="nil"/>
            </w:tcBorders>
            <w:vAlign w:val="center"/>
          </w:tcPr>
          <w:p>
            <w:pPr>
              <w:pStyle w:val="103"/>
              <w:spacing w:line="240" w:lineRule="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声源源强</w:t>
            </w:r>
          </w:p>
        </w:tc>
        <w:tc>
          <w:tcPr>
            <w:tcW w:w="206" w:type="pct"/>
            <w:vMerge w:val="restart"/>
            <w:tcBorders>
              <w:tl2br w:val="nil"/>
              <w:tr2bl w:val="nil"/>
            </w:tcBorders>
            <w:vAlign w:val="center"/>
          </w:tcPr>
          <w:p>
            <w:pPr>
              <w:pStyle w:val="103"/>
              <w:spacing w:line="240" w:lineRule="auto"/>
              <w:ind w:firstLine="0" w:firstLineChars="0"/>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控制措施</w:t>
            </w:r>
          </w:p>
        </w:tc>
        <w:tc>
          <w:tcPr>
            <w:tcW w:w="696" w:type="pct"/>
            <w:gridSpan w:val="3"/>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空间相对位置/m</w:t>
            </w:r>
          </w:p>
        </w:tc>
        <w:tc>
          <w:tcPr>
            <w:tcW w:w="786" w:type="pct"/>
            <w:gridSpan w:val="4"/>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距室内边界距离</w:t>
            </w:r>
            <w:r>
              <w:rPr>
                <w:rFonts w:hint="default" w:ascii="Times New Roman" w:hAnsi="Times New Roman" w:eastAsia="宋体" w:cs="Times New Roman"/>
                <w:b/>
                <w:bCs/>
                <w:color w:val="auto"/>
                <w:sz w:val="21"/>
                <w:szCs w:val="21"/>
                <w:lang w:val="en-US" w:eastAsia="zh-CN"/>
              </w:rPr>
              <w:t>/m</w:t>
            </w:r>
          </w:p>
        </w:tc>
        <w:tc>
          <w:tcPr>
            <w:tcW w:w="267" w:type="pct"/>
            <w:vMerge w:val="restar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室内边界声级</w:t>
            </w:r>
            <w:r>
              <w:rPr>
                <w:rFonts w:hint="default" w:ascii="Times New Roman" w:hAnsi="Times New Roman" w:eastAsia="宋体" w:cs="Times New Roman"/>
                <w:b/>
                <w:bCs/>
                <w:color w:val="auto"/>
                <w:sz w:val="21"/>
                <w:szCs w:val="21"/>
                <w:lang w:val="en-US" w:eastAsia="zh-CN"/>
              </w:rPr>
              <w:t>/dB(A)</w:t>
            </w:r>
          </w:p>
        </w:tc>
        <w:tc>
          <w:tcPr>
            <w:tcW w:w="235" w:type="pct"/>
            <w:vMerge w:val="restar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运行时段</w:t>
            </w:r>
          </w:p>
        </w:tc>
        <w:tc>
          <w:tcPr>
            <w:tcW w:w="337" w:type="pct"/>
            <w:vMerge w:val="restar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建筑物插入损失</w:t>
            </w:r>
            <w:r>
              <w:rPr>
                <w:rFonts w:hint="default" w:ascii="Times New Roman" w:hAnsi="Times New Roman" w:eastAsia="宋体" w:cs="Times New Roman"/>
                <w:b/>
                <w:bCs/>
                <w:color w:val="auto"/>
                <w:sz w:val="21"/>
                <w:szCs w:val="21"/>
                <w:lang w:val="en-US" w:eastAsia="zh-CN"/>
              </w:rPr>
              <w:t>/dB(A)</w:t>
            </w:r>
          </w:p>
        </w:tc>
        <w:tc>
          <w:tcPr>
            <w:tcW w:w="622" w:type="pct"/>
            <w:gridSpan w:val="2"/>
            <w:tcBorders>
              <w:tl2br w:val="nil"/>
              <w:tr2bl w:val="nil"/>
            </w:tcBorders>
            <w:vAlign w:val="center"/>
          </w:tcPr>
          <w:p>
            <w:pPr>
              <w:pStyle w:val="103"/>
              <w:spacing w:line="240" w:lineRule="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建筑外噪声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vMerge w:val="continue"/>
            <w:tcBorders>
              <w:tl2br w:val="nil"/>
              <w:tr2bl w:val="nil"/>
            </w:tcBorders>
            <w:vAlign w:val="center"/>
          </w:tcPr>
          <w:p>
            <w:pPr>
              <w:pStyle w:val="103"/>
              <w:spacing w:line="240" w:lineRule="auto"/>
              <w:rPr>
                <w:rFonts w:hint="default" w:ascii="Times New Roman" w:hAnsi="Times New Roman" w:cs="Times New Roman"/>
                <w:b/>
                <w:bCs/>
                <w:color w:val="auto"/>
                <w:sz w:val="21"/>
                <w:szCs w:val="21"/>
              </w:rPr>
            </w:pP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b/>
                <w:bCs/>
                <w:color w:val="auto"/>
                <w:sz w:val="21"/>
                <w:szCs w:val="21"/>
              </w:rPr>
            </w:pPr>
          </w:p>
        </w:tc>
        <w:tc>
          <w:tcPr>
            <w:tcW w:w="765" w:type="pct"/>
            <w:vMerge w:val="continue"/>
            <w:tcBorders>
              <w:tl2br w:val="nil"/>
              <w:tr2bl w:val="nil"/>
            </w:tcBorders>
            <w:vAlign w:val="center"/>
          </w:tcPr>
          <w:p>
            <w:pPr>
              <w:pStyle w:val="103"/>
              <w:spacing w:line="240" w:lineRule="auto"/>
              <w:rPr>
                <w:rFonts w:hint="default" w:ascii="Times New Roman" w:hAnsi="Times New Roman" w:cs="Times New Roman"/>
                <w:b/>
                <w:bCs/>
                <w:color w:val="auto"/>
                <w:sz w:val="21"/>
                <w:szCs w:val="21"/>
              </w:rPr>
            </w:pPr>
          </w:p>
        </w:tc>
        <w:tc>
          <w:tcPr>
            <w:tcW w:w="269" w:type="pct"/>
            <w:vMerge w:val="continue"/>
            <w:tcBorders>
              <w:tl2br w:val="nil"/>
              <w:tr2bl w:val="nil"/>
            </w:tcBorders>
            <w:vAlign w:val="center"/>
          </w:tcPr>
          <w:p>
            <w:pPr>
              <w:pStyle w:val="103"/>
              <w:spacing w:line="240" w:lineRule="auto"/>
              <w:rPr>
                <w:rFonts w:hint="default" w:ascii="Times New Roman" w:hAnsi="Times New Roman" w:cs="Times New Roman"/>
                <w:b/>
                <w:bCs/>
                <w:color w:val="auto"/>
                <w:sz w:val="21"/>
                <w:szCs w:val="21"/>
              </w:rPr>
            </w:pPr>
          </w:p>
        </w:tc>
        <w:tc>
          <w:tcPr>
            <w:tcW w:w="372" w:type="pct"/>
            <w:tcBorders>
              <w:tl2br w:val="nil"/>
              <w:tr2bl w:val="nil"/>
            </w:tcBorders>
            <w:vAlign w:val="center"/>
          </w:tcPr>
          <w:p>
            <w:pPr>
              <w:pStyle w:val="103"/>
              <w:spacing w:line="240" w:lineRule="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声源表达量dB(A)</w:t>
            </w:r>
          </w:p>
        </w:tc>
        <w:tc>
          <w:tcPr>
            <w:tcW w:w="206" w:type="pct"/>
            <w:vMerge w:val="continue"/>
            <w:tcBorders>
              <w:tl2br w:val="nil"/>
              <w:tr2bl w:val="nil"/>
            </w:tcBorders>
            <w:vAlign w:val="center"/>
          </w:tcPr>
          <w:p>
            <w:pPr>
              <w:pStyle w:val="103"/>
              <w:spacing w:line="240" w:lineRule="auto"/>
              <w:rPr>
                <w:rFonts w:hint="default" w:ascii="Times New Roman" w:hAnsi="Times New Roman" w:eastAsia="宋体" w:cs="Times New Roman"/>
                <w:b/>
                <w:bCs/>
                <w:color w:val="auto"/>
                <w:sz w:val="21"/>
                <w:szCs w:val="21"/>
              </w:rPr>
            </w:pPr>
          </w:p>
        </w:tc>
        <w:tc>
          <w:tcPr>
            <w:tcW w:w="323"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X</w:t>
            </w:r>
          </w:p>
        </w:tc>
        <w:tc>
          <w:tcPr>
            <w:tcW w:w="174"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Y</w:t>
            </w:r>
          </w:p>
        </w:tc>
        <w:tc>
          <w:tcPr>
            <w:tcW w:w="197"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Z</w:t>
            </w:r>
          </w:p>
        </w:tc>
        <w:tc>
          <w:tcPr>
            <w:tcW w:w="179"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东</w:t>
            </w:r>
          </w:p>
        </w:tc>
        <w:tc>
          <w:tcPr>
            <w:tcW w:w="202"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南</w:t>
            </w:r>
          </w:p>
        </w:tc>
        <w:tc>
          <w:tcPr>
            <w:tcW w:w="216"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西</w:t>
            </w:r>
          </w:p>
        </w:tc>
        <w:tc>
          <w:tcPr>
            <w:tcW w:w="188"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北</w:t>
            </w:r>
          </w:p>
        </w:tc>
        <w:tc>
          <w:tcPr>
            <w:tcW w:w="267" w:type="pct"/>
            <w:vMerge w:val="continue"/>
            <w:tcBorders>
              <w:tl2br w:val="nil"/>
              <w:tr2bl w:val="nil"/>
            </w:tcBorders>
            <w:vAlign w:val="center"/>
          </w:tcPr>
          <w:p>
            <w:pPr>
              <w:pStyle w:val="103"/>
              <w:spacing w:line="240" w:lineRule="auto"/>
              <w:rPr>
                <w:rFonts w:hint="eastAsia" w:cs="Times New Roman"/>
                <w:b/>
                <w:bCs/>
                <w:color w:val="auto"/>
                <w:sz w:val="21"/>
                <w:szCs w:val="21"/>
                <w:lang w:val="en-US" w:eastAsia="zh-CN"/>
              </w:rPr>
            </w:pPr>
          </w:p>
        </w:tc>
        <w:tc>
          <w:tcPr>
            <w:tcW w:w="235" w:type="pct"/>
            <w:vMerge w:val="continue"/>
            <w:tcBorders>
              <w:tl2br w:val="nil"/>
              <w:tr2bl w:val="nil"/>
            </w:tcBorders>
            <w:vAlign w:val="center"/>
          </w:tcPr>
          <w:p>
            <w:pPr>
              <w:pStyle w:val="103"/>
              <w:spacing w:line="240" w:lineRule="auto"/>
              <w:rPr>
                <w:rFonts w:hint="default" w:ascii="Times New Roman" w:hAnsi="Times New Roman" w:eastAsia="宋体" w:cs="Times New Roman"/>
                <w:b/>
                <w:bCs/>
                <w:color w:val="auto"/>
                <w:sz w:val="21"/>
                <w:szCs w:val="21"/>
              </w:rPr>
            </w:pPr>
          </w:p>
        </w:tc>
        <w:tc>
          <w:tcPr>
            <w:tcW w:w="337" w:type="pct"/>
            <w:vMerge w:val="continue"/>
            <w:tcBorders>
              <w:tl2br w:val="nil"/>
              <w:tr2bl w:val="nil"/>
            </w:tcBorders>
            <w:vAlign w:val="center"/>
          </w:tcPr>
          <w:p>
            <w:pPr>
              <w:pStyle w:val="103"/>
              <w:spacing w:line="240" w:lineRule="auto"/>
              <w:rPr>
                <w:rFonts w:hint="default" w:ascii="Times New Roman" w:hAnsi="Times New Roman" w:eastAsia="宋体" w:cs="Times New Roman"/>
                <w:b/>
                <w:bCs/>
                <w:color w:val="auto"/>
                <w:sz w:val="21"/>
                <w:szCs w:val="21"/>
              </w:rPr>
            </w:pPr>
          </w:p>
        </w:tc>
        <w:tc>
          <w:tcPr>
            <w:tcW w:w="298" w:type="pct"/>
            <w:tcBorders>
              <w:tl2br w:val="nil"/>
              <w:tr2bl w:val="nil"/>
            </w:tcBorders>
            <w:vAlign w:val="center"/>
          </w:tcPr>
          <w:p>
            <w:pPr>
              <w:pStyle w:val="103"/>
              <w:spacing w:line="240" w:lineRule="auto"/>
              <w:rPr>
                <w:rFonts w:hint="default"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lang w:val="en-US" w:eastAsia="zh-CN"/>
              </w:rPr>
              <w:t>声压级</w:t>
            </w:r>
            <w:r>
              <w:rPr>
                <w:rFonts w:hint="default" w:ascii="Times New Roman" w:hAnsi="Times New Roman" w:eastAsia="宋体" w:cs="Times New Roman"/>
                <w:b/>
                <w:bCs/>
                <w:color w:val="auto"/>
                <w:sz w:val="21"/>
                <w:szCs w:val="21"/>
                <w:lang w:val="en-US" w:eastAsia="zh-CN"/>
              </w:rPr>
              <w:t>/dB(A)</w:t>
            </w:r>
          </w:p>
        </w:tc>
        <w:tc>
          <w:tcPr>
            <w:tcW w:w="323" w:type="pct"/>
            <w:tcBorders>
              <w:tl2br w:val="nil"/>
              <w:tr2bl w:val="nil"/>
            </w:tcBorders>
            <w:vAlign w:val="center"/>
          </w:tcPr>
          <w:p>
            <w:pPr>
              <w:pStyle w:val="103"/>
              <w:spacing w:line="240" w:lineRule="auto"/>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建筑物外距离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245" w:type="pct"/>
            <w:vMerge w:val="restar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肉羊精深加工生产车间</w:t>
            </w: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bCs/>
                <w:color w:val="auto"/>
                <w:sz w:val="21"/>
                <w:szCs w:val="21"/>
              </w:rPr>
              <w:t>牵羊机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85</w:t>
            </w:r>
          </w:p>
        </w:tc>
        <w:tc>
          <w:tcPr>
            <w:tcW w:w="206" w:type="pct"/>
            <w:vMerge w:val="restar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厂房隔声、基础减震、选用低噪声设备</w:t>
            </w: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171</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-44</w:t>
            </w:r>
          </w:p>
        </w:tc>
        <w:tc>
          <w:tcPr>
            <w:tcW w:w="197"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19</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173</w:t>
            </w:r>
          </w:p>
        </w:tc>
        <w:tc>
          <w:tcPr>
            <w:tcW w:w="188"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w:t>
            </w:r>
          </w:p>
        </w:tc>
        <w:tc>
          <w:tcPr>
            <w:tcW w:w="267" w:type="pct"/>
            <w:tcBorders>
              <w:tl2br w:val="nil"/>
              <w:tr2bl w:val="nil"/>
            </w:tcBorders>
            <w:vAlign w:val="center"/>
          </w:tcPr>
          <w:p>
            <w:pPr>
              <w:pStyle w:val="103"/>
              <w:spacing w:line="240" w:lineRule="auto"/>
              <w:rPr>
                <w:rFonts w:hint="default"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bCs/>
                <w:color w:val="auto"/>
                <w:sz w:val="21"/>
                <w:szCs w:val="21"/>
              </w:rPr>
              <w:t>肉羊提升机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169</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-43</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w:t>
            </w:r>
          </w:p>
        </w:tc>
        <w:tc>
          <w:tcPr>
            <w:tcW w:w="202"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177</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bCs/>
                <w:color w:val="auto"/>
                <w:sz w:val="21"/>
                <w:szCs w:val="21"/>
                <w:lang w:val="en-US" w:eastAsia="zh-CN"/>
              </w:rPr>
              <w:t>V型</w:t>
            </w:r>
            <w:r>
              <w:rPr>
                <w:bCs/>
                <w:color w:val="auto"/>
                <w:sz w:val="21"/>
                <w:szCs w:val="21"/>
              </w:rPr>
              <w:t>肉羊输送机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80</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171</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-37</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177</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eastAsia"/>
                <w:bCs/>
                <w:color w:val="auto"/>
                <w:sz w:val="21"/>
                <w:szCs w:val="21"/>
                <w:lang w:val="en-US" w:eastAsia="zh-CN"/>
              </w:rPr>
            </w:pPr>
            <w:r>
              <w:rPr>
                <w:rFonts w:hint="eastAsia"/>
                <w:bCs/>
                <w:color w:val="auto"/>
                <w:sz w:val="21"/>
                <w:szCs w:val="21"/>
                <w:lang w:val="en-US" w:eastAsia="zh-CN"/>
              </w:rPr>
              <w:t>肉羊放血提升机</w:t>
            </w:r>
          </w:p>
        </w:tc>
        <w:tc>
          <w:tcPr>
            <w:tcW w:w="269" w:type="pct"/>
            <w:tcBorders>
              <w:tl2br w:val="nil"/>
              <w:tr2bl w:val="nil"/>
            </w:tcBorders>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174</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-18</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0.8</w:t>
            </w:r>
          </w:p>
        </w:tc>
        <w:tc>
          <w:tcPr>
            <w:tcW w:w="179"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35</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176</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预剥输送机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80</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171</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w:t>
            </w:r>
          </w:p>
        </w:tc>
        <w:tc>
          <w:tcPr>
            <w:tcW w:w="197"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p>
        </w:tc>
        <w:tc>
          <w:tcPr>
            <w:tcW w:w="179" w:type="pct"/>
            <w:tcBorders>
              <w:tl2br w:val="nil"/>
              <w:tr2bl w:val="nil"/>
            </w:tcBorders>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35</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173</w:t>
            </w:r>
          </w:p>
        </w:tc>
        <w:tc>
          <w:tcPr>
            <w:tcW w:w="188"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w:t>
            </w:r>
          </w:p>
        </w:tc>
        <w:tc>
          <w:tcPr>
            <w:tcW w:w="267" w:type="pct"/>
            <w:tcBorders>
              <w:tl2br w:val="nil"/>
              <w:tr2bl w:val="nil"/>
            </w:tcBorders>
            <w:vAlign w:val="center"/>
          </w:tcPr>
          <w:p>
            <w:pPr>
              <w:pStyle w:val="103"/>
              <w:spacing w:line="240" w:lineRule="auto"/>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羊头蹄输送机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80</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168</w:t>
            </w:r>
          </w:p>
        </w:tc>
        <w:tc>
          <w:tcPr>
            <w:tcW w:w="174" w:type="pct"/>
            <w:tcBorders>
              <w:tl2br w:val="nil"/>
              <w:tr2bl w:val="nil"/>
            </w:tcBorders>
            <w:vAlign w:val="center"/>
          </w:tcPr>
          <w:p>
            <w:pPr>
              <w:pStyle w:val="103"/>
              <w:spacing w:line="240" w:lineRule="auto"/>
              <w:rPr>
                <w:rFonts w:hint="eastAsia" w:ascii="Times New Roman" w:hAnsi="Times New Roman" w:cs="Times New Roman"/>
                <w:color w:val="auto"/>
                <w:sz w:val="21"/>
                <w:szCs w:val="21"/>
                <w:lang w:val="en-US" w:eastAsia="zh-CN"/>
              </w:rPr>
            </w:pPr>
            <w:r>
              <w:rPr>
                <w:rFonts w:hint="eastAsia" w:cs="Times New Roman"/>
                <w:color w:val="auto"/>
                <w:sz w:val="21"/>
                <w:szCs w:val="21"/>
                <w:lang w:val="en-US" w:eastAsia="zh-CN"/>
              </w:rPr>
              <w:t>-37</w:t>
            </w:r>
          </w:p>
        </w:tc>
        <w:tc>
          <w:tcPr>
            <w:tcW w:w="197" w:type="pct"/>
            <w:tcBorders>
              <w:tl2br w:val="nil"/>
              <w:tr2bl w:val="nil"/>
            </w:tcBorders>
            <w:vAlign w:val="center"/>
          </w:tcPr>
          <w:p>
            <w:pPr>
              <w:pStyle w:val="103"/>
              <w:spacing w:line="240" w:lineRule="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1.0</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23</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176</w:t>
            </w:r>
          </w:p>
        </w:tc>
        <w:tc>
          <w:tcPr>
            <w:tcW w:w="188"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p>
        </w:tc>
        <w:tc>
          <w:tcPr>
            <w:tcW w:w="267" w:type="pct"/>
            <w:tcBorders>
              <w:tl2br w:val="nil"/>
              <w:tr2bl w:val="nil"/>
            </w:tcBorders>
            <w:vAlign w:val="center"/>
          </w:tcPr>
          <w:p>
            <w:pPr>
              <w:pStyle w:val="103"/>
              <w:spacing w:line="240" w:lineRule="auto"/>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szCs w:val="21"/>
              </w:rPr>
              <w:t>蒸汽脱毛机（电）</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170</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-30</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0.5</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23</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23</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174</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26</w:t>
            </w:r>
          </w:p>
        </w:tc>
        <w:tc>
          <w:tcPr>
            <w:tcW w:w="267" w:type="pct"/>
            <w:tcBorders>
              <w:tl2br w:val="nil"/>
              <w:tr2bl w:val="nil"/>
            </w:tcBorders>
            <w:vAlign w:val="center"/>
          </w:tcPr>
          <w:p>
            <w:pPr>
              <w:pStyle w:val="103"/>
              <w:spacing w:line="240" w:lineRule="auto"/>
              <w:ind w:firstLine="0" w:firstLineChars="0"/>
              <w:rPr>
                <w:rFonts w:hint="eastAsia" w:cs="Times New Roman"/>
                <w:color w:val="auto"/>
                <w:kern w:val="2"/>
                <w:sz w:val="21"/>
                <w:szCs w:val="21"/>
                <w:lang w:val="en-US" w:eastAsia="zh-CN" w:bidi="ar-SA"/>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8</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bCs/>
                <w:color w:val="auto"/>
                <w:sz w:val="21"/>
                <w:szCs w:val="21"/>
                <w:lang w:val="en-US" w:eastAsia="zh-CN"/>
              </w:rPr>
              <w:t>滚筒式剥皮机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eastAsia="zh-CN"/>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85</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154</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p>
        </w:tc>
        <w:tc>
          <w:tcPr>
            <w:tcW w:w="197"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39</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159</w:t>
            </w:r>
          </w:p>
        </w:tc>
        <w:tc>
          <w:tcPr>
            <w:tcW w:w="188"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267" w:type="pct"/>
            <w:tcBorders>
              <w:tl2br w:val="nil"/>
              <w:tr2bl w:val="nil"/>
            </w:tcBorders>
            <w:vAlign w:val="center"/>
          </w:tcPr>
          <w:p>
            <w:pPr>
              <w:pStyle w:val="103"/>
              <w:spacing w:line="240" w:lineRule="auto"/>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bCs/>
                <w:color w:val="auto"/>
                <w:sz w:val="21"/>
                <w:szCs w:val="21"/>
              </w:rPr>
              <w:t>羊皮输送机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80</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155</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w:t>
            </w:r>
          </w:p>
        </w:tc>
        <w:tc>
          <w:tcPr>
            <w:tcW w:w="197"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23</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159</w:t>
            </w:r>
          </w:p>
        </w:tc>
        <w:tc>
          <w:tcPr>
            <w:tcW w:w="188" w:type="pct"/>
            <w:tcBorders>
              <w:tl2br w:val="nil"/>
              <w:tr2bl w:val="nil"/>
            </w:tcBorders>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p>
        </w:tc>
        <w:tc>
          <w:tcPr>
            <w:tcW w:w="267" w:type="pct"/>
            <w:tcBorders>
              <w:tl2br w:val="nil"/>
              <w:tr2bl w:val="nil"/>
            </w:tcBorders>
            <w:vAlign w:val="center"/>
          </w:tcPr>
          <w:p>
            <w:pPr>
              <w:pStyle w:val="103"/>
              <w:spacing w:line="240" w:lineRule="auto"/>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10</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红内脏输送机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80</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139</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cs="Times New Roman"/>
                <w:color w:val="auto"/>
                <w:kern w:val="2"/>
                <w:sz w:val="21"/>
                <w:szCs w:val="21"/>
                <w:lang w:val="en-US" w:eastAsia="zh-CN" w:bidi="ar-SA"/>
              </w:rPr>
              <w:t>27</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54</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17</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143</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34</w:t>
            </w:r>
          </w:p>
        </w:tc>
        <w:tc>
          <w:tcPr>
            <w:tcW w:w="267" w:type="pct"/>
            <w:tcBorders>
              <w:tl2br w:val="nil"/>
              <w:tr2bl w:val="nil"/>
            </w:tcBorders>
            <w:vAlign w:val="center"/>
          </w:tcPr>
          <w:p>
            <w:pPr>
              <w:pStyle w:val="103"/>
              <w:spacing w:line="240" w:lineRule="auto"/>
              <w:ind w:firstLine="0" w:firstLineChars="0"/>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11</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自动清洗机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136</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cs="Times New Roman"/>
                <w:color w:val="auto"/>
                <w:kern w:val="2"/>
                <w:sz w:val="21"/>
                <w:szCs w:val="21"/>
                <w:lang w:val="en-US" w:eastAsia="zh-CN" w:bidi="ar-SA"/>
              </w:rPr>
              <w:t>25</w:t>
            </w:r>
          </w:p>
        </w:tc>
        <w:tc>
          <w:tcPr>
            <w:tcW w:w="19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57</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17</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140</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34</w:t>
            </w:r>
          </w:p>
        </w:tc>
        <w:tc>
          <w:tcPr>
            <w:tcW w:w="267" w:type="pct"/>
            <w:tcBorders>
              <w:tl2br w:val="nil"/>
              <w:tr2bl w:val="nil"/>
            </w:tcBorders>
            <w:vAlign w:val="center"/>
          </w:tcPr>
          <w:p>
            <w:pPr>
              <w:pStyle w:val="103"/>
              <w:spacing w:line="240" w:lineRule="auto"/>
              <w:ind w:firstLine="0" w:firstLineChars="0"/>
              <w:rPr>
                <w:rFonts w:hint="eastAsia" w:cs="Times New Roman"/>
                <w:color w:val="auto"/>
                <w:kern w:val="2"/>
                <w:sz w:val="21"/>
                <w:szCs w:val="21"/>
                <w:lang w:val="en-US" w:eastAsia="zh-CN" w:bidi="ar-SA"/>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白内脏输送机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80</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144</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cs="Times New Roman"/>
                <w:color w:val="auto"/>
                <w:kern w:val="2"/>
                <w:sz w:val="21"/>
                <w:szCs w:val="21"/>
                <w:lang w:val="en-US" w:eastAsia="zh-CN" w:bidi="ar-SA"/>
              </w:rPr>
              <w:t>29</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49</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16</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150</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16</w:t>
            </w:r>
          </w:p>
        </w:tc>
        <w:tc>
          <w:tcPr>
            <w:tcW w:w="267" w:type="pct"/>
            <w:tcBorders>
              <w:tl2br w:val="nil"/>
              <w:tr2bl w:val="nil"/>
            </w:tcBorders>
            <w:vAlign w:val="center"/>
          </w:tcPr>
          <w:p>
            <w:pPr>
              <w:pStyle w:val="103"/>
              <w:spacing w:line="240" w:lineRule="auto"/>
              <w:ind w:firstLine="0" w:firstLineChars="0"/>
              <w:rPr>
                <w:rFonts w:hint="eastAsia" w:cs="Times New Roman"/>
                <w:color w:val="auto"/>
                <w:kern w:val="2"/>
                <w:sz w:val="21"/>
                <w:szCs w:val="21"/>
                <w:lang w:val="en-US" w:eastAsia="zh-CN" w:bidi="ar-SA"/>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kern w:val="0"/>
                <w:sz w:val="21"/>
                <w:szCs w:val="21"/>
                <w:lang w:bidi="ar"/>
              </w:rPr>
              <w:t>洗肚机</w:t>
            </w:r>
            <w:r>
              <w:rPr>
                <w:color w:val="auto"/>
                <w:sz w:val="21"/>
                <w:szCs w:val="21"/>
              </w:rPr>
              <w:t>（电）</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146</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cs="Times New Roman"/>
                <w:color w:val="auto"/>
                <w:kern w:val="2"/>
                <w:sz w:val="21"/>
                <w:szCs w:val="21"/>
                <w:lang w:val="en-US" w:eastAsia="zh-CN" w:bidi="ar-SA"/>
              </w:rPr>
              <w:t>20</w:t>
            </w:r>
          </w:p>
        </w:tc>
        <w:tc>
          <w:tcPr>
            <w:tcW w:w="19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49</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24</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149</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8</w:t>
            </w:r>
          </w:p>
        </w:tc>
        <w:tc>
          <w:tcPr>
            <w:tcW w:w="267" w:type="pct"/>
            <w:tcBorders>
              <w:tl2br w:val="nil"/>
              <w:tr2bl w:val="nil"/>
            </w:tcBorders>
            <w:vAlign w:val="center"/>
          </w:tcPr>
          <w:p>
            <w:pPr>
              <w:pStyle w:val="103"/>
              <w:spacing w:line="240" w:lineRule="auto"/>
              <w:ind w:firstLine="0" w:firstLineChars="0"/>
              <w:rPr>
                <w:rFonts w:hint="eastAsia" w:cs="Times New Roman"/>
                <w:color w:val="auto"/>
                <w:kern w:val="2"/>
                <w:sz w:val="21"/>
                <w:szCs w:val="21"/>
                <w:lang w:val="en-US" w:eastAsia="zh-CN" w:bidi="ar-SA"/>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14</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widowControl/>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kern w:val="0"/>
                <w:sz w:val="21"/>
                <w:szCs w:val="21"/>
                <w:lang w:bidi="ar"/>
              </w:rPr>
              <w:t>洗肠机</w:t>
            </w:r>
            <w:r>
              <w:rPr>
                <w:color w:val="auto"/>
                <w:sz w:val="21"/>
                <w:szCs w:val="21"/>
              </w:rPr>
              <w:t>（电）</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146</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-18</w:t>
            </w:r>
          </w:p>
        </w:tc>
        <w:tc>
          <w:tcPr>
            <w:tcW w:w="19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51</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22</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147</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10</w:t>
            </w:r>
          </w:p>
        </w:tc>
        <w:tc>
          <w:tcPr>
            <w:tcW w:w="267" w:type="pct"/>
            <w:tcBorders>
              <w:tl2br w:val="nil"/>
              <w:tr2bl w:val="nil"/>
            </w:tcBorders>
            <w:vAlign w:val="center"/>
          </w:tcPr>
          <w:p>
            <w:pPr>
              <w:pStyle w:val="103"/>
              <w:spacing w:line="240" w:lineRule="auto"/>
              <w:ind w:firstLine="0" w:firstLineChars="0"/>
              <w:rPr>
                <w:rFonts w:hint="eastAsia" w:cs="Times New Roman"/>
                <w:color w:val="auto"/>
                <w:kern w:val="2"/>
                <w:sz w:val="21"/>
                <w:szCs w:val="21"/>
                <w:lang w:val="en-US" w:eastAsia="zh-CN" w:bidi="ar-SA"/>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15</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胃容物输送机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80</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142</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-18</w:t>
            </w:r>
          </w:p>
        </w:tc>
        <w:tc>
          <w:tcPr>
            <w:tcW w:w="197" w:type="pct"/>
            <w:tcBorders>
              <w:tl2br w:val="nil"/>
              <w:tr2bl w:val="nil"/>
            </w:tcBorders>
            <w:vAlign w:val="center"/>
          </w:tcPr>
          <w:p>
            <w:pPr>
              <w:pStyle w:val="103"/>
              <w:spacing w:line="240" w:lineRule="auto"/>
              <w:ind w:firstLine="0" w:firstLineChars="0"/>
              <w:rPr>
                <w:rFonts w:hint="eastAsia"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53</w:t>
            </w:r>
          </w:p>
        </w:tc>
        <w:tc>
          <w:tcPr>
            <w:tcW w:w="202"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25</w:t>
            </w:r>
          </w:p>
        </w:tc>
        <w:tc>
          <w:tcPr>
            <w:tcW w:w="216"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145</w:t>
            </w:r>
          </w:p>
        </w:tc>
        <w:tc>
          <w:tcPr>
            <w:tcW w:w="18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26</w:t>
            </w:r>
          </w:p>
        </w:tc>
        <w:tc>
          <w:tcPr>
            <w:tcW w:w="267" w:type="pct"/>
            <w:tcBorders>
              <w:tl2br w:val="nil"/>
              <w:tr2bl w:val="nil"/>
            </w:tcBorders>
            <w:vAlign w:val="center"/>
          </w:tcPr>
          <w:p>
            <w:pPr>
              <w:pStyle w:val="103"/>
              <w:spacing w:line="240" w:lineRule="auto"/>
              <w:ind w:firstLine="0" w:firstLineChars="0"/>
              <w:rPr>
                <w:rFonts w:hint="default" w:cs="Times New Roman"/>
                <w:color w:val="auto"/>
                <w:kern w:val="2"/>
                <w:sz w:val="21"/>
                <w:szCs w:val="21"/>
                <w:lang w:val="en-US" w:eastAsia="zh-CN" w:bidi="ar-SA"/>
              </w:rPr>
            </w:pPr>
            <w:r>
              <w:rPr>
                <w:rFonts w:hint="eastAsia" w:cs="Times New Roman"/>
                <w:color w:val="auto"/>
                <w:kern w:val="2"/>
                <w:sz w:val="21"/>
                <w:szCs w:val="21"/>
                <w:lang w:val="en-US" w:eastAsia="zh-CN" w:bidi="ar-SA"/>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FF0000"/>
                <w:kern w:val="2"/>
                <w:sz w:val="21"/>
                <w:szCs w:val="21"/>
                <w:lang w:val="en-US" w:eastAsia="zh-CN" w:bidi="ar-SA"/>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检疫输送机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color w:val="auto"/>
                <w:sz w:val="21"/>
                <w:szCs w:val="21"/>
              </w:rPr>
              <w:t>80</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129</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-23</w:t>
            </w:r>
          </w:p>
        </w:tc>
        <w:tc>
          <w:tcPr>
            <w:tcW w:w="197" w:type="pct"/>
            <w:tcBorders>
              <w:tl2br w:val="nil"/>
              <w:tr2bl w:val="nil"/>
            </w:tcBorders>
            <w:vAlign w:val="center"/>
          </w:tcPr>
          <w:p>
            <w:pPr>
              <w:pStyle w:val="103"/>
              <w:spacing w:line="240" w:lineRule="auto"/>
              <w:rPr>
                <w:rFonts w:hint="default" w:ascii="Times New Roman" w:hAnsi="Times New Roman" w:cs="Times New Roman"/>
                <w:color w:val="auto"/>
                <w:sz w:val="21"/>
                <w:szCs w:val="21"/>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65</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134</w:t>
            </w:r>
          </w:p>
        </w:tc>
        <w:tc>
          <w:tcPr>
            <w:tcW w:w="188"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33</w:t>
            </w:r>
          </w:p>
        </w:tc>
        <w:tc>
          <w:tcPr>
            <w:tcW w:w="267" w:type="pct"/>
            <w:tcBorders>
              <w:tl2br w:val="nil"/>
              <w:tr2bl w:val="nil"/>
            </w:tcBorders>
            <w:vAlign w:val="center"/>
          </w:tcPr>
          <w:p>
            <w:pPr>
              <w:pStyle w:val="103"/>
              <w:spacing w:line="240" w:lineRule="auto"/>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17</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lang w:val="en-US" w:eastAsia="zh-CN"/>
              </w:rPr>
              <w:t>磨刀机</w:t>
            </w:r>
          </w:p>
        </w:tc>
        <w:tc>
          <w:tcPr>
            <w:tcW w:w="269" w:type="pct"/>
            <w:tcBorders>
              <w:tl2br w:val="nil"/>
              <w:tr2bl w:val="nil"/>
            </w:tcBorders>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85</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122</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p>
        </w:tc>
        <w:tc>
          <w:tcPr>
            <w:tcW w:w="197" w:type="pct"/>
            <w:tcBorders>
              <w:tl2br w:val="nil"/>
              <w:tr2bl w:val="nil"/>
            </w:tcBorders>
            <w:vAlign w:val="center"/>
          </w:tcPr>
          <w:p>
            <w:pPr>
              <w:pStyle w:val="103"/>
              <w:spacing w:line="240" w:lineRule="auto"/>
              <w:rPr>
                <w:rFonts w:hint="eastAsia"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70</w:t>
            </w:r>
          </w:p>
        </w:tc>
        <w:tc>
          <w:tcPr>
            <w:tcW w:w="202" w:type="pct"/>
            <w:tcBorders>
              <w:tl2br w:val="nil"/>
              <w:tr2bl w:val="nil"/>
            </w:tcBorders>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128</w:t>
            </w:r>
          </w:p>
        </w:tc>
        <w:tc>
          <w:tcPr>
            <w:tcW w:w="188"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45</w:t>
            </w:r>
          </w:p>
        </w:tc>
        <w:tc>
          <w:tcPr>
            <w:tcW w:w="267" w:type="pct"/>
            <w:tcBorders>
              <w:tl2br w:val="nil"/>
              <w:tr2bl w:val="nil"/>
            </w:tcBorders>
            <w:vAlign w:val="center"/>
          </w:tcPr>
          <w:p>
            <w:pPr>
              <w:pStyle w:val="103"/>
              <w:spacing w:line="240" w:lineRule="auto"/>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adjustRightInd w:val="0"/>
              <w:spacing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18</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eastAsia"/>
                <w:color w:val="auto"/>
                <w:sz w:val="21"/>
                <w:szCs w:val="21"/>
                <w:lang w:val="en-US" w:eastAsia="zh-CN"/>
              </w:rPr>
            </w:pPr>
            <w:r>
              <w:rPr>
                <w:color w:val="auto"/>
                <w:sz w:val="21"/>
                <w:szCs w:val="21"/>
              </w:rPr>
              <w:t>快速速冻自动输送机</w:t>
            </w:r>
          </w:p>
        </w:tc>
        <w:tc>
          <w:tcPr>
            <w:tcW w:w="269" w:type="pct"/>
            <w:tcBorders>
              <w:tl2br w:val="nil"/>
              <w:tr2bl w:val="nil"/>
            </w:tcBorders>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1</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eastAsia="宋体"/>
                <w:color w:val="auto"/>
                <w:sz w:val="21"/>
                <w:szCs w:val="21"/>
                <w:lang w:val="en-US" w:eastAsia="zh-CN"/>
              </w:rPr>
            </w:pPr>
            <w:r>
              <w:rPr>
                <w:rFonts w:hint="eastAsia"/>
                <w:color w:val="auto"/>
                <w:sz w:val="21"/>
                <w:szCs w:val="21"/>
                <w:lang w:val="en-US" w:eastAsia="zh-CN"/>
              </w:rPr>
              <w:t>80</w:t>
            </w:r>
          </w:p>
        </w:tc>
        <w:tc>
          <w:tcPr>
            <w:tcW w:w="206"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323"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160</w:t>
            </w:r>
          </w:p>
        </w:tc>
        <w:tc>
          <w:tcPr>
            <w:tcW w:w="174"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w:t>
            </w:r>
          </w:p>
        </w:tc>
        <w:tc>
          <w:tcPr>
            <w:tcW w:w="197" w:type="pct"/>
            <w:tcBorders>
              <w:tl2br w:val="nil"/>
              <w:tr2bl w:val="nil"/>
            </w:tcBorders>
            <w:vAlign w:val="center"/>
          </w:tcPr>
          <w:p>
            <w:pPr>
              <w:pStyle w:val="103"/>
              <w:spacing w:line="240" w:lineRule="auto"/>
              <w:rPr>
                <w:rFonts w:hint="eastAsia"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36</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161</w:t>
            </w:r>
          </w:p>
        </w:tc>
        <w:tc>
          <w:tcPr>
            <w:tcW w:w="188" w:type="pct"/>
            <w:tcBorders>
              <w:tl2br w:val="nil"/>
              <w:tr2bl w:val="nil"/>
            </w:tcBorders>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w:t>
            </w:r>
          </w:p>
        </w:tc>
        <w:tc>
          <w:tcPr>
            <w:tcW w:w="267" w:type="pct"/>
            <w:tcBorders>
              <w:tl2br w:val="nil"/>
              <w:tr2bl w:val="nil"/>
            </w:tcBorders>
            <w:vAlign w:val="center"/>
          </w:tcPr>
          <w:p>
            <w:pPr>
              <w:pStyle w:val="103"/>
              <w:spacing w:line="240" w:lineRule="auto"/>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19</w:t>
            </w:r>
          </w:p>
        </w:tc>
        <w:tc>
          <w:tcPr>
            <w:tcW w:w="245" w:type="pct"/>
            <w:vMerge w:val="continue"/>
            <w:tcBorders>
              <w:tl2br w:val="nil"/>
              <w:tr2bl w:val="nil"/>
            </w:tcBorders>
            <w:vAlign w:val="center"/>
          </w:tcPr>
          <w:p>
            <w:pPr>
              <w:pStyle w:val="103"/>
              <w:spacing w:line="240" w:lineRule="auto"/>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真空包装机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lang w:val="en-US" w:eastAsia="zh-CN"/>
              </w:rPr>
              <w:t>3</w:t>
            </w:r>
            <w:r>
              <w:rPr>
                <w:color w:val="auto"/>
                <w:sz w:val="21"/>
                <w:szCs w:val="21"/>
              </w:rPr>
              <w:t>台</w:t>
            </w:r>
          </w:p>
        </w:tc>
        <w:tc>
          <w:tcPr>
            <w:tcW w:w="372"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85</w:t>
            </w:r>
          </w:p>
        </w:tc>
        <w:tc>
          <w:tcPr>
            <w:tcW w:w="206" w:type="pct"/>
            <w:vMerge w:val="continue"/>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160</w:t>
            </w:r>
          </w:p>
        </w:tc>
        <w:tc>
          <w:tcPr>
            <w:tcW w:w="174"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w:t>
            </w:r>
            <w:r>
              <w:rPr>
                <w:rFonts w:hint="eastAsia" w:cs="Times New Roman"/>
                <w:color w:val="auto"/>
                <w:kern w:val="2"/>
                <w:sz w:val="21"/>
                <w:szCs w:val="21"/>
                <w:lang w:val="en-US" w:eastAsia="zh-CN" w:bidi="ar-SA"/>
              </w:rPr>
              <w:t>22</w:t>
            </w:r>
          </w:p>
        </w:tc>
        <w:tc>
          <w:tcPr>
            <w:tcW w:w="19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1.8</w:t>
            </w:r>
          </w:p>
        </w:tc>
        <w:tc>
          <w:tcPr>
            <w:tcW w:w="179"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34</w:t>
            </w:r>
          </w:p>
        </w:tc>
        <w:tc>
          <w:tcPr>
            <w:tcW w:w="202"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29</w:t>
            </w:r>
          </w:p>
        </w:tc>
        <w:tc>
          <w:tcPr>
            <w:tcW w:w="216" w:type="pct"/>
            <w:tcBorders>
              <w:tl2br w:val="nil"/>
              <w:tr2bl w:val="nil"/>
            </w:tcBorders>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164</w:t>
            </w:r>
          </w:p>
        </w:tc>
        <w:tc>
          <w:tcPr>
            <w:tcW w:w="188" w:type="pct"/>
            <w:tcBorders>
              <w:tl2br w:val="nil"/>
              <w:tr2bl w:val="nil"/>
            </w:tcBorders>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c>
          <w:tcPr>
            <w:tcW w:w="267" w:type="pct"/>
            <w:tcBorders>
              <w:tl2br w:val="nil"/>
              <w:tr2bl w:val="nil"/>
            </w:tcBorders>
            <w:vAlign w:val="center"/>
          </w:tcPr>
          <w:p>
            <w:pPr>
              <w:pStyle w:val="103"/>
              <w:spacing w:line="240" w:lineRule="auto"/>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ascii="Times New Roman" w:hAnsi="Times New Roman" w:cs="Times New Roman"/>
                <w:color w:val="FF0000"/>
                <w:sz w:val="21"/>
                <w:szCs w:val="21"/>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20</w:t>
            </w:r>
          </w:p>
        </w:tc>
        <w:tc>
          <w:tcPr>
            <w:tcW w:w="245" w:type="pct"/>
            <w:vMerge w:val="restar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牛羊</w:t>
            </w:r>
            <w:r>
              <w:rPr>
                <w:rFonts w:hint="eastAsia" w:cs="Times New Roman"/>
                <w:color w:val="auto"/>
                <w:sz w:val="21"/>
                <w:szCs w:val="21"/>
                <w:lang w:val="en-US" w:eastAsia="zh-CN"/>
              </w:rPr>
              <w:t>预制品</w:t>
            </w:r>
            <w:r>
              <w:rPr>
                <w:rFonts w:hint="eastAsia" w:ascii="Times New Roman" w:hAnsi="Times New Roman" w:cs="Times New Roman"/>
                <w:color w:val="auto"/>
                <w:sz w:val="21"/>
                <w:szCs w:val="21"/>
                <w:lang w:val="en-US" w:eastAsia="zh-CN"/>
              </w:rPr>
              <w:t>生产车间</w:t>
            </w: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全自动清洗机</w:t>
            </w:r>
          </w:p>
        </w:tc>
        <w:tc>
          <w:tcPr>
            <w:tcW w:w="269"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w:t>
            </w:r>
            <w:r>
              <w:rPr>
                <w:color w:val="auto"/>
                <w:sz w:val="21"/>
                <w:szCs w:val="21"/>
              </w:rPr>
              <w:t>台</w:t>
            </w:r>
          </w:p>
        </w:tc>
        <w:tc>
          <w:tcPr>
            <w:tcW w:w="372"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eastAsia" w:cs="Times New Roman"/>
                <w:color w:val="auto"/>
                <w:sz w:val="21"/>
                <w:szCs w:val="21"/>
                <w:lang w:val="en-US" w:eastAsia="zh-CN"/>
              </w:rPr>
              <w:t>85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135</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0</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15</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41</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133</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21</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切片切块机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bCs/>
                <w:color w:val="auto"/>
                <w:sz w:val="21"/>
                <w:szCs w:val="21"/>
                <w:lang w:val="en-US" w:eastAsia="zh-CN"/>
              </w:rPr>
              <w:t>2</w:t>
            </w:r>
            <w:r>
              <w:rPr>
                <w:bCs/>
                <w:color w:val="auto"/>
                <w:sz w:val="21"/>
                <w:szCs w:val="21"/>
              </w:rPr>
              <w:t>台</w:t>
            </w:r>
          </w:p>
        </w:tc>
        <w:tc>
          <w:tcPr>
            <w:tcW w:w="372"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eastAsia" w:cs="Times New Roman"/>
                <w:color w:val="auto"/>
                <w:sz w:val="21"/>
                <w:szCs w:val="21"/>
                <w:lang w:val="en-US" w:eastAsia="zh-CN"/>
              </w:rPr>
              <w:t>95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125</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25</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40</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123</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cs="Times New Roman"/>
                <w:color w:val="FF0000"/>
                <w:sz w:val="21"/>
                <w:szCs w:val="21"/>
                <w:lang w:val="en-US" w:eastAsia="zh-CN"/>
              </w:rPr>
            </w:pPr>
            <w:r>
              <w:rPr>
                <w:rFonts w:hint="eastAsia" w:cs="Times New Roman"/>
                <w:color w:val="auto"/>
                <w:sz w:val="21"/>
                <w:szCs w:val="21"/>
                <w:lang w:val="en-US" w:eastAsia="zh-CN"/>
              </w:rPr>
              <w:t>68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22</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砍排机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bCs/>
                <w:color w:val="auto"/>
                <w:sz w:val="21"/>
                <w:szCs w:val="21"/>
                <w:lang w:val="en-US" w:eastAsia="zh-CN"/>
              </w:rPr>
              <w:t>2</w:t>
            </w:r>
            <w:r>
              <w:rPr>
                <w:bCs/>
                <w:color w:val="auto"/>
                <w:sz w:val="21"/>
                <w:szCs w:val="21"/>
              </w:rPr>
              <w:t>台</w:t>
            </w:r>
          </w:p>
        </w:tc>
        <w:tc>
          <w:tcPr>
            <w:tcW w:w="372"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eastAsia" w:cs="Times New Roman"/>
                <w:color w:val="auto"/>
                <w:sz w:val="21"/>
                <w:szCs w:val="21"/>
                <w:lang w:val="en-US" w:eastAsia="zh-CN"/>
              </w:rPr>
              <w:t>95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123</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27</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40</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121</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89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68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23</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切丁机</w:t>
            </w:r>
          </w:p>
        </w:tc>
        <w:tc>
          <w:tcPr>
            <w:tcW w:w="269" w:type="pct"/>
            <w:tcBorders>
              <w:tl2br w:val="nil"/>
              <w:tr2bl w:val="nil"/>
            </w:tcBorders>
            <w:vAlign w:val="center"/>
          </w:tcPr>
          <w:p>
            <w:pPr>
              <w:spacing w:line="240" w:lineRule="auto"/>
              <w:ind w:firstLine="0" w:firstLineChars="0"/>
              <w:jc w:val="center"/>
              <w:rPr>
                <w:rFonts w:hint="default" w:ascii="Times New Roman" w:hAnsi="Times New Roman" w:cs="Times New Roman"/>
                <w:color w:val="auto"/>
                <w:sz w:val="21"/>
                <w:szCs w:val="21"/>
              </w:rPr>
            </w:pPr>
            <w:r>
              <w:rPr>
                <w:rFonts w:hint="eastAsia"/>
                <w:bCs/>
                <w:color w:val="auto"/>
                <w:sz w:val="21"/>
                <w:szCs w:val="21"/>
                <w:lang w:val="en-US" w:eastAsia="zh-CN"/>
              </w:rPr>
              <w:t>2</w:t>
            </w:r>
            <w:r>
              <w:rPr>
                <w:bCs/>
                <w:color w:val="auto"/>
                <w:sz w:val="21"/>
                <w:szCs w:val="21"/>
              </w:rPr>
              <w:t>台</w:t>
            </w:r>
          </w:p>
        </w:tc>
        <w:tc>
          <w:tcPr>
            <w:tcW w:w="372" w:type="pc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eastAsia" w:cs="Times New Roman"/>
                <w:color w:val="auto"/>
                <w:sz w:val="21"/>
                <w:szCs w:val="21"/>
                <w:lang w:val="en-US" w:eastAsia="zh-CN"/>
              </w:rPr>
              <w:t>95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120</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30</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40</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118</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68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24</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盐水注射机</w:t>
            </w:r>
          </w:p>
        </w:tc>
        <w:tc>
          <w:tcPr>
            <w:tcW w:w="26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111</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39</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39</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109</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25</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注油机</w:t>
            </w:r>
          </w:p>
        </w:tc>
        <w:tc>
          <w:tcPr>
            <w:tcW w:w="269"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bCs/>
                <w:color w:val="auto"/>
                <w:sz w:val="21"/>
                <w:szCs w:val="21"/>
              </w:rPr>
              <w:t>4台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110</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40</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35</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108</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14</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cs="Times New Roman"/>
                <w:color w:val="FF0000"/>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color w:val="auto"/>
                <w:sz w:val="21"/>
                <w:szCs w:val="21"/>
              </w:rPr>
              <w:t>全</w:t>
            </w:r>
            <w:r>
              <w:rPr>
                <w:color w:val="auto"/>
                <w:sz w:val="21"/>
                <w:szCs w:val="21"/>
              </w:rPr>
              <w:t>自动搅拌式炒锅</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bCs/>
                <w:color w:val="auto"/>
                <w:sz w:val="21"/>
                <w:szCs w:val="21"/>
              </w:rPr>
              <w:t>4台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106</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44</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36</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104</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15</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27</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color w:val="auto"/>
                <w:sz w:val="21"/>
                <w:szCs w:val="21"/>
              </w:rPr>
              <w:t>全自动蒸煮锅（电）</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bCs/>
                <w:color w:val="auto"/>
                <w:sz w:val="21"/>
                <w:szCs w:val="21"/>
              </w:rPr>
              <w:t>4台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106</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45</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39</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104</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静电油烟处理装置</w:t>
            </w:r>
          </w:p>
        </w:tc>
        <w:tc>
          <w:tcPr>
            <w:tcW w:w="269"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103</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1.8</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47</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35</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101</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14</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cs="Times New Roman"/>
                <w:color w:val="FF0000"/>
                <w:sz w:val="21"/>
                <w:szCs w:val="21"/>
                <w:lang w:val="en-US" w:eastAsia="zh-CN"/>
              </w:rPr>
            </w:pPr>
            <w:r>
              <w:rPr>
                <w:rFonts w:hint="eastAsia" w:cs="Times New Roman"/>
                <w:color w:val="auto"/>
                <w:sz w:val="21"/>
                <w:szCs w:val="21"/>
                <w:lang w:val="en-US" w:eastAsia="zh-CN"/>
              </w:rPr>
              <w:t>63</w:t>
            </w: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29</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冷风机</w:t>
            </w:r>
          </w:p>
        </w:tc>
        <w:tc>
          <w:tcPr>
            <w:tcW w:w="26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94</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2.6</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58</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40</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90</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pStyle w:val="2"/>
              <w:spacing w:line="240" w:lineRule="auto"/>
              <w:jc w:val="center"/>
              <w:rPr>
                <w:rFonts w:hint="default" w:ascii="Times New Roman" w:hAnsi="Times New Roman" w:eastAsia="宋体" w:cs="Times New Roman"/>
                <w:color w:val="auto"/>
                <w:sz w:val="21"/>
                <w:szCs w:val="21"/>
                <w:lang w:val="en-US" w:eastAsia="zh-CN" w:bidi="ar-SA"/>
              </w:rPr>
            </w:pPr>
            <w:r>
              <w:rPr>
                <w:rFonts w:hint="eastAsia"/>
                <w:color w:val="auto"/>
                <w:sz w:val="21"/>
                <w:szCs w:val="21"/>
              </w:rPr>
              <w:t>真空包装机</w:t>
            </w:r>
          </w:p>
        </w:tc>
        <w:tc>
          <w:tcPr>
            <w:tcW w:w="269" w:type="pct"/>
            <w:tcBorders>
              <w:tl2br w:val="nil"/>
              <w:tr2bl w:val="nil"/>
            </w:tcBorders>
            <w:vAlign w:val="center"/>
          </w:tcPr>
          <w:p>
            <w:pPr>
              <w:pStyle w:val="2"/>
              <w:spacing w:line="240" w:lineRule="auto"/>
              <w:ind w:left="0" w:leftChars="0" w:firstLine="0" w:firstLineChars="0"/>
              <w:jc w:val="both"/>
              <w:rPr>
                <w:rFonts w:hint="eastAsia" w:ascii="Times New Roman" w:hAnsi="Times New Roman" w:eastAsia="宋体" w:cs="Times New Roman"/>
                <w:color w:val="auto"/>
                <w:sz w:val="21"/>
                <w:szCs w:val="21"/>
                <w:lang w:val="en-US" w:eastAsia="zh-CN" w:bidi="ar-SA"/>
              </w:rPr>
            </w:pPr>
            <w:r>
              <w:rPr>
                <w:color w:val="auto"/>
                <w:sz w:val="21"/>
                <w:szCs w:val="21"/>
              </w:rPr>
              <w:t>3台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79</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16</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1.8</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73</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38</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75</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31</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pStyle w:val="2"/>
              <w:spacing w:line="240" w:lineRule="auto"/>
              <w:jc w:val="center"/>
              <w:rPr>
                <w:rFonts w:hint="default" w:ascii="Times New Roman" w:hAnsi="Times New Roman" w:eastAsia="宋体" w:cs="Times New Roman"/>
                <w:color w:val="auto"/>
                <w:sz w:val="21"/>
                <w:szCs w:val="21"/>
                <w:lang w:val="en-US" w:eastAsia="zh-CN" w:bidi="ar-SA"/>
              </w:rPr>
            </w:pPr>
            <w:r>
              <w:rPr>
                <w:rFonts w:hint="eastAsia"/>
                <w:color w:val="auto"/>
                <w:sz w:val="21"/>
                <w:szCs w:val="21"/>
              </w:rPr>
              <w:t>全自动封口机</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color w:val="auto"/>
                <w:sz w:val="21"/>
                <w:szCs w:val="21"/>
              </w:rPr>
              <w:t>3台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75</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17</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1.8</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77</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39</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70</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32</w:t>
            </w:r>
          </w:p>
        </w:tc>
        <w:tc>
          <w:tcPr>
            <w:tcW w:w="245" w:type="pct"/>
            <w:vMerge w:val="restart"/>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羊杂预制品生产线</w:t>
            </w:r>
          </w:p>
        </w:tc>
        <w:tc>
          <w:tcPr>
            <w:tcW w:w="76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szCs w:val="21"/>
              </w:rPr>
              <w:t>全自动清洗机</w:t>
            </w:r>
          </w:p>
        </w:tc>
        <w:tc>
          <w:tcPr>
            <w:tcW w:w="269"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bCs/>
                <w:color w:val="auto"/>
                <w:sz w:val="21"/>
                <w:szCs w:val="21"/>
              </w:rPr>
              <w:t>2台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136</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5</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15</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46</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133</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5</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33</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kern w:val="2"/>
                <w:sz w:val="21"/>
                <w:szCs w:val="21"/>
                <w:lang w:val="en-US" w:eastAsia="zh-CN" w:bidi="ar-SA"/>
              </w:rPr>
            </w:pPr>
            <w:r>
              <w:rPr>
                <w:color w:val="auto"/>
                <w:sz w:val="21"/>
                <w:szCs w:val="21"/>
              </w:rPr>
              <w:t>全自动蒸煮锅（电）</w:t>
            </w:r>
          </w:p>
        </w:tc>
        <w:tc>
          <w:tcPr>
            <w:tcW w:w="269" w:type="pct"/>
            <w:tcBorders>
              <w:tl2br w:val="nil"/>
              <w:tr2bl w:val="nil"/>
            </w:tcBorders>
            <w:vAlign w:val="center"/>
          </w:tcPr>
          <w:p>
            <w:pPr>
              <w:spacing w:line="240" w:lineRule="auto"/>
              <w:ind w:firstLine="0" w:firstLineChars="0"/>
              <w:jc w:val="center"/>
              <w:rPr>
                <w:rFonts w:hint="eastAsia" w:ascii="Times New Roman" w:hAnsi="Times New Roman" w:eastAsia="宋体" w:cs="Times New Roman"/>
                <w:bCs/>
                <w:color w:val="auto"/>
                <w:kern w:val="2"/>
                <w:sz w:val="21"/>
                <w:szCs w:val="21"/>
                <w:lang w:val="en-US" w:eastAsia="zh-CN" w:bidi="ar-SA"/>
              </w:rPr>
            </w:pPr>
            <w:r>
              <w:rPr>
                <w:bCs/>
                <w:color w:val="auto"/>
                <w:sz w:val="21"/>
                <w:szCs w:val="21"/>
              </w:rPr>
              <w:t>2台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127</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kern w:val="2"/>
                <w:sz w:val="21"/>
                <w:szCs w:val="21"/>
                <w:lang w:val="en-US" w:eastAsia="zh-CN" w:bidi="ar-SA"/>
              </w:rPr>
              <w:t>1.2</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23</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45</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124</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5</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FF0000"/>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34</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pStyle w:val="2"/>
              <w:spacing w:line="240" w:lineRule="auto"/>
              <w:jc w:val="center"/>
              <w:rPr>
                <w:rFonts w:hint="eastAsia" w:ascii="Times New Roman" w:hAnsi="Times New Roman" w:eastAsia="宋体" w:cs="Times New Roman"/>
                <w:color w:val="auto"/>
                <w:sz w:val="21"/>
                <w:szCs w:val="21"/>
                <w:lang w:val="en-US" w:eastAsia="zh-CN" w:bidi="ar-SA"/>
              </w:rPr>
            </w:pPr>
            <w:r>
              <w:rPr>
                <w:color w:val="auto"/>
                <w:sz w:val="21"/>
                <w:szCs w:val="21"/>
              </w:rPr>
              <w:t>真空包装机</w:t>
            </w:r>
          </w:p>
        </w:tc>
        <w:tc>
          <w:tcPr>
            <w:tcW w:w="269" w:type="pct"/>
            <w:tcBorders>
              <w:tl2br w:val="nil"/>
              <w:tr2bl w:val="nil"/>
            </w:tcBorders>
            <w:vAlign w:val="center"/>
          </w:tcPr>
          <w:p>
            <w:pPr>
              <w:pStyle w:val="2"/>
              <w:spacing w:line="240" w:lineRule="auto"/>
              <w:ind w:left="0" w:leftChars="0" w:firstLine="0" w:firstLineChars="0"/>
              <w:jc w:val="center"/>
              <w:rPr>
                <w:rFonts w:hint="eastAsia" w:ascii="Times New Roman" w:hAnsi="Times New Roman" w:eastAsia="宋体" w:cs="Times New Roman"/>
                <w:color w:val="auto"/>
                <w:sz w:val="21"/>
                <w:szCs w:val="21"/>
                <w:lang w:val="en-US" w:eastAsia="zh-CN" w:bidi="ar-SA"/>
              </w:rPr>
            </w:pPr>
            <w:r>
              <w:rPr>
                <w:color w:val="auto"/>
                <w:sz w:val="21"/>
                <w:szCs w:val="21"/>
              </w:rPr>
              <w:t>1台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116</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w:t>
            </w:r>
          </w:p>
        </w:tc>
        <w:tc>
          <w:tcPr>
            <w:tcW w:w="19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1.8</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35</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43</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113</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58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35</w:t>
            </w:r>
          </w:p>
        </w:tc>
        <w:tc>
          <w:tcPr>
            <w:tcW w:w="245" w:type="pct"/>
            <w:vMerge w:val="restar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制冷</w:t>
            </w:r>
          </w:p>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系统</w:t>
            </w:r>
          </w:p>
        </w:tc>
        <w:tc>
          <w:tcPr>
            <w:tcW w:w="765" w:type="pct"/>
            <w:tcBorders>
              <w:tl2br w:val="nil"/>
              <w:tr2bl w:val="nil"/>
            </w:tcBorders>
            <w:vAlign w:val="center"/>
          </w:tcPr>
          <w:p>
            <w:pPr>
              <w:pStyle w:val="2"/>
              <w:spacing w:line="240" w:lineRule="auto"/>
              <w:jc w:val="center"/>
              <w:rPr>
                <w:rFonts w:hint="eastAsia" w:ascii="Times New Roman" w:hAnsi="Times New Roman" w:eastAsia="宋体" w:cs="Times New Roman"/>
                <w:color w:val="auto"/>
                <w:sz w:val="21"/>
                <w:szCs w:val="21"/>
                <w:lang w:val="en-US" w:eastAsia="zh-CN" w:bidi="ar-SA"/>
              </w:rPr>
            </w:pPr>
            <w:r>
              <w:rPr>
                <w:color w:val="auto"/>
                <w:sz w:val="21"/>
                <w:szCs w:val="21"/>
              </w:rPr>
              <w:t>螺杆压缩机</w:t>
            </w:r>
          </w:p>
        </w:tc>
        <w:tc>
          <w:tcPr>
            <w:tcW w:w="269" w:type="pct"/>
            <w:tcBorders>
              <w:tl2br w:val="nil"/>
              <w:tr2bl w:val="nil"/>
            </w:tcBorders>
            <w:vAlign w:val="center"/>
          </w:tcPr>
          <w:p>
            <w:pPr>
              <w:pStyle w:val="2"/>
              <w:spacing w:line="240" w:lineRule="auto"/>
              <w:ind w:left="0" w:leftChars="0" w:firstLine="0" w:firstLineChars="0"/>
              <w:jc w:val="center"/>
              <w:rPr>
                <w:rFonts w:hint="eastAsia" w:ascii="Times New Roman" w:hAnsi="Times New Roman" w:eastAsia="宋体" w:cs="Times New Roman"/>
                <w:color w:val="auto"/>
                <w:sz w:val="21"/>
                <w:szCs w:val="21"/>
                <w:lang w:val="en-US" w:eastAsia="zh-CN" w:bidi="ar-SA"/>
              </w:rPr>
            </w:pPr>
            <w:r>
              <w:rPr>
                <w:rFonts w:hint="eastAsia"/>
                <w:color w:val="auto"/>
                <w:sz w:val="21"/>
                <w:szCs w:val="21"/>
                <w:lang w:val="en-US" w:eastAsia="zh-CN"/>
              </w:rPr>
              <w:t>30</w:t>
            </w:r>
            <w:r>
              <w:rPr>
                <w:color w:val="auto"/>
                <w:sz w:val="21"/>
                <w:szCs w:val="21"/>
              </w:rPr>
              <w:t>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0.5</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192</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59</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68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39</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pStyle w:val="2"/>
              <w:spacing w:line="240" w:lineRule="auto"/>
              <w:jc w:val="center"/>
              <w:rPr>
                <w:rFonts w:hint="eastAsia" w:ascii="Times New Roman" w:hAnsi="Times New Roman" w:eastAsia="宋体" w:cs="Times New Roman"/>
                <w:color w:val="auto"/>
                <w:sz w:val="21"/>
                <w:szCs w:val="21"/>
                <w:lang w:val="en-US" w:eastAsia="zh-CN" w:bidi="ar-SA"/>
              </w:rPr>
            </w:pPr>
            <w:r>
              <w:rPr>
                <w:rFonts w:hint="eastAsia"/>
                <w:color w:val="auto"/>
                <w:sz w:val="21"/>
                <w:szCs w:val="21"/>
                <w:lang w:val="en-US" w:eastAsia="zh-CN"/>
              </w:rPr>
              <w:t>冷凝剂循环泵组</w:t>
            </w:r>
          </w:p>
        </w:tc>
        <w:tc>
          <w:tcPr>
            <w:tcW w:w="269" w:type="pct"/>
            <w:tcBorders>
              <w:tl2br w:val="nil"/>
              <w:tr2bl w:val="nil"/>
            </w:tcBorders>
            <w:vAlign w:val="center"/>
          </w:tcPr>
          <w:p>
            <w:pPr>
              <w:pStyle w:val="2"/>
              <w:spacing w:line="240" w:lineRule="auto"/>
              <w:ind w:left="0" w:leftChars="0" w:firstLine="0" w:firstLineChars="0"/>
              <w:jc w:val="center"/>
              <w:rPr>
                <w:rFonts w:hint="eastAsia" w:ascii="Times New Roman" w:hAnsi="Times New Roman" w:eastAsia="宋体" w:cs="Times New Roman"/>
                <w:color w:val="auto"/>
                <w:sz w:val="21"/>
                <w:szCs w:val="21"/>
                <w:lang w:val="en-US" w:eastAsia="zh-CN" w:bidi="ar-SA"/>
              </w:rPr>
            </w:pPr>
            <w:r>
              <w:rPr>
                <w:rFonts w:hint="eastAsia"/>
                <w:color w:val="auto"/>
                <w:sz w:val="21"/>
                <w:szCs w:val="21"/>
                <w:lang w:val="en-US" w:eastAsia="zh-CN"/>
              </w:rPr>
              <w:t>12台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0.5</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190</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7</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57</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68</w:t>
            </w:r>
          </w:p>
        </w:tc>
        <w:tc>
          <w:tcPr>
            <w:tcW w:w="323"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41</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pStyle w:val="2"/>
              <w:spacing w:line="240" w:lineRule="auto"/>
              <w:jc w:val="center"/>
              <w:rPr>
                <w:rFonts w:hint="default" w:ascii="Times New Roman" w:hAnsi="Times New Roman" w:eastAsia="宋体" w:cs="Times New Roman"/>
                <w:color w:val="auto"/>
                <w:sz w:val="21"/>
                <w:szCs w:val="21"/>
                <w:lang w:val="en-US" w:eastAsia="zh-CN" w:bidi="ar-SA"/>
              </w:rPr>
            </w:pPr>
            <w:r>
              <w:rPr>
                <w:rFonts w:hint="eastAsia" w:cs="Times New Roman"/>
                <w:color w:val="auto"/>
                <w:sz w:val="21"/>
                <w:szCs w:val="21"/>
                <w:lang w:val="en-US" w:eastAsia="zh-CN" w:bidi="ar-SA"/>
              </w:rPr>
              <w:t>泵机</w:t>
            </w:r>
          </w:p>
        </w:tc>
        <w:tc>
          <w:tcPr>
            <w:tcW w:w="269" w:type="pct"/>
            <w:tcBorders>
              <w:tl2br w:val="nil"/>
              <w:tr2bl w:val="nil"/>
            </w:tcBorders>
            <w:vAlign w:val="center"/>
          </w:tcPr>
          <w:p>
            <w:pPr>
              <w:pStyle w:val="2"/>
              <w:spacing w:line="240" w:lineRule="auto"/>
              <w:ind w:left="0" w:leftChars="0" w:firstLine="0" w:firstLineChars="0"/>
              <w:jc w:val="center"/>
              <w:rPr>
                <w:rFonts w:hint="eastAsia" w:ascii="Times New Roman" w:hAnsi="Times New Roman" w:eastAsia="宋体" w:cs="Times New Roman"/>
                <w:color w:val="auto"/>
                <w:sz w:val="21"/>
                <w:szCs w:val="21"/>
                <w:lang w:val="en-US" w:eastAsia="zh-CN" w:bidi="ar-SA"/>
              </w:rPr>
            </w:pPr>
            <w:r>
              <w:rPr>
                <w:rFonts w:hint="eastAsia"/>
                <w:color w:val="auto"/>
                <w:sz w:val="21"/>
                <w:szCs w:val="21"/>
                <w:lang w:val="en-US" w:eastAsia="zh-CN"/>
              </w:rPr>
              <w:t>8台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95</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-1.5</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195</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62</w:t>
            </w:r>
          </w:p>
        </w:tc>
        <w:tc>
          <w:tcPr>
            <w:tcW w:w="26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89</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688</w:t>
            </w: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196" w:type="pct"/>
            <w:tcBorders>
              <w:tl2br w:val="nil"/>
              <w:tr2bl w:val="nil"/>
            </w:tcBorders>
            <w:vAlign w:val="center"/>
          </w:tcPr>
          <w:p>
            <w:pPr>
              <w:pStyle w:val="103"/>
              <w:bidi w:val="0"/>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42</w:t>
            </w:r>
          </w:p>
        </w:tc>
        <w:tc>
          <w:tcPr>
            <w:tcW w:w="245" w:type="pct"/>
            <w:vMerge w:val="continue"/>
            <w:tcBorders>
              <w:tl2br w:val="nil"/>
              <w:tr2bl w:val="nil"/>
            </w:tcBorders>
            <w:vAlign w:val="center"/>
          </w:tcPr>
          <w:p>
            <w:pPr>
              <w:pStyle w:val="103"/>
              <w:spacing w:line="240" w:lineRule="auto"/>
              <w:ind w:firstLine="0" w:firstLineChars="0"/>
              <w:rPr>
                <w:rFonts w:hint="default" w:ascii="Times New Roman" w:hAnsi="Times New Roman" w:cs="Times New Roman"/>
                <w:color w:val="auto"/>
                <w:sz w:val="21"/>
                <w:szCs w:val="21"/>
              </w:rPr>
            </w:pPr>
          </w:p>
        </w:tc>
        <w:tc>
          <w:tcPr>
            <w:tcW w:w="765" w:type="pct"/>
            <w:tcBorders>
              <w:tl2br w:val="nil"/>
              <w:tr2bl w:val="nil"/>
            </w:tcBorders>
            <w:vAlign w:val="center"/>
          </w:tcPr>
          <w:p>
            <w:pPr>
              <w:pStyle w:val="2"/>
              <w:spacing w:line="240" w:lineRule="auto"/>
              <w:jc w:val="center"/>
              <w:rPr>
                <w:rFonts w:hint="eastAsia" w:ascii="Times New Roman" w:hAnsi="Times New Roman" w:eastAsia="宋体" w:cs="Times New Roman"/>
                <w:color w:val="auto"/>
                <w:sz w:val="21"/>
                <w:szCs w:val="21"/>
                <w:lang w:val="en-US" w:eastAsia="zh-CN" w:bidi="ar-SA"/>
              </w:rPr>
            </w:pPr>
            <w:r>
              <w:rPr>
                <w:rFonts w:hint="eastAsia"/>
                <w:color w:val="auto"/>
                <w:sz w:val="21"/>
                <w:szCs w:val="21"/>
                <w:lang w:val="en-US" w:eastAsia="zh-CN"/>
              </w:rPr>
              <w:t>冷风机</w:t>
            </w:r>
          </w:p>
        </w:tc>
        <w:tc>
          <w:tcPr>
            <w:tcW w:w="269" w:type="pct"/>
            <w:tcBorders>
              <w:tl2br w:val="nil"/>
              <w:tr2bl w:val="nil"/>
            </w:tcBorders>
            <w:vAlign w:val="center"/>
          </w:tcPr>
          <w:p>
            <w:pPr>
              <w:pStyle w:val="2"/>
              <w:spacing w:line="240" w:lineRule="auto"/>
              <w:ind w:left="0" w:leftChars="0" w:firstLine="0" w:firstLineChars="0"/>
              <w:jc w:val="center"/>
              <w:rPr>
                <w:rFonts w:hint="eastAsia" w:ascii="Times New Roman" w:hAnsi="Times New Roman" w:eastAsia="宋体" w:cs="Times New Roman"/>
                <w:color w:val="auto"/>
                <w:sz w:val="21"/>
                <w:szCs w:val="21"/>
                <w:lang w:val="en-US" w:eastAsia="zh-CN" w:bidi="ar-SA"/>
              </w:rPr>
            </w:pPr>
            <w:r>
              <w:rPr>
                <w:rFonts w:hint="eastAsia"/>
                <w:color w:val="auto"/>
                <w:sz w:val="21"/>
                <w:szCs w:val="21"/>
                <w:lang w:val="en-US" w:eastAsia="zh-CN"/>
              </w:rPr>
              <w:t>222台</w:t>
            </w:r>
          </w:p>
        </w:tc>
        <w:tc>
          <w:tcPr>
            <w:tcW w:w="37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80</w:t>
            </w:r>
          </w:p>
        </w:tc>
        <w:tc>
          <w:tcPr>
            <w:tcW w:w="206" w:type="pct"/>
            <w:vMerge w:val="continue"/>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p>
        </w:tc>
        <w:tc>
          <w:tcPr>
            <w:tcW w:w="323"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99</w:t>
            </w:r>
          </w:p>
        </w:tc>
        <w:tc>
          <w:tcPr>
            <w:tcW w:w="174"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-4</w:t>
            </w:r>
          </w:p>
        </w:tc>
        <w:tc>
          <w:tcPr>
            <w:tcW w:w="197"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2.8</w:t>
            </w:r>
          </w:p>
        </w:tc>
        <w:tc>
          <w:tcPr>
            <w:tcW w:w="179"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100</w:t>
            </w:r>
          </w:p>
        </w:tc>
        <w:tc>
          <w:tcPr>
            <w:tcW w:w="202"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26</w:t>
            </w:r>
          </w:p>
        </w:tc>
        <w:tc>
          <w:tcPr>
            <w:tcW w:w="216"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98</w:t>
            </w:r>
          </w:p>
        </w:tc>
        <w:tc>
          <w:tcPr>
            <w:tcW w:w="188" w:type="pct"/>
            <w:tcBorders>
              <w:tl2br w:val="nil"/>
              <w:tr2bl w:val="nil"/>
            </w:tcBorders>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23</w:t>
            </w:r>
          </w:p>
        </w:tc>
        <w:tc>
          <w:tcPr>
            <w:tcW w:w="267"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74</w:t>
            </w:r>
          </w:p>
        </w:tc>
        <w:tc>
          <w:tcPr>
            <w:tcW w:w="235"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昼夜</w:t>
            </w:r>
          </w:p>
        </w:tc>
        <w:tc>
          <w:tcPr>
            <w:tcW w:w="337" w:type="pct"/>
            <w:tcBorders>
              <w:tl2br w:val="nil"/>
              <w:tr2bl w:val="nil"/>
            </w:tcBorders>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298" w:type="pct"/>
            <w:tcBorders>
              <w:tl2br w:val="nil"/>
              <w:tr2bl w:val="nil"/>
            </w:tcBorders>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53</w:t>
            </w:r>
          </w:p>
        </w:tc>
        <w:tc>
          <w:tcPr>
            <w:tcW w:w="323" w:type="pct"/>
            <w:tcBorders>
              <w:tl2br w:val="nil"/>
              <w:tr2bl w:val="nil"/>
            </w:tcBorders>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68" w:type="dxa"/>
            <w:bottom w:w="0" w:type="dxa"/>
            <w:right w:w="68" w:type="dxa"/>
          </w:tblCellMar>
        </w:tblPrEx>
        <w:trPr>
          <w:trHeight w:val="0" w:hRule="atLeast"/>
          <w:jc w:val="center"/>
        </w:trPr>
        <w:tc>
          <w:tcPr>
            <w:tcW w:w="5000" w:type="pct"/>
            <w:gridSpan w:val="18"/>
            <w:tcBorders>
              <w:tl2br w:val="nil"/>
              <w:tr2bl w:val="nil"/>
            </w:tcBorders>
            <w:vAlign w:val="center"/>
          </w:tcPr>
          <w:p>
            <w:pPr>
              <w:pStyle w:val="103"/>
              <w:spacing w:line="240" w:lineRule="auto"/>
              <w:ind w:firstLine="0" w:firstLineChars="0"/>
              <w:jc w:val="both"/>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备注：以新建区域西南角为坐标原点，以正东方向为X轴，以正北方向为Y轴，建立直接坐标系；（2）制冷系统产噪设备全部以等效声源测量边界距离。</w:t>
            </w:r>
          </w:p>
        </w:tc>
      </w:tr>
    </w:tbl>
    <w:p>
      <w:pPr>
        <w:bidi w:val="0"/>
        <w:ind w:left="0" w:leftChars="0" w:firstLine="0" w:firstLineChars="0"/>
        <w:rPr>
          <w:rFonts w:hint="eastAsia"/>
          <w:lang w:val="en-US" w:eastAsia="zh-CN"/>
        </w:rPr>
      </w:pPr>
    </w:p>
    <w:p>
      <w:pPr>
        <w:bidi w:val="0"/>
        <w:rPr>
          <w:rFonts w:hint="eastAsia"/>
          <w:lang w:val="en-US" w:eastAsia="zh-CN"/>
        </w:rPr>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7"/>
        <w:ind w:firstLine="482"/>
      </w:pPr>
      <w:r>
        <w:rPr>
          <w:rFonts w:hint="eastAsia"/>
          <w:lang w:val="en-US" w:eastAsia="zh-CN"/>
        </w:rPr>
        <w:t>3</w:t>
      </w:r>
      <w:r>
        <w:t>.</w:t>
      </w:r>
      <w:r>
        <w:rPr>
          <w:rFonts w:hint="eastAsia"/>
        </w:rPr>
        <w:t>6.2.4、运营期</w:t>
      </w:r>
      <w:r>
        <w:t>固体废物</w:t>
      </w:r>
      <w:r>
        <w:rPr>
          <w:rFonts w:hint="eastAsia"/>
        </w:rPr>
        <w:t>产生情况分析</w:t>
      </w:r>
    </w:p>
    <w:p>
      <w:pPr>
        <w:ind w:firstLine="480"/>
      </w:pPr>
      <w:r>
        <w:t>本项目运营期固体废物主要</w:t>
      </w:r>
      <w:r>
        <w:rPr>
          <w:rFonts w:hint="eastAsia"/>
        </w:rPr>
        <w:t>有以下几类：</w:t>
      </w:r>
    </w:p>
    <w:p>
      <w:pPr>
        <w:ind w:firstLine="482"/>
      </w:pPr>
      <w:r>
        <w:rPr>
          <w:rFonts w:hint="eastAsia"/>
          <w:b/>
          <w:bCs/>
        </w:rPr>
        <w:t>（1）羊粪</w:t>
      </w:r>
    </w:p>
    <w:p>
      <w:pPr>
        <w:ind w:firstLine="480"/>
      </w:pPr>
      <w:r>
        <w:rPr>
          <w:rFonts w:hint="eastAsia"/>
        </w:rPr>
        <w:t>肉羊在待宰圈待宰过程中会产生一定量的羊粪，羊粪的产生量参照《第一次全国污染源普查畜禽养殖业源系数手册》中的产物系数进行核算，该手册中西北地区65kg的生猪每天的粪便产生量为1.56kg/头·d，同时结合《畜禽养殖业污染物排放标准》（GB18596-2001），每3只羊换算成1头猪，则每只羊每天粪便产生量为0.52kg/只·d，本项目年屠宰肉羊60万只，则羊粪产生量为0.85t/d（312t/a）。羊粪全部日产日清，集中收集后拉运至厂区现有的有机肥生产车间作为原料使用。</w:t>
      </w:r>
    </w:p>
    <w:p>
      <w:pPr>
        <w:ind w:firstLine="482"/>
        <w:rPr>
          <w:b/>
          <w:bCs/>
        </w:rPr>
      </w:pPr>
      <w:r>
        <w:rPr>
          <w:rFonts w:hint="eastAsia"/>
          <w:b/>
          <w:bCs/>
        </w:rPr>
        <w:t>（2）屠宰固废</w:t>
      </w:r>
    </w:p>
    <w:p>
      <w:pPr>
        <w:ind w:firstLine="480"/>
      </w:pPr>
      <w:r>
        <w:rPr>
          <w:rFonts w:hint="eastAsia"/>
        </w:rPr>
        <w:t>屠宰过程中产生的固废主要包括羊头蹄烫漂过程中产生的羊毛、羊蹄匣等；白内脏处理过程产生的白内脏内容物。屠宰固废产生量按照《排放源统计调查产排污核算方法和系数手册》中的“135屠宰及肉类加工行业系数手册”中的系数进行核算，取“4.96千克/只”，本项目年屠宰肉羊60万只，则屠宰固废产生量为8.15t/d（2976t/a）。屠宰固废全部集中收集后拉运至厂区现有的有机肥生产车间作为原料使用。</w:t>
      </w:r>
    </w:p>
    <w:p>
      <w:pPr>
        <w:ind w:firstLine="482"/>
        <w:rPr>
          <w:b/>
          <w:bCs/>
        </w:rPr>
      </w:pPr>
      <w:r>
        <w:rPr>
          <w:rFonts w:hint="eastAsia"/>
          <w:b/>
          <w:bCs/>
        </w:rPr>
        <w:t>（3）酱卤及蒸煮固废</w:t>
      </w:r>
    </w:p>
    <w:p>
      <w:pPr>
        <w:ind w:firstLine="480"/>
      </w:pPr>
      <w:r>
        <w:t>酱卤及蒸煮固废是指在牛羊预制品和羊杂预制品生产过程中牛羊肉焯水过程中产生的血沫、浮油等；羊杂蒸煮过程中产生的血沫、浮油等以及在卤制</w:t>
      </w:r>
      <w:r>
        <w:rPr>
          <w:rFonts w:hint="eastAsia"/>
        </w:rPr>
        <w:t>、</w:t>
      </w:r>
      <w:r>
        <w:t>蒸煮过程中产生的废卤料</w:t>
      </w:r>
      <w:r>
        <w:rPr>
          <w:rFonts w:hint="eastAsia"/>
        </w:rPr>
        <w:t>、废调料</w:t>
      </w:r>
      <w:r>
        <w:t>。酱卤及蒸煮固废产生量按照《排放源统计调查产排污核算方法和系数手册》中的“135屠宰及肉类加工行业系数手册”中的系数进行核算，该系数手册中酱卤制品生产过程中固废产生量为26.1千克/吨-产品，本项目牛肉预制品中酱卤</w:t>
      </w:r>
      <w:r>
        <w:rPr>
          <w:rFonts w:hint="eastAsia"/>
        </w:rPr>
        <w:t>类</w:t>
      </w:r>
      <w:r>
        <w:t>及蒸煮</w:t>
      </w:r>
      <w:r>
        <w:rPr>
          <w:rFonts w:hint="eastAsia"/>
        </w:rPr>
        <w:t>类</w:t>
      </w:r>
      <w:r>
        <w:t>预制菜年产量为4900t/a，羊肉预制品中蒸煮</w:t>
      </w:r>
      <w:r>
        <w:rPr>
          <w:rFonts w:hint="eastAsia"/>
        </w:rPr>
        <w:t>类</w:t>
      </w:r>
      <w:r>
        <w:t>预制菜年产量为1500t/a</w:t>
      </w:r>
      <w:r>
        <w:rPr>
          <w:rFonts w:hint="eastAsia"/>
        </w:rPr>
        <w:t>，羊杂预制品（主要以</w:t>
      </w:r>
      <w:r>
        <w:t>蒸煮</w:t>
      </w:r>
      <w:r>
        <w:rPr>
          <w:rFonts w:hint="eastAsia"/>
        </w:rPr>
        <w:t>类为主）</w:t>
      </w:r>
      <w:r>
        <w:t>年产量为</w:t>
      </w:r>
      <w:r>
        <w:rPr>
          <w:rFonts w:hint="eastAsia"/>
        </w:rPr>
        <w:t>2000</w:t>
      </w:r>
      <w:r>
        <w:t>t/a</w:t>
      </w:r>
      <w:r>
        <w:rPr>
          <w:rFonts w:hint="eastAsia"/>
        </w:rPr>
        <w:t>，则酱卤及蒸煮固废产生的量为219.24</w:t>
      </w:r>
      <w:r>
        <w:t>t/a</w:t>
      </w:r>
      <w:r>
        <w:rPr>
          <w:rFonts w:hint="eastAsia"/>
        </w:rPr>
        <w:t>。酱卤及蒸煮固废全部集中收集后拉运至厂区现有的有机肥生产车间作为原料使用。</w:t>
      </w:r>
    </w:p>
    <w:p>
      <w:pPr>
        <w:ind w:firstLine="482"/>
        <w:rPr>
          <w:b/>
          <w:bCs/>
        </w:rPr>
      </w:pPr>
      <w:r>
        <w:rPr>
          <w:rFonts w:hint="eastAsia"/>
          <w:b/>
          <w:bCs/>
        </w:rPr>
        <w:t>（4）择菜固废</w:t>
      </w:r>
    </w:p>
    <w:p>
      <w:pPr>
        <w:ind w:firstLine="480"/>
      </w:pPr>
      <w:r>
        <w:rPr>
          <w:rFonts w:hint="eastAsia"/>
        </w:rPr>
        <w:t>择菜固废主要是指牛羊预制品生产线使用的蔬菜在择菜过程中产生的不能使用的根、茎、叶等固废。根据《我国蔬菜废弃物产生现状与主要处理技术模式》（邹国元，北京市农林科学院植物营养与资源所）中的研究资料，在厨房加工中各类蔬菜的平均废弃率为9.8%，本项目共使用各类蔬菜2500t/a，则择菜固废产生量为245t/a。择菜固废全部集中收集后拉运至厂区现有的有机肥生产车间作为原料使用。</w:t>
      </w:r>
    </w:p>
    <w:p>
      <w:pPr>
        <w:ind w:firstLine="482"/>
        <w:rPr>
          <w:b/>
          <w:bCs/>
        </w:rPr>
      </w:pPr>
      <w:r>
        <w:rPr>
          <w:rFonts w:hint="eastAsia"/>
          <w:b/>
          <w:bCs/>
        </w:rPr>
        <w:t>（5）废包装</w:t>
      </w:r>
    </w:p>
    <w:p>
      <w:pPr>
        <w:ind w:firstLine="480"/>
      </w:pPr>
      <w:r>
        <w:rPr>
          <w:rFonts w:hint="eastAsia"/>
        </w:rPr>
        <w:t>废包装主要来自于牛羊预制品生产线，主要是指在调料、卤料、食用油使用过程中产生的包装固废以及在冷冻牛羊肉拆包过程中产生的废包装。废包装材料主要以废塑料为主，根据建设单位提供的资料，冷冻牛羊肉外包装约占牛羊肉使用量的0.1%，调料、卤料外包装大约为调料、卤料用量的1%，食用油容器约占食用油总量的1%，本项目牛羊预制品生产线年使用冷冻牛羊肉10600t/a，年使用调料、卤料量为95t/a，年使用食用油102t，则废包装产生量为12.57t/a。废包装集中收集后外售废旧回收单位统一处置。</w:t>
      </w:r>
    </w:p>
    <w:p>
      <w:pPr>
        <w:ind w:firstLine="482"/>
        <w:rPr>
          <w:b/>
          <w:bCs/>
        </w:rPr>
      </w:pPr>
      <w:r>
        <w:rPr>
          <w:rFonts w:hint="eastAsia"/>
          <w:b/>
          <w:bCs/>
        </w:rPr>
        <w:t>（6）生活垃圾</w:t>
      </w:r>
    </w:p>
    <w:p>
      <w:pPr>
        <w:ind w:firstLine="480"/>
      </w:pPr>
      <w:r>
        <w:t>本项目</w:t>
      </w:r>
      <w:r>
        <w:rPr>
          <w:rFonts w:hint="eastAsia"/>
        </w:rPr>
        <w:t>新增劳动职工1</w:t>
      </w:r>
      <w:r>
        <w:t>00人，按每人每天产生垃圾0.5kg，全天共产生垃圾</w:t>
      </w:r>
      <w:r>
        <w:rPr>
          <w:rFonts w:hint="eastAsia"/>
        </w:rPr>
        <w:t>50</w:t>
      </w:r>
      <w:r>
        <w:t>kg/d，以3</w:t>
      </w:r>
      <w:r>
        <w:rPr>
          <w:rFonts w:hint="eastAsia"/>
        </w:rPr>
        <w:t>65</w:t>
      </w:r>
      <w:r>
        <w:t>天计算，生活垃圾产生量为</w:t>
      </w:r>
      <w:r>
        <w:rPr>
          <w:rFonts w:hint="eastAsia"/>
        </w:rPr>
        <w:t>18.25</w:t>
      </w:r>
      <w:r>
        <w:t>t/a。生活垃圾集中收集后</w:t>
      </w:r>
      <w:r>
        <w:rPr>
          <w:rFonts w:hint="eastAsia"/>
        </w:rPr>
        <w:t>交由园区</w:t>
      </w:r>
      <w:r>
        <w:t>环卫部门统一处理。</w:t>
      </w:r>
    </w:p>
    <w:p>
      <w:pPr>
        <w:ind w:firstLine="482"/>
        <w:rPr>
          <w:b/>
          <w:bCs/>
        </w:rPr>
      </w:pPr>
      <w:r>
        <w:rPr>
          <w:rFonts w:hint="eastAsia"/>
          <w:b/>
          <w:bCs/>
        </w:rPr>
        <w:t>（7）病死羊</w:t>
      </w:r>
    </w:p>
    <w:p>
      <w:pPr>
        <w:ind w:firstLine="480"/>
      </w:pPr>
      <w:r>
        <w:rPr>
          <w:rFonts w:hint="eastAsia"/>
        </w:rPr>
        <w:t>病死羊主要是指肉羊在待宰过程中发生病患导致死亡的肉羊，本项目肉羊精深加工生产线使用的肉羊全部来自建设单位自建的畜禽较交易市场，根据建设单位提供的资料，畜禽交易市场内出现病死畜禽的比例约为0.01%。则本项目运营期病死羊的数量也按照0.01%计算，本项目年屠宰肉羊60万只，则病死羊的产生量为60只，每只羊按60kg计算，则病死羊产生量为3.6t/a。查阅《国家危险废物名录（2021年版）》可知，该名录并未将病死羊列入危废中，同时</w:t>
      </w:r>
      <w:r>
        <w:t>根据我国《畜禽养殖业污染治理工程技术规范》（HJ497-2009）的规定</w:t>
      </w:r>
      <w:r>
        <w:rPr>
          <w:rFonts w:hint="eastAsia"/>
        </w:rPr>
        <w:t>要求</w:t>
      </w:r>
      <w:r>
        <w:t>，</w:t>
      </w:r>
      <w:r>
        <w:rPr>
          <w:rFonts w:hint="eastAsia"/>
        </w:rPr>
        <w:t>本项目运营期产生的</w:t>
      </w:r>
      <w:r>
        <w:t>病死</w:t>
      </w:r>
      <w:r>
        <w:rPr>
          <w:rFonts w:hint="eastAsia"/>
        </w:rPr>
        <w:t>羊需全部委托张掖市宏金雁再生能源科技发展有限责任公司进行无害化处理，</w:t>
      </w:r>
      <w:r>
        <w:t>严禁随意丢弃，严禁出售或作为饲料再利用。</w:t>
      </w:r>
    </w:p>
    <w:p>
      <w:pPr>
        <w:ind w:firstLine="482"/>
        <w:rPr>
          <w:b/>
          <w:bCs/>
        </w:rPr>
      </w:pPr>
      <w:r>
        <w:rPr>
          <w:rFonts w:hint="eastAsia"/>
          <w:b/>
          <w:bCs/>
        </w:rPr>
        <w:t>（8）废活性炭</w:t>
      </w:r>
    </w:p>
    <w:p>
      <w:pPr>
        <w:ind w:firstLine="480"/>
      </w:pPr>
      <w:r>
        <w:rPr>
          <w:rFonts w:hint="eastAsia"/>
        </w:rPr>
        <w:t>本项目废活性炭主要是指在屠宰车间恶臭气体治理过程中产生的固废，</w:t>
      </w:r>
      <w:r>
        <w:rPr>
          <w:rFonts w:hint="eastAsia"/>
          <w:lang w:val="en-US" w:eastAsia="zh-CN"/>
        </w:rPr>
        <w:t>根据建设单位提供的资料，活性炭装填量为0.25t/次，活性炭每月更换一次，则废活性炭生产量为3.0t/a。</w:t>
      </w:r>
      <w:r>
        <w:rPr>
          <w:rFonts w:hint="eastAsia"/>
        </w:rPr>
        <w:t>废活性炭属于危险废物，建设单位需集中收集在已有的危废暂存间暂存后交由有资质的单位处置。</w:t>
      </w:r>
    </w:p>
    <w:p>
      <w:pPr>
        <w:ind w:firstLine="480"/>
        <w:rPr>
          <w:rFonts w:hint="eastAsia" w:eastAsia="宋体"/>
          <w:lang w:eastAsia="zh-CN"/>
        </w:rPr>
      </w:pPr>
      <w:r>
        <w:rPr>
          <w:rFonts w:hint="eastAsia"/>
        </w:rPr>
        <w:t>运营期固废产生情况详见下表</w:t>
      </w:r>
      <w:r>
        <w:rPr>
          <w:rFonts w:hint="eastAsia"/>
          <w:lang w:eastAsia="zh-CN"/>
        </w:rPr>
        <w:t>。</w:t>
      </w:r>
    </w:p>
    <w:p>
      <w:pPr>
        <w:spacing w:line="240" w:lineRule="auto"/>
        <w:ind w:firstLine="482"/>
        <w:jc w:val="center"/>
        <w:rPr>
          <w:b/>
          <w:bCs/>
        </w:rPr>
      </w:pPr>
    </w:p>
    <w:p>
      <w:pPr>
        <w:bidi w:val="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bidi w:val="0"/>
        <w:spacing w:line="240" w:lineRule="auto"/>
        <w:jc w:val="center"/>
        <w:rPr>
          <w:rFonts w:hint="eastAsia" w:ascii="Times New Roman" w:hAnsi="Times New Roman" w:eastAsia="宋体" w:cs="Times New Roman"/>
          <w:b/>
          <w:bCs/>
          <w:color w:val="auto"/>
          <w:szCs w:val="24"/>
          <w:lang w:eastAsia="zh-CN"/>
        </w:rPr>
      </w:pPr>
      <w:r>
        <w:rPr>
          <w:rFonts w:hint="default" w:ascii="Times New Roman" w:hAnsi="Times New Roman" w:cs="Times New Roman"/>
          <w:b/>
          <w:bCs/>
          <w:color w:val="auto"/>
          <w:szCs w:val="24"/>
        </w:rPr>
        <w:t>表</w:t>
      </w:r>
      <w:r>
        <w:rPr>
          <w:rFonts w:hint="eastAsia" w:cs="Times New Roman"/>
          <w:b/>
          <w:bCs/>
          <w:color w:val="auto"/>
          <w:szCs w:val="24"/>
          <w:lang w:val="en-US" w:eastAsia="zh-CN"/>
        </w:rPr>
        <w:t xml:space="preserve">3.24 </w:t>
      </w:r>
      <w:r>
        <w:rPr>
          <w:rFonts w:hint="default" w:ascii="Times New Roman" w:hAnsi="Times New Roman" w:cs="Times New Roman"/>
          <w:b/>
          <w:bCs/>
          <w:color w:val="auto"/>
          <w:szCs w:val="24"/>
        </w:rPr>
        <w:t xml:space="preserve"> </w:t>
      </w:r>
      <w:r>
        <w:rPr>
          <w:rFonts w:hint="eastAsia" w:cs="Times New Roman"/>
          <w:b/>
          <w:bCs/>
          <w:color w:val="auto"/>
          <w:szCs w:val="24"/>
          <w:lang w:val="en-US" w:eastAsia="zh-CN"/>
        </w:rPr>
        <w:t xml:space="preserve"> </w:t>
      </w:r>
      <w:r>
        <w:rPr>
          <w:rFonts w:hint="default" w:ascii="Times New Roman" w:hAnsi="Times New Roman" w:cs="Times New Roman"/>
          <w:b/>
          <w:bCs/>
          <w:color w:val="auto"/>
          <w:szCs w:val="24"/>
        </w:rPr>
        <w:t xml:space="preserve"> </w:t>
      </w:r>
      <w:r>
        <w:rPr>
          <w:rFonts w:hint="eastAsia" w:ascii="Times New Roman" w:hAnsi="Times New Roman" w:cs="Times New Roman"/>
          <w:b/>
          <w:bCs/>
          <w:color w:val="auto"/>
          <w:lang w:val="en-US" w:eastAsia="zh-CN"/>
        </w:rPr>
        <w:t>拟建项目</w:t>
      </w:r>
      <w:r>
        <w:rPr>
          <w:rFonts w:hint="default" w:ascii="Times New Roman" w:hAnsi="Times New Roman" w:cs="Times New Roman"/>
          <w:b/>
          <w:bCs/>
          <w:color w:val="auto"/>
        </w:rPr>
        <w:t>固体废物源强汇总一览表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882"/>
        <w:gridCol w:w="2032"/>
        <w:gridCol w:w="1180"/>
        <w:gridCol w:w="1445"/>
        <w:gridCol w:w="1612"/>
        <w:gridCol w:w="1108"/>
        <w:gridCol w:w="2732"/>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9"/>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b/>
                <w:bCs/>
                <w:color w:val="auto"/>
                <w:sz w:val="21"/>
                <w:szCs w:val="21"/>
                <w:lang w:val="en-US" w:eastAsia="zh-CN"/>
              </w:rPr>
              <w:t>一、一般固废（根据《一般固体废物分类及代码</w:t>
            </w:r>
            <w:r>
              <w:rPr>
                <w:rFonts w:hint="eastAsia" w:cs="Times New Roman"/>
                <w:b/>
                <w:bCs/>
                <w:color w:val="auto"/>
                <w:sz w:val="21"/>
                <w:szCs w:val="21"/>
                <w:lang w:val="en-US" w:eastAsia="zh-CN"/>
              </w:rPr>
              <w:t>（</w:t>
            </w:r>
            <w:r>
              <w:rPr>
                <w:rFonts w:hint="eastAsia" w:ascii="Times New Roman" w:hAnsi="Times New Roman" w:cs="Times New Roman"/>
                <w:b/>
                <w:bCs/>
                <w:color w:val="auto"/>
                <w:sz w:val="21"/>
                <w:szCs w:val="21"/>
                <w:lang w:val="en-US" w:eastAsia="zh-CN"/>
              </w:rPr>
              <w:t>GB/T39198—2020）》分类）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序号</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工序</w:t>
            </w:r>
          </w:p>
        </w:tc>
        <w:tc>
          <w:tcPr>
            <w:tcW w:w="68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固体废物名称</w:t>
            </w:r>
          </w:p>
        </w:tc>
        <w:tc>
          <w:tcPr>
            <w:tcW w:w="396"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固废属性</w:t>
            </w:r>
          </w:p>
        </w:tc>
        <w:tc>
          <w:tcPr>
            <w:tcW w:w="485"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类别</w:t>
            </w:r>
          </w:p>
        </w:tc>
        <w:tc>
          <w:tcPr>
            <w:tcW w:w="541"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一般固废代码</w:t>
            </w:r>
          </w:p>
        </w:tc>
        <w:tc>
          <w:tcPr>
            <w:tcW w:w="37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产生量</w:t>
            </w:r>
          </w:p>
        </w:tc>
        <w:tc>
          <w:tcPr>
            <w:tcW w:w="917"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处置措施</w:t>
            </w: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处置</w:t>
            </w:r>
            <w:r>
              <w:rPr>
                <w:rFonts w:hint="eastAsia" w:ascii="Times New Roman" w:hAnsi="Times New Roman" w:cs="Times New Roman"/>
                <w:b/>
                <w:bCs/>
                <w:color w:val="auto"/>
                <w:sz w:val="21"/>
                <w:szCs w:val="21"/>
                <w:lang w:val="en-US" w:eastAsia="zh-CN"/>
              </w:rPr>
              <w:t>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968"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待宰过程</w:t>
            </w:r>
          </w:p>
        </w:tc>
        <w:tc>
          <w:tcPr>
            <w:tcW w:w="68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羊粪</w:t>
            </w:r>
          </w:p>
        </w:tc>
        <w:tc>
          <w:tcPr>
            <w:tcW w:w="396"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畜禽粪肥</w:t>
            </w:r>
          </w:p>
        </w:tc>
        <w:tc>
          <w:tcPr>
            <w:tcW w:w="541" w:type="pct"/>
            <w:tcBorders>
              <w:tl2br w:val="nil"/>
              <w:tr2bl w:val="nil"/>
            </w:tcBorders>
            <w:shd w:val="clear" w:color="auto" w:fill="auto"/>
            <w:vAlign w:val="center"/>
          </w:tcPr>
          <w:p>
            <w:pPr>
              <w:pStyle w:val="103"/>
              <w:spacing w:line="240" w:lineRule="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33</w:t>
            </w:r>
          </w:p>
        </w:tc>
        <w:tc>
          <w:tcPr>
            <w:tcW w:w="372" w:type="pct"/>
            <w:tcBorders>
              <w:tl2br w:val="nil"/>
              <w:tr2bl w:val="nil"/>
            </w:tcBorders>
            <w:shd w:val="clear" w:color="auto" w:fill="auto"/>
            <w:vAlign w:val="center"/>
          </w:tcPr>
          <w:p>
            <w:pPr>
              <w:pStyle w:val="103"/>
              <w:spacing w:line="240" w:lineRule="auto"/>
              <w:rPr>
                <w:rFonts w:hint="eastAsia" w:ascii="Times New Roman" w:hAnsi="Times New Roman" w:eastAsia="宋体" w:cs="Times New Roman"/>
                <w:color w:val="auto"/>
                <w:sz w:val="21"/>
                <w:szCs w:val="21"/>
                <w:lang w:val="en-US" w:eastAsia="zh-CN"/>
              </w:rPr>
            </w:pPr>
            <w:r>
              <w:rPr>
                <w:sz w:val="21"/>
                <w:szCs w:val="21"/>
              </w:rPr>
              <w:t>312</w:t>
            </w:r>
            <w:r>
              <w:rPr>
                <w:rFonts w:hint="default" w:ascii="Times New Roman" w:hAnsi="Times New Roman" w:cs="Times New Roman"/>
                <w:color w:val="auto"/>
                <w:sz w:val="21"/>
                <w:szCs w:val="21"/>
              </w:rPr>
              <w:t>t/a</w:t>
            </w:r>
          </w:p>
        </w:tc>
        <w:tc>
          <w:tcPr>
            <w:tcW w:w="917" w:type="pct"/>
            <w:vMerge w:val="restar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sz w:val="21"/>
                <w:szCs w:val="21"/>
              </w:rPr>
              <w:t>全部集中收集后拉运至厂区现有的有机肥生产车间作为原料使用</w:t>
            </w: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sz w:val="21"/>
                <w:szCs w:val="21"/>
              </w:rPr>
              <w:t>312</w:t>
            </w:r>
            <w:r>
              <w:rPr>
                <w:rFonts w:hint="default" w:ascii="Times New Roman" w:hAnsi="Times New Roman" w:cs="Times New Roman"/>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2</w:t>
            </w:r>
          </w:p>
        </w:tc>
        <w:tc>
          <w:tcPr>
            <w:tcW w:w="968"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屠宰过程</w:t>
            </w:r>
          </w:p>
        </w:tc>
        <w:tc>
          <w:tcPr>
            <w:tcW w:w="68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屠宰固废</w:t>
            </w:r>
          </w:p>
        </w:tc>
        <w:tc>
          <w:tcPr>
            <w:tcW w:w="396" w:type="pct"/>
            <w:tcBorders>
              <w:tl2br w:val="nil"/>
              <w:tr2bl w:val="nil"/>
            </w:tcBorders>
            <w:shd w:val="clear" w:color="auto" w:fill="auto"/>
            <w:vAlign w:val="center"/>
          </w:tcPr>
          <w:p>
            <w:pPr>
              <w:pStyle w:val="103"/>
              <w:spacing w:line="240" w:lineRule="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其他废物</w:t>
            </w:r>
          </w:p>
        </w:tc>
        <w:tc>
          <w:tcPr>
            <w:tcW w:w="541"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99</w:t>
            </w:r>
          </w:p>
        </w:tc>
        <w:tc>
          <w:tcPr>
            <w:tcW w:w="372" w:type="pct"/>
            <w:tcBorders>
              <w:tl2br w:val="nil"/>
              <w:tr2bl w:val="nil"/>
            </w:tcBorders>
            <w:shd w:val="clear" w:color="auto" w:fill="auto"/>
            <w:vAlign w:val="center"/>
          </w:tcPr>
          <w:p>
            <w:pPr>
              <w:pStyle w:val="103"/>
              <w:spacing w:line="240" w:lineRule="auto"/>
              <w:rPr>
                <w:rFonts w:hint="default" w:ascii="Times New Roman" w:hAnsi="Times New Roman" w:eastAsia="宋体" w:cs="Times New Roman"/>
                <w:color w:val="auto"/>
                <w:sz w:val="21"/>
                <w:szCs w:val="21"/>
                <w:lang w:eastAsia="zh-CN"/>
              </w:rPr>
            </w:pPr>
            <w:r>
              <w:rPr>
                <w:sz w:val="21"/>
                <w:szCs w:val="21"/>
              </w:rPr>
              <w:t>2976</w:t>
            </w:r>
            <w:r>
              <w:rPr>
                <w:rFonts w:hint="default" w:ascii="Times New Roman" w:hAnsi="Times New Roman" w:cs="Times New Roman"/>
                <w:color w:val="auto"/>
                <w:sz w:val="21"/>
                <w:szCs w:val="21"/>
              </w:rPr>
              <w:t>t/a</w:t>
            </w:r>
          </w:p>
        </w:tc>
        <w:tc>
          <w:tcPr>
            <w:tcW w:w="917" w:type="pct"/>
            <w:vMerge w:val="continue"/>
            <w:tcBorders>
              <w:tl2br w:val="nil"/>
              <w:tr2bl w:val="nil"/>
            </w:tcBorders>
            <w:shd w:val="clear" w:color="auto" w:fill="auto"/>
            <w:vAlign w:val="center"/>
          </w:tcPr>
          <w:p>
            <w:pPr>
              <w:pStyle w:val="103"/>
              <w:spacing w:line="240" w:lineRule="auto"/>
              <w:rPr>
                <w:rFonts w:hint="default" w:ascii="Times New Roman" w:hAnsi="Times New Roman" w:cs="Times New Roman"/>
                <w:color w:val="auto"/>
                <w:sz w:val="21"/>
                <w:szCs w:val="21"/>
              </w:rPr>
            </w:pP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eastAsia="zh-CN"/>
              </w:rPr>
            </w:pPr>
            <w:r>
              <w:rPr>
                <w:sz w:val="21"/>
                <w:szCs w:val="21"/>
              </w:rPr>
              <w:t>2976</w:t>
            </w:r>
            <w:r>
              <w:rPr>
                <w:rFonts w:hint="default" w:ascii="Times New Roman" w:hAnsi="Times New Roman" w:cs="Times New Roman"/>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sz w:val="21"/>
                <w:szCs w:val="21"/>
              </w:rPr>
              <w:t>焯水</w:t>
            </w:r>
            <w:r>
              <w:rPr>
                <w:rFonts w:hint="eastAsia"/>
                <w:sz w:val="21"/>
                <w:szCs w:val="21"/>
                <w:lang w:eastAsia="zh-CN"/>
              </w:rPr>
              <w:t>、</w:t>
            </w:r>
            <w:r>
              <w:rPr>
                <w:rFonts w:hint="eastAsia"/>
                <w:sz w:val="21"/>
                <w:szCs w:val="21"/>
                <w:lang w:val="en-US" w:eastAsia="zh-CN"/>
              </w:rPr>
              <w:t>蒸煮</w:t>
            </w:r>
            <w:r>
              <w:rPr>
                <w:sz w:val="21"/>
                <w:szCs w:val="21"/>
              </w:rPr>
              <w:t>过程中产生的血沫、浮油等；卤制</w:t>
            </w:r>
            <w:r>
              <w:rPr>
                <w:rFonts w:hint="eastAsia"/>
                <w:sz w:val="21"/>
                <w:szCs w:val="21"/>
              </w:rPr>
              <w:t>、</w:t>
            </w:r>
            <w:r>
              <w:rPr>
                <w:sz w:val="21"/>
                <w:szCs w:val="21"/>
              </w:rPr>
              <w:t>蒸煮过程中产生的废卤料</w:t>
            </w:r>
            <w:r>
              <w:rPr>
                <w:rFonts w:hint="eastAsia"/>
                <w:sz w:val="21"/>
                <w:szCs w:val="21"/>
              </w:rPr>
              <w:t>、废调料</w:t>
            </w:r>
          </w:p>
        </w:tc>
        <w:tc>
          <w:tcPr>
            <w:tcW w:w="68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酱卤及蒸煮固废</w:t>
            </w:r>
          </w:p>
        </w:tc>
        <w:tc>
          <w:tcPr>
            <w:tcW w:w="396"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其他废物</w:t>
            </w:r>
          </w:p>
        </w:tc>
        <w:tc>
          <w:tcPr>
            <w:tcW w:w="541"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99</w:t>
            </w:r>
          </w:p>
        </w:tc>
        <w:tc>
          <w:tcPr>
            <w:tcW w:w="37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sz w:val="21"/>
                <w:szCs w:val="21"/>
              </w:rPr>
              <w:t>219.24</w:t>
            </w:r>
            <w:r>
              <w:rPr>
                <w:rFonts w:hint="default" w:ascii="Times New Roman" w:hAnsi="Times New Roman" w:cs="Times New Roman"/>
                <w:color w:val="auto"/>
                <w:sz w:val="21"/>
                <w:szCs w:val="21"/>
              </w:rPr>
              <w:t>t/a</w:t>
            </w:r>
          </w:p>
        </w:tc>
        <w:tc>
          <w:tcPr>
            <w:tcW w:w="917" w:type="pct"/>
            <w:vMerge w:val="continue"/>
            <w:tcBorders>
              <w:tl2br w:val="nil"/>
              <w:tr2bl w:val="nil"/>
            </w:tcBorders>
            <w:shd w:val="clear" w:color="auto" w:fill="auto"/>
            <w:vAlign w:val="center"/>
          </w:tcPr>
          <w:p>
            <w:pPr>
              <w:pStyle w:val="103"/>
              <w:spacing w:line="240" w:lineRule="auto"/>
              <w:ind w:firstLine="0" w:firstLineChars="0"/>
              <w:rPr>
                <w:rFonts w:hint="default" w:ascii="Times New Roman" w:hAnsi="Times New Roman" w:cs="Times New Roman"/>
                <w:color w:val="auto"/>
                <w:sz w:val="21"/>
                <w:szCs w:val="21"/>
              </w:rPr>
            </w:pP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sz w:val="21"/>
                <w:szCs w:val="21"/>
              </w:rPr>
              <w:t>219.24</w:t>
            </w:r>
            <w:r>
              <w:rPr>
                <w:rFonts w:hint="default" w:ascii="Times New Roman" w:hAnsi="Times New Roman" w:cs="Times New Roman"/>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cs="Times New Roman"/>
                <w:color w:val="auto"/>
                <w:sz w:val="21"/>
                <w:szCs w:val="21"/>
              </w:rPr>
            </w:pPr>
            <w:r>
              <w:rPr>
                <w:sz w:val="21"/>
                <w:szCs w:val="21"/>
              </w:rPr>
              <w:t>择菜</w:t>
            </w:r>
            <w:r>
              <w:rPr>
                <w:rFonts w:hint="eastAsia"/>
                <w:sz w:val="21"/>
                <w:szCs w:val="21"/>
                <w:lang w:val="en-US" w:eastAsia="zh-CN"/>
              </w:rPr>
              <w:t>过程</w:t>
            </w:r>
          </w:p>
        </w:tc>
        <w:tc>
          <w:tcPr>
            <w:tcW w:w="682" w:type="pct"/>
            <w:tcBorders>
              <w:tl2br w:val="nil"/>
              <w:tr2bl w:val="nil"/>
            </w:tcBorders>
            <w:shd w:val="clear" w:color="auto" w:fill="auto"/>
            <w:vAlign w:val="center"/>
          </w:tcPr>
          <w:p>
            <w:pPr>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择菜固废</w:t>
            </w:r>
          </w:p>
        </w:tc>
        <w:tc>
          <w:tcPr>
            <w:tcW w:w="396"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植物残渣</w:t>
            </w:r>
          </w:p>
        </w:tc>
        <w:tc>
          <w:tcPr>
            <w:tcW w:w="541"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31</w:t>
            </w:r>
          </w:p>
        </w:tc>
        <w:tc>
          <w:tcPr>
            <w:tcW w:w="37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lang w:val="en-US" w:eastAsia="zh-CN"/>
              </w:rPr>
            </w:pPr>
            <w:r>
              <w:rPr>
                <w:rFonts w:ascii="Times New Roman" w:hAnsi="Times New Roman" w:eastAsia="宋体" w:cs="Times New Roman"/>
                <w:sz w:val="21"/>
                <w:szCs w:val="21"/>
              </w:rPr>
              <w:t>245</w:t>
            </w:r>
            <w:r>
              <w:rPr>
                <w:rFonts w:hint="default" w:ascii="Times New Roman" w:hAnsi="Times New Roman" w:eastAsia="宋体" w:cs="Times New Roman"/>
                <w:sz w:val="21"/>
                <w:szCs w:val="21"/>
              </w:rPr>
              <w:t>t/a</w:t>
            </w:r>
          </w:p>
        </w:tc>
        <w:tc>
          <w:tcPr>
            <w:tcW w:w="917" w:type="pct"/>
            <w:vMerge w:val="continue"/>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rPr>
            </w:pP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lang w:val="en-US" w:eastAsia="zh-CN"/>
              </w:rPr>
            </w:pPr>
            <w:r>
              <w:rPr>
                <w:rFonts w:ascii="Times New Roman" w:hAnsi="Times New Roman" w:eastAsia="宋体" w:cs="Times New Roman"/>
                <w:sz w:val="21"/>
                <w:szCs w:val="21"/>
              </w:rPr>
              <w:t>245</w:t>
            </w:r>
            <w:r>
              <w:rPr>
                <w:rFonts w:hint="default" w:ascii="Times New Roman" w:hAnsi="Times New Roman" w:eastAsia="宋体" w:cs="Times New Roman"/>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调料、卤料、食用油</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冷冻牛羊肉拆包过程</w:t>
            </w:r>
          </w:p>
        </w:tc>
        <w:tc>
          <w:tcPr>
            <w:tcW w:w="682" w:type="pct"/>
            <w:tcBorders>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废包装</w:t>
            </w:r>
            <w:r>
              <w:rPr>
                <w:rFonts w:hint="eastAsia"/>
                <w:sz w:val="21"/>
                <w:szCs w:val="21"/>
                <w:lang w:eastAsia="zh-CN"/>
              </w:rPr>
              <w:t>（</w:t>
            </w:r>
            <w:r>
              <w:rPr>
                <w:rFonts w:hint="eastAsia"/>
                <w:sz w:val="21"/>
                <w:szCs w:val="21"/>
                <w:lang w:val="en-US" w:eastAsia="zh-CN"/>
              </w:rPr>
              <w:t>主要以废塑料、废纸壳为主</w:t>
            </w:r>
            <w:r>
              <w:rPr>
                <w:rFonts w:hint="eastAsia"/>
                <w:sz w:val="21"/>
                <w:szCs w:val="21"/>
                <w:lang w:eastAsia="zh-CN"/>
              </w:rPr>
              <w:t>）</w:t>
            </w:r>
          </w:p>
        </w:tc>
        <w:tc>
          <w:tcPr>
            <w:tcW w:w="396"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废复合包装</w:t>
            </w:r>
          </w:p>
        </w:tc>
        <w:tc>
          <w:tcPr>
            <w:tcW w:w="541"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07</w:t>
            </w:r>
          </w:p>
        </w:tc>
        <w:tc>
          <w:tcPr>
            <w:tcW w:w="37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12.57</w:t>
            </w:r>
            <w:r>
              <w:rPr>
                <w:rFonts w:hint="default" w:ascii="Times New Roman" w:hAnsi="Times New Roman" w:eastAsia="宋体" w:cs="Times New Roman"/>
                <w:sz w:val="21"/>
                <w:szCs w:val="21"/>
              </w:rPr>
              <w:t>t/a</w:t>
            </w:r>
          </w:p>
        </w:tc>
        <w:tc>
          <w:tcPr>
            <w:tcW w:w="917" w:type="pct"/>
            <w:vMerge w:val="continue"/>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rPr>
            </w:pP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12.57</w:t>
            </w:r>
            <w:r>
              <w:rPr>
                <w:rFonts w:hint="default" w:ascii="Times New Roman" w:hAnsi="Times New Roman" w:eastAsia="宋体" w:cs="Times New Roman"/>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职工生活过程</w:t>
            </w:r>
          </w:p>
        </w:tc>
        <w:tc>
          <w:tcPr>
            <w:tcW w:w="682" w:type="pct"/>
            <w:tcBorders>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生活垃圾</w:t>
            </w:r>
          </w:p>
        </w:tc>
        <w:tc>
          <w:tcPr>
            <w:tcW w:w="396"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废复合包装</w:t>
            </w:r>
          </w:p>
        </w:tc>
        <w:tc>
          <w:tcPr>
            <w:tcW w:w="541"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07</w:t>
            </w:r>
          </w:p>
        </w:tc>
        <w:tc>
          <w:tcPr>
            <w:tcW w:w="37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18.25</w:t>
            </w:r>
            <w:r>
              <w:rPr>
                <w:rFonts w:hint="default" w:ascii="Times New Roman" w:hAnsi="Times New Roman" w:eastAsia="宋体" w:cs="Times New Roman"/>
                <w:sz w:val="21"/>
                <w:szCs w:val="21"/>
              </w:rPr>
              <w:t>t/a</w:t>
            </w:r>
          </w:p>
        </w:tc>
        <w:tc>
          <w:tcPr>
            <w:tcW w:w="917"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集中收集后交由环卫部门统一处置</w:t>
            </w:r>
          </w:p>
        </w:tc>
        <w:tc>
          <w:tcPr>
            <w:tcW w:w="39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18.25</w:t>
            </w:r>
            <w:r>
              <w:rPr>
                <w:rFonts w:hint="default" w:ascii="Times New Roman" w:hAnsi="Times New Roman" w:eastAsia="宋体" w:cs="Times New Roman"/>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968"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待宰过程</w:t>
            </w:r>
          </w:p>
        </w:tc>
        <w:tc>
          <w:tcPr>
            <w:tcW w:w="68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sz w:val="21"/>
                <w:szCs w:val="21"/>
              </w:rPr>
              <w:t>病死羊</w:t>
            </w:r>
          </w:p>
        </w:tc>
        <w:tc>
          <w:tcPr>
            <w:tcW w:w="396"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一般固废</w:t>
            </w:r>
          </w:p>
        </w:tc>
        <w:tc>
          <w:tcPr>
            <w:tcW w:w="485"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其他废物</w:t>
            </w:r>
          </w:p>
        </w:tc>
        <w:tc>
          <w:tcPr>
            <w:tcW w:w="541"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 w:val="21"/>
                <w:szCs w:val="21"/>
                <w:lang w:val="en-US" w:eastAsia="zh-CN"/>
              </w:rPr>
              <w:t>99</w:t>
            </w:r>
          </w:p>
        </w:tc>
        <w:tc>
          <w:tcPr>
            <w:tcW w:w="37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sz w:val="21"/>
                <w:szCs w:val="21"/>
              </w:rPr>
            </w:pPr>
            <w:r>
              <w:rPr>
                <w:sz w:val="21"/>
                <w:szCs w:val="21"/>
              </w:rPr>
              <w:t>3.6</w:t>
            </w:r>
            <w:r>
              <w:rPr>
                <w:rFonts w:hint="default" w:ascii="Times New Roman" w:hAnsi="Times New Roman" w:eastAsia="宋体" w:cs="Times New Roman"/>
                <w:sz w:val="21"/>
                <w:szCs w:val="21"/>
              </w:rPr>
              <w:t>t/a</w:t>
            </w:r>
          </w:p>
        </w:tc>
        <w:tc>
          <w:tcPr>
            <w:tcW w:w="917"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sz w:val="21"/>
                <w:szCs w:val="21"/>
                <w:lang w:val="en-US" w:eastAsia="zh-CN"/>
              </w:rPr>
            </w:pPr>
            <w:r>
              <w:rPr>
                <w:sz w:val="21"/>
                <w:szCs w:val="21"/>
              </w:rPr>
              <w:t>全部委托张掖市宏金雁再生能源科技发展有限责任公司进行无害化处理</w:t>
            </w:r>
          </w:p>
        </w:tc>
        <w:tc>
          <w:tcPr>
            <w:tcW w:w="39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sz w:val="21"/>
                <w:szCs w:val="21"/>
              </w:rPr>
            </w:pPr>
            <w:r>
              <w:rPr>
                <w:sz w:val="21"/>
                <w:szCs w:val="21"/>
              </w:rPr>
              <w:t>3.6</w:t>
            </w:r>
            <w:r>
              <w:rPr>
                <w:rFonts w:hint="default" w:ascii="Times New Roman" w:hAnsi="Times New Roman" w:eastAsia="宋体" w:cs="Times New Roman"/>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9"/>
            <w:tcBorders>
              <w:tl2br w:val="nil"/>
              <w:tr2bl w:val="nil"/>
            </w:tcBorders>
            <w:shd w:val="clear" w:color="auto" w:fill="auto"/>
            <w:vAlign w:val="center"/>
          </w:tcPr>
          <w:p>
            <w:pPr>
              <w:spacing w:line="240" w:lineRule="auto"/>
              <w:ind w:firstLine="0" w:firstLineChars="0"/>
              <w:jc w:val="center"/>
              <w:rPr>
                <w:rFonts w:hint="default" w:eastAsia="宋体"/>
                <w:sz w:val="21"/>
                <w:szCs w:val="21"/>
                <w:lang w:val="en-US" w:eastAsia="zh-CN"/>
              </w:rPr>
            </w:pPr>
            <w:r>
              <w:rPr>
                <w:rFonts w:hint="eastAsia"/>
                <w:b/>
                <w:bCs/>
                <w:sz w:val="21"/>
                <w:szCs w:val="21"/>
                <w:lang w:val="en-US" w:eastAsia="zh-CN"/>
              </w:rPr>
              <w:t>二、危险固废（根据《国家危险废物名录（2021年版）》（部令第15号）分类）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序号</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工序</w:t>
            </w:r>
          </w:p>
        </w:tc>
        <w:tc>
          <w:tcPr>
            <w:tcW w:w="68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固体废物名称</w:t>
            </w:r>
          </w:p>
        </w:tc>
        <w:tc>
          <w:tcPr>
            <w:tcW w:w="396"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固废属性</w:t>
            </w:r>
          </w:p>
        </w:tc>
        <w:tc>
          <w:tcPr>
            <w:tcW w:w="485"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类别</w:t>
            </w:r>
          </w:p>
        </w:tc>
        <w:tc>
          <w:tcPr>
            <w:tcW w:w="541"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危险废物代码</w:t>
            </w:r>
          </w:p>
        </w:tc>
        <w:tc>
          <w:tcPr>
            <w:tcW w:w="37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产生量</w:t>
            </w:r>
          </w:p>
        </w:tc>
        <w:tc>
          <w:tcPr>
            <w:tcW w:w="917" w:type="pct"/>
            <w:tcBorders>
              <w:tl2br w:val="nil"/>
              <w:tr2bl w:val="nil"/>
            </w:tcBorders>
            <w:shd w:val="clear" w:color="auto" w:fill="auto"/>
            <w:vAlign w:val="center"/>
          </w:tcPr>
          <w:p>
            <w:pPr>
              <w:pStyle w:val="103"/>
              <w:spacing w:line="240" w:lineRule="auto"/>
              <w:ind w:firstLine="0" w:firstLineChars="0"/>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cs="Times New Roman"/>
                <w:b/>
                <w:bCs/>
                <w:color w:val="auto"/>
                <w:sz w:val="21"/>
                <w:szCs w:val="21"/>
                <w:lang w:val="en-US" w:eastAsia="zh-CN"/>
              </w:rPr>
              <w:t>处置措施</w:t>
            </w:r>
          </w:p>
        </w:tc>
        <w:tc>
          <w:tcPr>
            <w:tcW w:w="39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cs="Times New Roman"/>
                <w:b/>
                <w:bCs/>
                <w:color w:val="auto"/>
                <w:sz w:val="21"/>
                <w:szCs w:val="21"/>
              </w:rPr>
              <w:t>处置</w:t>
            </w:r>
            <w:r>
              <w:rPr>
                <w:rFonts w:hint="eastAsia" w:ascii="Times New Roman" w:hAnsi="Times New Roman" w:cs="Times New Roman"/>
                <w:b/>
                <w:bCs/>
                <w:color w:val="auto"/>
                <w:sz w:val="21"/>
                <w:szCs w:val="21"/>
                <w:lang w:val="en-US" w:eastAsia="zh-CN"/>
              </w:rPr>
              <w:t>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2"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968" w:type="pct"/>
            <w:tcBorders>
              <w:tl2br w:val="nil"/>
              <w:tr2bl w:val="nil"/>
            </w:tcBorders>
            <w:shd w:val="clear" w:color="auto" w:fill="auto"/>
            <w:vAlign w:val="center"/>
          </w:tcPr>
          <w:p>
            <w:pPr>
              <w:pStyle w:val="103"/>
              <w:spacing w:line="240" w:lineRule="auto"/>
              <w:ind w:firstLine="0" w:firstLineChars="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活性炭吸附装置运行过程</w:t>
            </w:r>
          </w:p>
        </w:tc>
        <w:tc>
          <w:tcPr>
            <w:tcW w:w="682" w:type="pct"/>
            <w:tcBorders>
              <w:tl2br w:val="nil"/>
              <w:tr2bl w:val="nil"/>
            </w:tcBorders>
            <w:shd w:val="clear" w:color="auto" w:fill="auto"/>
            <w:vAlign w:val="center"/>
          </w:tcPr>
          <w:p>
            <w:pPr>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sz w:val="21"/>
                <w:szCs w:val="21"/>
              </w:rPr>
              <w:t>废活性炭</w:t>
            </w:r>
          </w:p>
        </w:tc>
        <w:tc>
          <w:tcPr>
            <w:tcW w:w="396" w:type="pct"/>
            <w:tcBorders>
              <w:tl2br w:val="nil"/>
              <w:tr2bl w:val="nil"/>
            </w:tcBorders>
            <w:shd w:val="clear" w:color="auto" w:fill="auto"/>
            <w:vAlign w:val="center"/>
          </w:tcPr>
          <w:p>
            <w:pPr>
              <w:pStyle w:val="103"/>
              <w:spacing w:line="240" w:lineRule="auto"/>
              <w:ind w:firstLine="0" w:firstLineChars="0"/>
              <w:rPr>
                <w:rFonts w:hint="eastAsia" w:cs="Times New Roman"/>
                <w:color w:val="auto"/>
                <w:sz w:val="21"/>
                <w:szCs w:val="21"/>
                <w:lang w:val="en-US" w:eastAsia="zh-CN"/>
              </w:rPr>
            </w:pPr>
            <w:r>
              <w:rPr>
                <w:rFonts w:hint="eastAsia" w:ascii="Times New Roman" w:hAnsi="Times New Roman" w:cs="Times New Roman"/>
                <w:color w:val="auto"/>
                <w:sz w:val="21"/>
                <w:szCs w:val="21"/>
                <w:lang w:val="en-US" w:eastAsia="zh-CN"/>
              </w:rPr>
              <w:t>危废废物</w:t>
            </w:r>
          </w:p>
        </w:tc>
        <w:tc>
          <w:tcPr>
            <w:tcW w:w="485" w:type="pct"/>
            <w:tcBorders>
              <w:tl2br w:val="nil"/>
              <w:tr2bl w:val="nil"/>
            </w:tcBorders>
            <w:shd w:val="clear" w:color="auto" w:fill="auto"/>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HW49</w:t>
            </w:r>
          </w:p>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其他废物</w:t>
            </w:r>
          </w:p>
        </w:tc>
        <w:tc>
          <w:tcPr>
            <w:tcW w:w="541" w:type="pct"/>
            <w:tcBorders>
              <w:tl2br w:val="nil"/>
              <w:tr2bl w:val="nil"/>
            </w:tcBorders>
            <w:shd w:val="clear" w:color="auto" w:fill="auto"/>
            <w:vAlign w:val="center"/>
          </w:tcPr>
          <w:p>
            <w:pPr>
              <w:pStyle w:val="103"/>
              <w:spacing w:line="240" w:lineRule="auto"/>
              <w:ind w:firstLine="0" w:firstLineChars="0"/>
              <w:rPr>
                <w:rFonts w:hint="eastAsia" w:cs="Times New Roman"/>
                <w:color w:val="auto"/>
                <w:sz w:val="21"/>
                <w:szCs w:val="21"/>
                <w:lang w:val="en-US" w:eastAsia="zh-CN"/>
              </w:rPr>
            </w:pPr>
            <w:r>
              <w:rPr>
                <w:rFonts w:hint="eastAsia" w:cs="Times New Roman"/>
                <w:color w:val="auto"/>
                <w:sz w:val="21"/>
                <w:szCs w:val="21"/>
                <w:lang w:val="en-US" w:eastAsia="zh-CN"/>
              </w:rPr>
              <w:t>900-039-49</w:t>
            </w:r>
          </w:p>
        </w:tc>
        <w:tc>
          <w:tcPr>
            <w:tcW w:w="372" w:type="pct"/>
            <w:tcBorders>
              <w:tl2br w:val="nil"/>
              <w:tr2bl w:val="nil"/>
            </w:tcBorders>
            <w:shd w:val="clear" w:color="auto" w:fill="auto"/>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3.0</w:t>
            </w:r>
            <w:r>
              <w:rPr>
                <w:rFonts w:hint="default" w:ascii="Times New Roman" w:hAnsi="Times New Roman" w:eastAsia="宋体" w:cs="Times New Roman"/>
                <w:sz w:val="21"/>
                <w:szCs w:val="21"/>
              </w:rPr>
              <w:t>t/a</w:t>
            </w:r>
          </w:p>
        </w:tc>
        <w:tc>
          <w:tcPr>
            <w:tcW w:w="917" w:type="pct"/>
            <w:tcBorders>
              <w:tl2br w:val="nil"/>
              <w:tr2bl w:val="nil"/>
            </w:tcBorders>
            <w:shd w:val="clear" w:color="auto" w:fill="auto"/>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集中收集在危废暂存间，经危废暂存间暂存后委托有资质的单位处置</w:t>
            </w:r>
          </w:p>
        </w:tc>
        <w:tc>
          <w:tcPr>
            <w:tcW w:w="392" w:type="pct"/>
            <w:tcBorders>
              <w:tl2br w:val="nil"/>
              <w:tr2bl w:val="nil"/>
            </w:tcBorders>
            <w:shd w:val="clear" w:color="auto" w:fill="auto"/>
            <w:vAlign w:val="center"/>
          </w:tcPr>
          <w:p>
            <w:pPr>
              <w:pStyle w:val="103"/>
              <w:spacing w:line="240" w:lineRule="auto"/>
              <w:ind w:firstLine="0" w:firstLineChars="0"/>
              <w:rPr>
                <w:rFonts w:hint="default" w:cs="Times New Roman"/>
                <w:color w:val="auto"/>
                <w:sz w:val="21"/>
                <w:szCs w:val="21"/>
                <w:lang w:val="en-US" w:eastAsia="zh-CN"/>
              </w:rPr>
            </w:pPr>
            <w:r>
              <w:rPr>
                <w:rFonts w:hint="eastAsia" w:cs="Times New Roman"/>
                <w:color w:val="auto"/>
                <w:sz w:val="21"/>
                <w:szCs w:val="21"/>
                <w:lang w:val="en-US" w:eastAsia="zh-CN"/>
              </w:rPr>
              <w:t>3.0</w:t>
            </w:r>
            <w:r>
              <w:rPr>
                <w:rFonts w:hint="default" w:ascii="Times New Roman" w:hAnsi="Times New Roman" w:eastAsia="宋体" w:cs="Times New Roman"/>
                <w:sz w:val="21"/>
                <w:szCs w:val="21"/>
              </w:rPr>
              <w:t>t/a</w:t>
            </w:r>
          </w:p>
        </w:tc>
      </w:tr>
    </w:tbl>
    <w:p>
      <w:pPr>
        <w:pStyle w:val="38"/>
        <w:ind w:firstLine="480"/>
      </w:pPr>
    </w:p>
    <w:p>
      <w:pPr>
        <w:pStyle w:val="38"/>
        <w:ind w:firstLine="480"/>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556" w:name="_Toc10757_WPSOffice_Level1"/>
      <w:bookmarkStart w:id="557" w:name="_Toc29324"/>
      <w:bookmarkStart w:id="558" w:name="_Toc1018"/>
      <w:r>
        <w:rPr>
          <w:rFonts w:hint="eastAsia"/>
          <w:lang w:val="en-US" w:eastAsia="zh-CN"/>
        </w:rPr>
        <w:t>4</w:t>
      </w:r>
      <w:r>
        <w:rPr>
          <w:rFonts w:hint="eastAsia"/>
        </w:rPr>
        <w:t>、</w:t>
      </w:r>
      <w:r>
        <w:t>环境概况</w:t>
      </w:r>
      <w:bookmarkEnd w:id="556"/>
      <w:bookmarkEnd w:id="557"/>
      <w:bookmarkEnd w:id="558"/>
    </w:p>
    <w:p>
      <w:pPr>
        <w:spacing w:line="500" w:lineRule="exact"/>
        <w:ind w:firstLine="482"/>
        <w:outlineLvl w:val="1"/>
        <w:rPr>
          <w:b/>
          <w:bCs/>
        </w:rPr>
      </w:pPr>
      <w:bookmarkStart w:id="559" w:name="_Toc1012_WPSOffice_Level1"/>
      <w:bookmarkStart w:id="560" w:name="_Toc30225"/>
      <w:bookmarkStart w:id="561" w:name="_Toc23054"/>
      <w:r>
        <w:rPr>
          <w:rFonts w:hint="eastAsia"/>
          <w:b/>
          <w:bCs/>
          <w:lang w:val="en-US" w:eastAsia="zh-CN"/>
        </w:rPr>
        <w:t>4</w:t>
      </w:r>
      <w:r>
        <w:rPr>
          <w:b/>
          <w:bCs/>
        </w:rPr>
        <w:t>.1</w:t>
      </w:r>
      <w:r>
        <w:rPr>
          <w:rFonts w:hint="eastAsia"/>
          <w:b/>
          <w:bCs/>
        </w:rPr>
        <w:t>、</w:t>
      </w:r>
      <w:r>
        <w:rPr>
          <w:b/>
          <w:bCs/>
        </w:rPr>
        <w:t>自然环境概况</w:t>
      </w:r>
      <w:bookmarkEnd w:id="559"/>
      <w:bookmarkEnd w:id="560"/>
      <w:bookmarkEnd w:id="561"/>
      <w:r>
        <w:rPr>
          <w:b/>
          <w:bCs/>
        </w:rPr>
        <w:tab/>
      </w:r>
    </w:p>
    <w:p>
      <w:pPr>
        <w:pStyle w:val="6"/>
        <w:ind w:firstLine="482"/>
      </w:pPr>
      <w:bookmarkStart w:id="562" w:name="_Toc9369_WPSOffice_Level2"/>
      <w:bookmarkStart w:id="563" w:name="_Toc11747_WPSOffice_Level2"/>
      <w:bookmarkStart w:id="564" w:name="_Toc6646"/>
      <w:bookmarkStart w:id="565" w:name="_Toc12598"/>
      <w:bookmarkStart w:id="566" w:name="_Toc12641"/>
      <w:r>
        <w:rPr>
          <w:rFonts w:hint="eastAsia"/>
          <w:lang w:val="en-US" w:eastAsia="zh-CN"/>
        </w:rPr>
        <w:t>4</w:t>
      </w:r>
      <w:r>
        <w:t>.1.1</w:t>
      </w:r>
      <w:r>
        <w:rPr>
          <w:rFonts w:hint="eastAsia"/>
        </w:rPr>
        <w:t>、</w:t>
      </w:r>
      <w:r>
        <w:t>地理位置</w:t>
      </w:r>
      <w:bookmarkEnd w:id="562"/>
      <w:bookmarkEnd w:id="563"/>
      <w:bookmarkEnd w:id="564"/>
      <w:bookmarkEnd w:id="565"/>
      <w:bookmarkEnd w:id="566"/>
    </w:p>
    <w:p>
      <w:pPr>
        <w:ind w:firstLine="480"/>
      </w:pPr>
      <w:r>
        <w:t>甘州区位于富饶的甘肃河西走廊中部，是我国国家级历史文化名城，古丝绸之路重镇，地理位置在东经100°6′～100°52′，北纬38°39′～39°24′之间。该区东邻山丹县和民乐县，西接临泽县，南与肃南裕谷族自治县毗邻，北同内蒙古自治区的阿拉善右旗接壤。东西长65km，南北宽98km，总土地面积4240km2。兰新铁路、甘新公路从市区北侧通过。甘州区是张掖市政治、经济、文化中心。</w:t>
      </w:r>
    </w:p>
    <w:p>
      <w:pPr>
        <w:ind w:firstLine="480"/>
      </w:pPr>
      <w:r>
        <w:t>甘州区南枕气势雄伟、奇峰接天的祁连山，北倚从东到西突兀峥嵘的龙首山、合黎山，大山环抱，状似城郭。逶迄婉蜒的黑水河从中流过，形成由东向西北倾斜的坡面平原，被称为张掖盆地，是河西走廊的重要组成部分。平原地形呈冲积扇形，由东南向西北敞开，平原中部土地平坦，灌溉便利，是农作物主要的生产区。龙首山区属微显陡峻的中高山地，南陡北缓，东南与西部形成狭长地带，中部稍宽。祁连山区为祁连山的浅山地带，覆盖厚层黄土，局部辟为旱地、牧地。</w:t>
      </w:r>
    </w:p>
    <w:p>
      <w:pPr>
        <w:ind w:firstLine="480"/>
      </w:pPr>
      <w:r>
        <w:rPr>
          <w:rFonts w:hint="eastAsia"/>
          <w:lang w:eastAsia="zh-CN"/>
        </w:rPr>
        <w:t>张掖市甘州区巴吉滩农产品产业园</w:t>
      </w:r>
      <w:r>
        <w:rPr>
          <w:rFonts w:hint="eastAsia"/>
        </w:rPr>
        <w:t>是张掖工业园区“一区多园”中的一园，位于城市西郊的一块国有荒滩中，是城市郊区的一块飞地，距离张掖市区约12公里，距离甘浚镇约6公里，用地面积为67.75平方公里，</w:t>
      </w:r>
      <w:r>
        <w:t>交通十分便利。</w:t>
      </w:r>
    </w:p>
    <w:p>
      <w:pPr>
        <w:ind w:firstLine="480"/>
      </w:pPr>
      <w:r>
        <w:t>拟建项目选址于</w:t>
      </w:r>
      <w:r>
        <w:rPr>
          <w:rFonts w:hint="eastAsia"/>
          <w:lang w:eastAsia="zh-CN"/>
        </w:rPr>
        <w:t>张掖市甘州区巴吉滩农产品产业园</w:t>
      </w:r>
      <w:r>
        <w:rPr>
          <w:rFonts w:hint="eastAsia"/>
          <w:lang w:val="en-US" w:eastAsia="zh-CN"/>
        </w:rPr>
        <w:t>张掖市沅博农牧产业开发有限公司</w:t>
      </w:r>
      <w:r>
        <w:rPr>
          <w:rFonts w:hint="eastAsia"/>
        </w:rPr>
        <w:t>内</w:t>
      </w:r>
      <w:r>
        <w:t>，</w:t>
      </w:r>
      <w:r>
        <w:rPr>
          <w:rFonts w:hint="eastAsia"/>
        </w:rPr>
        <w:t>拟建区域中心地理坐标为</w:t>
      </w:r>
      <w:r>
        <w:t>东</w:t>
      </w:r>
      <w:r>
        <w:rPr>
          <w:rFonts w:hint="default" w:ascii="Times New Roman" w:hAnsi="Times New Roman" w:cs="Times New Roman"/>
        </w:rPr>
        <w:t>经100°15′42.31472″，北纬,38°57′14.45651″。拟建区域南侧临S1</w:t>
      </w:r>
      <w:r>
        <w:rPr>
          <w:rFonts w:hint="eastAsia"/>
        </w:rPr>
        <w:t>8</w:t>
      </w:r>
      <w:r>
        <w:t>，项目厂址距张掖市区</w:t>
      </w:r>
      <w:r>
        <w:rPr>
          <w:rFonts w:hint="eastAsia"/>
        </w:rPr>
        <w:t>16</w:t>
      </w:r>
      <w:r>
        <w:t>km，交通极为方便。项目地理位置图</w:t>
      </w:r>
      <w:r>
        <w:rPr>
          <w:rFonts w:hint="eastAsia"/>
        </w:rPr>
        <w:t>附图7。</w:t>
      </w:r>
    </w:p>
    <w:p>
      <w:pPr>
        <w:pStyle w:val="6"/>
        <w:ind w:firstLine="482"/>
      </w:pPr>
      <w:bookmarkStart w:id="567" w:name="_Toc19518"/>
      <w:bookmarkStart w:id="568" w:name="_Toc376880778"/>
      <w:bookmarkStart w:id="569" w:name="_Toc13268"/>
      <w:bookmarkStart w:id="570" w:name="_Toc25645_WPSOffice_Level2"/>
      <w:bookmarkStart w:id="571" w:name="_Toc31910_WPSOffice_Level2"/>
      <w:bookmarkStart w:id="572" w:name="_Toc30719"/>
      <w:r>
        <w:rPr>
          <w:rFonts w:hint="eastAsia"/>
          <w:lang w:val="en-US" w:eastAsia="zh-CN"/>
        </w:rPr>
        <w:t>4</w:t>
      </w:r>
      <w:r>
        <w:t>.1.2</w:t>
      </w:r>
      <w:r>
        <w:rPr>
          <w:rFonts w:hint="eastAsia"/>
        </w:rPr>
        <w:t>、</w:t>
      </w:r>
      <w:r>
        <w:t>地形</w:t>
      </w:r>
      <w:r>
        <w:rPr>
          <w:rFonts w:hint="eastAsia"/>
        </w:rPr>
        <w:t>、</w:t>
      </w:r>
      <w:r>
        <w:t>地貌及地质构造</w:t>
      </w:r>
      <w:bookmarkEnd w:id="567"/>
      <w:bookmarkEnd w:id="568"/>
      <w:bookmarkEnd w:id="569"/>
      <w:bookmarkEnd w:id="570"/>
      <w:bookmarkEnd w:id="571"/>
      <w:bookmarkEnd w:id="572"/>
    </w:p>
    <w:p>
      <w:pPr>
        <w:ind w:firstLine="480"/>
      </w:pPr>
      <w:r>
        <w:t>甘州区位于河西走廊中部，属于祁连山地槽边缘拗陷带。喜马拉雅山运动时，祁连山大幅度隆升，走廊接受大量新生代以来的洪积、冲积物。自南而北依次出现南山北麓坡积带、洪积带、洪积冲积带、冲积带和北山南麓坡积带。走廊地势平坦，沿河冲积平原形成大片绿洲。其余绝大部分地区以风力作用和干燥剥蚀作用为主，戈壁沙漠广泛分布。南有祁连山，北依龙首山、合黎山，形成由东向西北倾斜的坡面平原被称为张掖盆地。是河西走廊的重要农作物生产区。</w:t>
      </w:r>
    </w:p>
    <w:p>
      <w:pPr>
        <w:ind w:firstLine="480"/>
        <w:rPr>
          <w:lang w:val="zh-CN"/>
        </w:rPr>
      </w:pPr>
      <w:r>
        <w:t>甘州区地质构造复杂，所处的大地构造位置是青藏高原向内蒙古高原跌落的第一级分界处，也是重力梯度的分界带，南北地貌差异很大，地壳厚度在此发生明显变化，新构造运动极为活跃。处于天山——内蒙褶皱系北山褶皱带的南部，按板块构造分解，有阿拉善古陆板块、北祁连古洋板块和南祁连古陆板块三个单元。张掖境内主要构造形迹有祁吕贺山字型构造西翼和东西向构造，在此基础上又迭加了河西系、雅布赖孤形等构造体系，这些构造体系互相干扰、互相穿插、利用和改造在交汇部位区应力易于集中，地质体沿着己存在的断裂带不断产生新断裂，所以地震频繁发生。根据《中国地震烈度区划图》资料显示，评价区地震烈度为7度。</w:t>
      </w:r>
    </w:p>
    <w:p>
      <w:pPr>
        <w:pStyle w:val="6"/>
        <w:ind w:firstLine="482"/>
      </w:pPr>
      <w:bookmarkStart w:id="573" w:name="_Toc21425"/>
      <w:bookmarkStart w:id="574" w:name="_Toc18009"/>
      <w:bookmarkStart w:id="575" w:name="_Toc16600_WPSOffice_Level2"/>
      <w:bookmarkStart w:id="576" w:name="_Toc19593_WPSOffice_Level2"/>
      <w:bookmarkStart w:id="577" w:name="_Toc13635"/>
      <w:r>
        <w:rPr>
          <w:rFonts w:hint="eastAsia"/>
          <w:lang w:val="en-US" w:eastAsia="zh-CN"/>
        </w:rPr>
        <w:t>4</w:t>
      </w:r>
      <w:r>
        <w:rPr>
          <w:rFonts w:hint="eastAsia"/>
        </w:rPr>
        <w:t>.1.3、</w:t>
      </w:r>
      <w:r>
        <w:t>气候、气象</w:t>
      </w:r>
      <w:bookmarkEnd w:id="573"/>
    </w:p>
    <w:p>
      <w:pPr>
        <w:ind w:firstLine="480"/>
      </w:pPr>
      <w:bookmarkStart w:id="578" w:name="_Toc59527684"/>
      <w:bookmarkStart w:id="579" w:name="_Toc46930102"/>
      <w:r>
        <w:t>甘州区处于河西走廊中部，属大陆性气候，受蒙古高压的影响极大，经常受西北寒潮的侵袭，东南又有高山阻挡，湿润海洋气流难以深入，本地区特点是：日照时间长，太阳辐射强，昼夜温差大，降水量少而集中，蒸发量大，全年无霜期短，春季升温快，多风、干旱少雨，天气多变，冷空气活动频繁；夏季干热，早晚凉爽，午后干热，七、八月份雨水增加，易出现局部大雨或暴雨；秋季降温快，初秋天气晴好，秋高气爽，中秋后易出现寒潮；冬季晴朗少风，降雨稀少，天气寒冷、干燥。境内地势东南高、西北低，各地气候有较大的差异。灾害性天气主要有沙尘暴、干旱、大风等。</w:t>
      </w:r>
    </w:p>
    <w:p>
      <w:pPr>
        <w:ind w:firstLine="480"/>
      </w:pPr>
      <w:r>
        <w:rPr>
          <w:rFonts w:hint="eastAsia"/>
        </w:rPr>
        <w:t>（1）</w:t>
      </w:r>
      <w:r>
        <w:t>平均气压851.7hpa</w:t>
      </w:r>
    </w:p>
    <w:p>
      <w:pPr>
        <w:ind w:firstLine="480"/>
      </w:pPr>
      <w:r>
        <w:rPr>
          <w:rFonts w:hint="eastAsia"/>
        </w:rPr>
        <w:t>（2）</w:t>
      </w:r>
      <w:r>
        <w:t>气温</w:t>
      </w:r>
    </w:p>
    <w:p>
      <w:pPr>
        <w:ind w:firstLine="480"/>
      </w:pPr>
      <w:r>
        <w:t>累年平均气温7.1℃</w:t>
      </w:r>
    </w:p>
    <w:p>
      <w:pPr>
        <w:ind w:firstLine="480"/>
      </w:pPr>
      <w:r>
        <w:t>累年平均最高气温15.5℃</w:t>
      </w:r>
    </w:p>
    <w:p>
      <w:pPr>
        <w:ind w:firstLine="480"/>
      </w:pPr>
      <w:r>
        <w:t>累年平均最低气温-0.2℃</w:t>
      </w:r>
    </w:p>
    <w:p>
      <w:pPr>
        <w:ind w:firstLine="480"/>
      </w:pPr>
      <w:r>
        <w:t>极端最高气温38.6℃（1971.8.9）</w:t>
      </w:r>
    </w:p>
    <w:p>
      <w:pPr>
        <w:ind w:firstLine="480"/>
      </w:pPr>
      <w:r>
        <w:t>极端最低气温-25.3℃（1958.1.14）</w:t>
      </w:r>
    </w:p>
    <w:p>
      <w:pPr>
        <w:ind w:firstLine="480"/>
      </w:pPr>
      <w:r>
        <w:rPr>
          <w:rFonts w:hint="eastAsia"/>
        </w:rPr>
        <w:t>（3）</w:t>
      </w:r>
      <w:r>
        <w:t>湿度</w:t>
      </w:r>
    </w:p>
    <w:p>
      <w:pPr>
        <w:ind w:firstLine="480"/>
      </w:pPr>
      <w:r>
        <w:t>累年平均绝对湿度6.2hpa</w:t>
      </w:r>
    </w:p>
    <w:p>
      <w:pPr>
        <w:ind w:firstLine="480"/>
      </w:pPr>
      <w:r>
        <w:t>最大绝对湿度27.5hpa</w:t>
      </w:r>
    </w:p>
    <w:p>
      <w:pPr>
        <w:ind w:firstLine="480"/>
      </w:pPr>
      <w:r>
        <w:t>最小绝对湿度0</w:t>
      </w:r>
    </w:p>
    <w:p>
      <w:pPr>
        <w:ind w:firstLine="480"/>
      </w:pPr>
      <w:r>
        <w:t>累年平均相对湿度52%</w:t>
      </w:r>
    </w:p>
    <w:p>
      <w:pPr>
        <w:ind w:firstLine="480"/>
      </w:pPr>
      <w:r>
        <w:t>最小相对湿度6%</w:t>
      </w:r>
    </w:p>
    <w:p>
      <w:pPr>
        <w:ind w:firstLine="480"/>
      </w:pPr>
      <w:r>
        <w:rPr>
          <w:rFonts w:hint="eastAsia"/>
        </w:rPr>
        <w:t>（4）</w:t>
      </w:r>
      <w:r>
        <w:t>风速、风向</w:t>
      </w:r>
    </w:p>
    <w:p>
      <w:pPr>
        <w:ind w:firstLine="480"/>
      </w:pPr>
      <w:r>
        <w:t>年平均风速2.1m/s</w:t>
      </w:r>
    </w:p>
    <w:p>
      <w:pPr>
        <w:ind w:firstLine="480"/>
      </w:pPr>
      <w:r>
        <w:t>实测最大风速28.0m/s（1977.4.22）</w:t>
      </w:r>
    </w:p>
    <w:p>
      <w:pPr>
        <w:ind w:firstLine="480"/>
      </w:pPr>
      <w:r>
        <w:t>主导风向NW</w:t>
      </w:r>
    </w:p>
    <w:p>
      <w:pPr>
        <w:ind w:firstLine="480"/>
      </w:pPr>
      <w:r>
        <w:rPr>
          <w:rFonts w:hint="eastAsia"/>
        </w:rPr>
        <w:t>（5）</w:t>
      </w:r>
      <w:r>
        <w:t>降水与蒸发</w:t>
      </w:r>
    </w:p>
    <w:p>
      <w:pPr>
        <w:ind w:firstLine="480"/>
      </w:pPr>
      <w:r>
        <w:t>累年平均降水量129.8mm</w:t>
      </w:r>
    </w:p>
    <w:p>
      <w:pPr>
        <w:ind w:firstLine="480"/>
      </w:pPr>
      <w:r>
        <w:t>一日最大降水量46.7mm</w:t>
      </w:r>
    </w:p>
    <w:p>
      <w:pPr>
        <w:ind w:firstLine="480"/>
      </w:pPr>
      <w:r>
        <w:t>累年蒸发量1966.8mm</w:t>
      </w:r>
    </w:p>
    <w:p>
      <w:pPr>
        <w:ind w:firstLine="480"/>
      </w:pPr>
      <w:r>
        <w:t>多年平均降雨天数61天</w:t>
      </w:r>
    </w:p>
    <w:p>
      <w:pPr>
        <w:ind w:firstLine="480"/>
      </w:pPr>
      <w:r>
        <w:rPr>
          <w:rFonts w:hint="eastAsia"/>
        </w:rPr>
        <w:t>（6）</w:t>
      </w:r>
      <w:r>
        <w:t>其它</w:t>
      </w:r>
    </w:p>
    <w:p>
      <w:pPr>
        <w:ind w:firstLine="480"/>
      </w:pPr>
      <w:r>
        <w:t>最大冻土深度1500mm</w:t>
      </w:r>
    </w:p>
    <w:p>
      <w:pPr>
        <w:ind w:firstLine="480"/>
      </w:pPr>
      <w:r>
        <w:t>最大积雪深度110mm</w:t>
      </w:r>
    </w:p>
    <w:p>
      <w:pPr>
        <w:ind w:firstLine="480"/>
      </w:pPr>
      <w:r>
        <w:t>平均年雷暴日数10.1d</w:t>
      </w:r>
    </w:p>
    <w:p>
      <w:pPr>
        <w:ind w:firstLine="480"/>
      </w:pPr>
      <w:r>
        <w:t>平均年雾日数0.5d</w:t>
      </w:r>
    </w:p>
    <w:p>
      <w:pPr>
        <w:ind w:firstLine="480"/>
      </w:pPr>
      <w:r>
        <w:t>无霜冻日149d</w:t>
      </w:r>
    </w:p>
    <w:p>
      <w:pPr>
        <w:pStyle w:val="6"/>
        <w:ind w:firstLine="482"/>
      </w:pPr>
      <w:bookmarkStart w:id="580" w:name="_Toc14820"/>
      <w:r>
        <w:rPr>
          <w:rFonts w:hint="eastAsia"/>
          <w:lang w:val="en-US" w:eastAsia="zh-CN"/>
        </w:rPr>
        <w:t>4</w:t>
      </w:r>
      <w:r>
        <w:rPr>
          <w:rFonts w:hint="eastAsia"/>
        </w:rPr>
        <w:t>.1.4、</w:t>
      </w:r>
      <w:r>
        <w:t>水文概况</w:t>
      </w:r>
      <w:bookmarkEnd w:id="578"/>
      <w:bookmarkEnd w:id="579"/>
      <w:bookmarkEnd w:id="580"/>
    </w:p>
    <w:p>
      <w:pPr>
        <w:ind w:firstLine="482"/>
        <w:rPr>
          <w:b/>
          <w:bCs/>
        </w:rPr>
      </w:pPr>
      <w:bookmarkStart w:id="581" w:name="_Toc59527685"/>
      <w:bookmarkStart w:id="582" w:name="_Toc46930103"/>
      <w:r>
        <w:rPr>
          <w:b/>
          <w:bCs/>
        </w:rPr>
        <w:t>（1）地表水资源概况</w:t>
      </w:r>
    </w:p>
    <w:p>
      <w:pPr>
        <w:ind w:firstLine="480"/>
      </w:pPr>
      <w:r>
        <w:t>甘州区境内有黑河、酥油口河、大野口河、山丹河4条主要河流和26条季节性河流，年径流量2.4×109，流域面积3760km</w:t>
      </w:r>
      <w:r>
        <w:rPr>
          <w:vertAlign w:val="superscript"/>
        </w:rPr>
        <w:t>2</w:t>
      </w:r>
      <w:r>
        <w:t>。其中黑河水系（包括山丹河）地表径流主要来源于南部祁连山冰雪融水，属降水、地下水、冰川融水混合型补给。在山区除正常径流外，山区基岩裂隙水和山间盆地的孔隙水多在出山前以泉水的形式排入河道，汇入地表径流。出山口的地表径流，经水库调节或直接引入渠道、进行农灌。随着河床、渠道流程，部分水量渗漏潜入地下转变为地下水，至下游河段又露出地表排泄于河流，形成地表水——地下水——地表水的重复利用循环转换形式。</w:t>
      </w:r>
    </w:p>
    <w:p>
      <w:pPr>
        <w:ind w:firstLine="480"/>
      </w:pPr>
      <w:r>
        <w:t>黑河是甘肃省内陆河中最大的河流。黑河发源于河西走廊南部的祁连山和托赖山之间，分为东、西两汊，于黄藏寺汇合后向北流去。西汊发源讨赖雅腰掌，冰雪融水后自西向东流，河脑至黄藏寺长约175km；东汊发源于俄博东端的景阳岭，冰雪融水后流经八宝亦称八宝河，自东向西流，河脑至黄藏寺长约100公里。在黑河东、西汊河脑及流程中分布着冰川260条，冰川面积为80.84km</w:t>
      </w:r>
      <w:r>
        <w:rPr>
          <w:vertAlign w:val="superscript"/>
        </w:rPr>
        <w:t>2</w:t>
      </w:r>
      <w:r>
        <w:t>，冰川储量为2.1034km</w:t>
      </w:r>
      <w:r>
        <w:rPr>
          <w:vertAlign w:val="superscript"/>
        </w:rPr>
        <w:t>2</w:t>
      </w:r>
      <w:r>
        <w:t>。黑河干流自黄藏寺至莺落峡出口长约95km，河床比降为9.1‰，平均流量为50.2m</w:t>
      </w:r>
      <w:r>
        <w:rPr>
          <w:vertAlign w:val="superscript"/>
        </w:rPr>
        <w:t>3</w:t>
      </w:r>
      <w:r>
        <w:t>/s，多年平均径流量为15.8亿m</w:t>
      </w:r>
      <w:r>
        <w:rPr>
          <w:vertAlign w:val="superscript"/>
        </w:rPr>
        <w:t>3</w:t>
      </w:r>
      <w:r>
        <w:t>。两岸山高谷深，水流湍急，交通不便。黑河自莺落峡出山口后向北横贯河西走廊平原，流经甘州区、临泽、高台三县（市），至正义峡进入酒泉地区的金塔县。张掖市境内黑河流域面积为3663.8km</w:t>
      </w:r>
      <w:r>
        <w:rPr>
          <w:vertAlign w:val="superscript"/>
        </w:rPr>
        <w:t>2</w:t>
      </w:r>
      <w:r>
        <w:t>，干流长52km。</w:t>
      </w:r>
    </w:p>
    <w:p>
      <w:pPr>
        <w:ind w:firstLine="480"/>
      </w:pPr>
      <w:r>
        <w:t>根据黑河莺落峡水文站和高崖水文站多年水文资料统计，主要水文特征如下：</w:t>
      </w:r>
    </w:p>
    <w:p>
      <w:pPr>
        <w:ind w:firstLine="480"/>
      </w:pPr>
      <w:r>
        <w:t>①径流年内分配</w:t>
      </w:r>
    </w:p>
    <w:p>
      <w:pPr>
        <w:ind w:firstLine="480"/>
      </w:pPr>
      <w:r>
        <w:t>根据黑河高崖水文站1995-2000年连续6年的统计，黑河多年月平均流量为30.4m</w:t>
      </w:r>
      <w:r>
        <w:rPr>
          <w:vertAlign w:val="superscript"/>
        </w:rPr>
        <w:t>3</w:t>
      </w:r>
      <w:r>
        <w:t>/s，多年平均年径流量为9.6亿m</w:t>
      </w:r>
      <w:r>
        <w:rPr>
          <w:vertAlign w:val="superscript"/>
        </w:rPr>
        <w:t>3</w:t>
      </w:r>
      <w:r>
        <w:t>/a，多年最大年径流量为12.97亿m</w:t>
      </w:r>
      <w:r>
        <w:rPr>
          <w:vertAlign w:val="superscript"/>
        </w:rPr>
        <w:t>3</w:t>
      </w:r>
      <w:r>
        <w:t>/a（1998年），多年最小年径流量为7.0亿m</w:t>
      </w:r>
      <w:r>
        <w:rPr>
          <w:vertAlign w:val="superscript"/>
        </w:rPr>
        <w:t>3</w:t>
      </w:r>
      <w:r>
        <w:t>/a（1997年）。径流年内分配不均，汛期7、8、9月三个月流量最大，多年汛期月平均流量为58.8m</w:t>
      </w:r>
      <w:r>
        <w:rPr>
          <w:vertAlign w:val="superscript"/>
        </w:rPr>
        <w:t>3</w:t>
      </w:r>
      <w:r>
        <w:t>/s，月平均最大流量121m</w:t>
      </w:r>
      <w:r>
        <w:rPr>
          <w:vertAlign w:val="superscript"/>
        </w:rPr>
        <w:t>3</w:t>
      </w:r>
      <w:r>
        <w:t>/s（1998、7）。枯水期12、1、2、3月流量较小，多年月平均流量为23.03m</w:t>
      </w:r>
      <w:r>
        <w:rPr>
          <w:vertAlign w:val="superscript"/>
        </w:rPr>
        <w:t>3</w:t>
      </w:r>
      <w:r>
        <w:t>/s。多年月平均最小流量为10.2m</w:t>
      </w:r>
      <w:r>
        <w:rPr>
          <w:vertAlign w:val="superscript"/>
        </w:rPr>
        <w:t>3</w:t>
      </w:r>
      <w:r>
        <w:t>/s（1998.3）。</w:t>
      </w:r>
    </w:p>
    <w:p>
      <w:pPr>
        <w:ind w:firstLine="480"/>
      </w:pPr>
      <w:r>
        <w:t>②泥沙</w:t>
      </w:r>
    </w:p>
    <w:p>
      <w:pPr>
        <w:ind w:firstLine="480"/>
      </w:pPr>
      <w:r>
        <w:t>根据黑河莺落峡站多年资料，黑河多年平均输沙率为69.6kg/s，多年平均含沙量为1.42kg/m</w:t>
      </w:r>
      <w:r>
        <w:rPr>
          <w:vertAlign w:val="superscript"/>
        </w:rPr>
        <w:t>3</w:t>
      </w:r>
      <w:r>
        <w:t>，多年最大含沙量105kg/m</w:t>
      </w:r>
      <w:r>
        <w:rPr>
          <w:vertAlign w:val="superscript"/>
        </w:rPr>
        <w:t>3</w:t>
      </w:r>
      <w:r>
        <w:t>，多年平均输沙量220万吨，年侵蚀模数220t/km</w:t>
      </w:r>
      <w:r>
        <w:rPr>
          <w:vertAlign w:val="superscript"/>
        </w:rPr>
        <w:t>2</w:t>
      </w:r>
      <w:r>
        <w:t>，多集中在丰水期6-9月，约占全年总量的94%，7-8月最为集中，约占全年总量的72%。</w:t>
      </w:r>
    </w:p>
    <w:p>
      <w:pPr>
        <w:ind w:firstLine="480"/>
      </w:pPr>
      <w:r>
        <w:t>③水温</w:t>
      </w:r>
    </w:p>
    <w:p>
      <w:pPr>
        <w:ind w:firstLine="480"/>
      </w:pPr>
      <w:r>
        <w:t>据莺落峡站多年资料统计，年平均水温约6℃，年最高水温18.6℃（1959年7月26日），最低0℃出现最早时间为11月10日（1973年）。</w:t>
      </w:r>
    </w:p>
    <w:p>
      <w:pPr>
        <w:ind w:firstLine="480"/>
      </w:pPr>
      <w:r>
        <w:t>④冰情</w:t>
      </w:r>
    </w:p>
    <w:p>
      <w:pPr>
        <w:ind w:firstLine="480"/>
      </w:pPr>
      <w:r>
        <w:t>据莺落峡站多年资料，历年开始结冰日期最早为10月11日，最晚为11月21日。开始封冻日期最早为12月28日，最晚为2月1日；解冻日期最早为2月22日，最晚为3月7日。全融冰日期最早为3月10日，最晚为4月5日。封冻天数最长为65天，最短为32天。每年约从11月中旬开始流冰花，三月初有流冰块现象，冰流量约为0.37-2.70m</w:t>
      </w:r>
      <w:r>
        <w:rPr>
          <w:vertAlign w:val="superscript"/>
        </w:rPr>
        <w:t>3</w:t>
      </w:r>
      <w:r>
        <w:t>/s。历年最大岸冰厚1.1米，最小0.52米。最大河心冰厚0.78米，最小0.45米。</w:t>
      </w:r>
    </w:p>
    <w:p>
      <w:pPr>
        <w:ind w:firstLine="482"/>
        <w:rPr>
          <w:b/>
          <w:bCs/>
        </w:rPr>
      </w:pPr>
      <w:r>
        <w:rPr>
          <w:b/>
          <w:bCs/>
        </w:rPr>
        <w:t>（2）地下水资源概况</w:t>
      </w:r>
    </w:p>
    <w:p>
      <w:pPr>
        <w:ind w:firstLine="480"/>
      </w:pPr>
      <w:r>
        <w:t>地下水资源丰富，地下水储量1.0×109m</w:t>
      </w:r>
      <w:r>
        <w:rPr>
          <w:vertAlign w:val="superscript"/>
        </w:rPr>
        <w:t>3</w:t>
      </w:r>
      <w:r>
        <w:t>，动储量达9.9×108m</w:t>
      </w:r>
      <w:r>
        <w:rPr>
          <w:vertAlign w:val="superscript"/>
        </w:rPr>
        <w:t>3</w:t>
      </w:r>
      <w:r>
        <w:t>。张掖盆地主要分布的是第四系中上更新统松散岩类孔隙水。受构造和地貌条件的制约，含水层总的规律是自山前至盆地内部，含水层渐厚，富水性渐好，地下水埋藏深度渐浅，颗粒渐细，由单一的潜水含水层渐变为多层的潜水变为多层的潜水细，由单一的潜水含水层渐变为多层的潜水封冻天200m逐渐递变为1～3m，北部泉水出露，黑河、山丹河河床及其沿岸是天然的泉水溢出地带；洪积扇前缘以北的细土平原，上部为潜水，下部为承压水，并随顶板埋深的增加而水头增高，局部自流。含水层富水性最丰富的地段是黑河然梨园河洪积扇的中下部，单井涌水量大于5000m</w:t>
      </w:r>
      <w:r>
        <w:rPr>
          <w:vertAlign w:val="superscript"/>
        </w:rPr>
        <w:t>3</w:t>
      </w:r>
      <w:r>
        <w:t>/d（单井，降深5m，井管8″，下同）；其次是毗邻扇缘横亘中部地带，为3000～5000m</w:t>
      </w:r>
      <w:r>
        <w:rPr>
          <w:vertAlign w:val="superscript"/>
        </w:rPr>
        <w:t>3</w:t>
      </w:r>
      <w:r>
        <w:t>/d，南北山前地带小于1000m</w:t>
      </w:r>
      <w:r>
        <w:rPr>
          <w:vertAlign w:val="superscript"/>
        </w:rPr>
        <w:t>3</w:t>
      </w:r>
      <w:r>
        <w:t>/d。</w:t>
      </w:r>
    </w:p>
    <w:p>
      <w:pPr>
        <w:pStyle w:val="6"/>
        <w:ind w:firstLine="482"/>
      </w:pPr>
      <w:bookmarkStart w:id="583" w:name="_Toc16149"/>
      <w:r>
        <w:rPr>
          <w:rFonts w:hint="eastAsia"/>
          <w:lang w:val="en-US" w:eastAsia="zh-CN"/>
        </w:rPr>
        <w:t>4</w:t>
      </w:r>
      <w:r>
        <w:t>.1.5</w:t>
      </w:r>
      <w:r>
        <w:rPr>
          <w:rFonts w:hint="eastAsia"/>
        </w:rPr>
        <w:t>、</w:t>
      </w:r>
      <w:r>
        <w:t>土壤、植被</w:t>
      </w:r>
      <w:bookmarkEnd w:id="581"/>
      <w:bookmarkEnd w:id="582"/>
      <w:bookmarkEnd w:id="583"/>
    </w:p>
    <w:p>
      <w:pPr>
        <w:ind w:firstLine="482"/>
        <w:rPr>
          <w:b/>
          <w:bCs/>
        </w:rPr>
      </w:pPr>
      <w:bookmarkStart w:id="584" w:name="_Toc46930104"/>
      <w:bookmarkStart w:id="585" w:name="_Toc59527686"/>
      <w:r>
        <w:rPr>
          <w:b/>
          <w:bCs/>
        </w:rPr>
        <w:t>（1）土壤</w:t>
      </w:r>
    </w:p>
    <w:p>
      <w:pPr>
        <w:ind w:firstLine="480"/>
      </w:pPr>
      <w:r>
        <w:t>甘州区土壤为土类、亚类、土属、土种4级。其中土类11个，亚类26个，土属36个，土种75个。项目区土母质主要由第四纪冲洪黄土状沉积物与其下层的沙砾石组成，地质较为单一。土壤主要以绿洲灌淤土和潮土为主。绿洲灌淤土由草甸土、潮土、风沙土、灰棕漠土，灰钙土演变而成。在自然土壤的基础上，经过黑河长期灌溉和2100多年的耕作，培肥而形成。其有机质含量1.5%左右，水分和气、热条件好，微生物和蚯蚓活动旺盛，土壤团粒结构好，腐殖质和营养元素较高，是主要的农业耕作土壤。潮土因地下水位高而影响土壤养分转化，土体粘粒明显下降，有不同程度的盐化。经过长期耕作、施肥、耕作层加厚，土壤养分含量增加，是仅次于灌淤土的农业耕作土壤。</w:t>
      </w:r>
    </w:p>
    <w:p>
      <w:pPr>
        <w:ind w:firstLine="482"/>
      </w:pPr>
      <w:r>
        <w:rPr>
          <w:b/>
          <w:bCs/>
        </w:rPr>
        <w:t>（2）植被</w:t>
      </w:r>
    </w:p>
    <w:p>
      <w:pPr>
        <w:ind w:firstLine="480"/>
      </w:pPr>
      <w:r>
        <w:t>甘州区植被受地形、气候、水文、土壤和人类生产活动等因素的影响，北部山地北坡具有垂直地带性分布，平原地区受人类活动影响主要为栽培作物及荒漠草原、沼泽草甸，其类型大体分为森林、灌丛、草原、荒漠、草甸、沼泽和载培植被7类。项目区内植物覆盖率较高，群落比较单调。主要以栽培植被为主，如各类农作物、人工林、防风固沙林、经济林等。由于地下水埋深浅，生成着盐生草甸及沼泽草甸，低洼处、道沟旁长有小灯心草、冰草及人工种植的杨树、沙枣树等。</w:t>
      </w:r>
    </w:p>
    <w:p>
      <w:pPr>
        <w:pStyle w:val="6"/>
        <w:ind w:firstLine="482"/>
      </w:pPr>
      <w:bookmarkStart w:id="586" w:name="_Toc16341"/>
      <w:r>
        <w:rPr>
          <w:rFonts w:hint="eastAsia"/>
          <w:lang w:val="en-US" w:eastAsia="zh-CN"/>
        </w:rPr>
        <w:t>4</w:t>
      </w:r>
      <w:r>
        <w:t>.1.6</w:t>
      </w:r>
      <w:r>
        <w:rPr>
          <w:rFonts w:hint="eastAsia"/>
        </w:rPr>
        <w:t>、</w:t>
      </w:r>
      <w:r>
        <w:t>资源</w:t>
      </w:r>
      <w:bookmarkEnd w:id="584"/>
      <w:bookmarkEnd w:id="585"/>
      <w:r>
        <w:t>状况</w:t>
      </w:r>
      <w:bookmarkEnd w:id="586"/>
    </w:p>
    <w:p>
      <w:pPr>
        <w:ind w:firstLine="480"/>
      </w:pPr>
      <w:r>
        <w:t>甘州区资源较为丰富，土地资源、水资源丰富，黑河、梨园河、洪水河、马营河、大都麻河、童子坝河流径全区面积13938平方公里，森林面积545.7万亩，林木蓄积量达1297.7万立方米，主要矿产资源有铁、锰、铜、汞、锑、金、煤炭、石灰岩、白云岩、食盐、石膏、硅石、花岗岩、高岭土等。</w:t>
      </w:r>
    </w:p>
    <w:p>
      <w:pPr>
        <w:ind w:firstLine="480"/>
      </w:pPr>
      <w:r>
        <w:t>境内野生动物分布在自然保护区，有50多种野生动物，其中有8种国家级保护动物。项目厂址附近无自然保护区。</w:t>
      </w:r>
    </w:p>
    <w:p>
      <w:pPr>
        <w:pStyle w:val="6"/>
        <w:ind w:firstLine="482"/>
      </w:pPr>
      <w:bookmarkStart w:id="587" w:name="_Toc46930105"/>
      <w:bookmarkStart w:id="588" w:name="_Toc59527687"/>
      <w:bookmarkStart w:id="589" w:name="_Toc9617"/>
      <w:r>
        <w:rPr>
          <w:rFonts w:hint="eastAsia"/>
          <w:lang w:val="en-US" w:eastAsia="zh-CN"/>
        </w:rPr>
        <w:t>4</w:t>
      </w:r>
      <w:r>
        <w:t>.1.7</w:t>
      </w:r>
      <w:bookmarkEnd w:id="587"/>
      <w:bookmarkEnd w:id="588"/>
      <w:r>
        <w:rPr>
          <w:rFonts w:hint="eastAsia"/>
        </w:rPr>
        <w:t>、</w:t>
      </w:r>
      <w:r>
        <w:t>文物古迹</w:t>
      </w:r>
      <w:bookmarkEnd w:id="589"/>
    </w:p>
    <w:p>
      <w:pPr>
        <w:ind w:firstLine="480"/>
      </w:pPr>
      <w:r>
        <w:t>甘州区历史悠久，文化灿烂，山川秀美，民风淳朴。1986年甘州区被国务院确定为国家级历史文化名城。这里曾是北凉国的国都、行都司的首府，甘肃省省会的历朝诸代设州置府的治所，素有“塞上锁钥”之称。甘州区内汉明长城，历代石窟、寺庙、碑塔、古城、烽燧、墓葬群星罗棋布。始建于魏晋时期的马蹄寺、金塔寺，保存着文物价值极高的雕塑、壁画。始建于西夏的张掖大佛寺，室内巨大的泥塑卧佛，为全国之最。汉代黑水国遗址、清代木塔、明代镇远楼享誉中外。</w:t>
      </w:r>
    </w:p>
    <w:p>
      <w:pPr>
        <w:ind w:firstLine="480"/>
      </w:pPr>
      <w:r>
        <w:t>项目占地范围内无风景名胜区和自然保护区，无国家、省级重点保护文物古迹。</w:t>
      </w:r>
    </w:p>
    <w:bookmarkEnd w:id="574"/>
    <w:bookmarkEnd w:id="575"/>
    <w:bookmarkEnd w:id="576"/>
    <w:bookmarkEnd w:id="577"/>
    <w:p>
      <w:pPr>
        <w:pStyle w:val="5"/>
        <w:spacing w:before="78" w:after="78"/>
        <w:ind w:firstLine="562"/>
      </w:pPr>
      <w:bookmarkStart w:id="590" w:name="_Toc13349_WPSOffice_Level1"/>
      <w:bookmarkStart w:id="591" w:name="_Toc13878"/>
      <w:bookmarkStart w:id="592" w:name="_Toc2329"/>
      <w:bookmarkStart w:id="593" w:name="_Toc29973"/>
      <w:r>
        <w:rPr>
          <w:rFonts w:hint="eastAsia"/>
          <w:lang w:val="en-US" w:eastAsia="zh-CN"/>
        </w:rPr>
        <w:t>4</w:t>
      </w:r>
      <w:r>
        <w:t>.2</w:t>
      </w:r>
      <w:r>
        <w:rPr>
          <w:rFonts w:hint="eastAsia"/>
        </w:rPr>
        <w:t>、</w:t>
      </w:r>
      <w:r>
        <w:t>环境质量现状</w:t>
      </w:r>
      <w:bookmarkEnd w:id="590"/>
      <w:bookmarkEnd w:id="591"/>
      <w:bookmarkEnd w:id="592"/>
      <w:bookmarkEnd w:id="593"/>
    </w:p>
    <w:p>
      <w:pPr>
        <w:pStyle w:val="6"/>
        <w:ind w:firstLine="482"/>
      </w:pPr>
      <w:bookmarkStart w:id="594" w:name="_Toc21693_WPSOffice_Level2"/>
      <w:bookmarkStart w:id="595" w:name="_Toc17985_WPSOffice_Level2"/>
      <w:bookmarkStart w:id="596" w:name="_Toc19689"/>
      <w:bookmarkStart w:id="597" w:name="_Toc6498"/>
      <w:bookmarkStart w:id="598" w:name="_Toc9420"/>
      <w:r>
        <w:rPr>
          <w:rFonts w:hint="eastAsia"/>
          <w:lang w:val="en-US" w:eastAsia="zh-CN"/>
        </w:rPr>
        <w:t>4</w:t>
      </w:r>
      <w:r>
        <w:t>.2.1</w:t>
      </w:r>
      <w:r>
        <w:rPr>
          <w:rFonts w:hint="eastAsia"/>
        </w:rPr>
        <w:t>、</w:t>
      </w:r>
      <w:r>
        <w:t>环境空气质量现状</w:t>
      </w:r>
      <w:bookmarkEnd w:id="594"/>
      <w:bookmarkEnd w:id="595"/>
      <w:bookmarkEnd w:id="596"/>
    </w:p>
    <w:p>
      <w:pPr>
        <w:pStyle w:val="7"/>
        <w:ind w:firstLine="482"/>
      </w:pPr>
      <w:bookmarkStart w:id="599" w:name="_Toc22951_WPSOffice_Level3"/>
      <w:bookmarkStart w:id="600" w:name="_Toc1705_WPSOffice_Level3"/>
      <w:bookmarkStart w:id="601" w:name="_Toc29126_WPSOffice_Level3"/>
      <w:bookmarkStart w:id="602" w:name="_Toc662_WPSOffice_Level3"/>
      <w:bookmarkStart w:id="603" w:name="_Toc6297_WPSOffice_Level3"/>
      <w:bookmarkStart w:id="604" w:name="_Toc23664_WPSOffice_Level3"/>
      <w:r>
        <w:rPr>
          <w:rFonts w:hint="eastAsia"/>
          <w:lang w:val="en-US" w:eastAsia="zh-CN"/>
        </w:rPr>
        <w:t>4</w:t>
      </w:r>
      <w:r>
        <w:rPr>
          <w:rFonts w:hint="eastAsia"/>
        </w:rPr>
        <w:t>.2.1.1、环境</w:t>
      </w:r>
      <w:r>
        <w:t>空气质量达标区判定</w:t>
      </w:r>
      <w:bookmarkEnd w:id="599"/>
      <w:bookmarkEnd w:id="600"/>
      <w:bookmarkEnd w:id="601"/>
      <w:bookmarkEnd w:id="602"/>
      <w:bookmarkEnd w:id="603"/>
      <w:bookmarkEnd w:id="604"/>
    </w:p>
    <w:bookmarkEnd w:id="597"/>
    <w:bookmarkEnd w:id="598"/>
    <w:p>
      <w:pPr>
        <w:ind w:firstLine="480"/>
        <w:rPr>
          <w:color w:val="000000" w:themeColor="text1"/>
          <w14:textFill>
            <w14:solidFill>
              <w14:schemeClr w14:val="tx1"/>
            </w14:solidFill>
          </w14:textFill>
        </w:rPr>
      </w:pPr>
      <w:bookmarkStart w:id="605" w:name="_Toc16959_WPSOffice_Level3"/>
      <w:bookmarkStart w:id="606" w:name="_Toc22398_WPSOffice_Level3"/>
      <w:bookmarkStart w:id="607" w:name="_Toc21809_WPSOffice_Level3"/>
      <w:bookmarkStart w:id="608" w:name="_Toc16921_WPSOffice_Level3"/>
      <w:bookmarkStart w:id="609" w:name="_Toc31075_WPSOffice_Level3"/>
      <w:r>
        <w:rPr>
          <w:color w:val="000000" w:themeColor="text1"/>
          <w14:textFill>
            <w14:solidFill>
              <w14:schemeClr w14:val="tx1"/>
            </w14:solidFill>
          </w14:textFill>
        </w:rPr>
        <w:t>根据《环境影响评价技术导则 大气环境》（HJ2.2-2018）第6.2.1.1条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项目所在区域达标判定，优先选用国家或地方生态主管部门公开发布的评价基准年环境质量公告或环境质量公告中的数据或结论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480"/>
      </w:pPr>
      <w:r>
        <w:rPr>
          <w:color w:val="000000" w:themeColor="text1"/>
          <w14:textFill>
            <w14:solidFill>
              <w14:schemeClr w14:val="tx1"/>
            </w14:solidFill>
          </w14:textFill>
        </w:rPr>
        <w:t>本次评价引用</w:t>
      </w:r>
      <w:r>
        <w:rPr>
          <w:rFonts w:hint="eastAsia"/>
          <w:color w:val="000000" w:themeColor="text1"/>
          <w14:textFill>
            <w14:solidFill>
              <w14:schemeClr w14:val="tx1"/>
            </w14:solidFill>
          </w14:textFill>
        </w:rPr>
        <w:t>张掖市2021</w:t>
      </w:r>
      <w:r>
        <w:rPr>
          <w:color w:val="000000" w:themeColor="text1"/>
          <w14:textFill>
            <w14:solidFill>
              <w14:schemeClr w14:val="tx1"/>
            </w14:solidFill>
          </w14:textFill>
        </w:rPr>
        <w:t>年</w:t>
      </w:r>
      <w:r>
        <w:rPr>
          <w:rFonts w:hint="eastAsia"/>
          <w:color w:val="000000" w:themeColor="text1"/>
          <w14:textFill>
            <w14:solidFill>
              <w14:schemeClr w14:val="tx1"/>
            </w14:solidFill>
          </w14:textFill>
        </w:rPr>
        <w:t>生态</w:t>
      </w:r>
      <w:r>
        <w:rPr>
          <w:color w:val="000000" w:themeColor="text1"/>
          <w14:textFill>
            <w14:solidFill>
              <w14:schemeClr w14:val="tx1"/>
            </w14:solidFill>
          </w14:textFill>
        </w:rPr>
        <w:t>环境</w:t>
      </w:r>
      <w:r>
        <w:rPr>
          <w:rFonts w:hint="eastAsia"/>
          <w:color w:val="000000" w:themeColor="text1"/>
          <w14:textFill>
            <w14:solidFill>
              <w14:schemeClr w14:val="tx1"/>
            </w14:solidFill>
          </w14:textFill>
        </w:rPr>
        <w:t>状况公报中的</w:t>
      </w:r>
      <w:r>
        <w:rPr>
          <w:color w:val="000000" w:themeColor="text1"/>
          <w14:textFill>
            <w14:solidFill>
              <w14:schemeClr w14:val="tx1"/>
            </w14:solidFill>
          </w14:textFill>
        </w:rPr>
        <w:t>数据进行达标区判定。</w:t>
      </w:r>
      <w:r>
        <w:rPr>
          <w:rFonts w:hint="eastAsia"/>
        </w:rPr>
        <w:t>根据张掖市2021</w:t>
      </w:r>
      <w:r>
        <w:rPr>
          <w:rFonts w:hint="eastAsia"/>
          <w:color w:val="000000" w:themeColor="text1"/>
          <w14:textFill>
            <w14:solidFill>
              <w14:schemeClr w14:val="tx1"/>
            </w14:solidFill>
          </w14:textFill>
        </w:rPr>
        <w:t>生态</w:t>
      </w:r>
      <w:r>
        <w:rPr>
          <w:color w:val="000000" w:themeColor="text1"/>
          <w14:textFill>
            <w14:solidFill>
              <w14:schemeClr w14:val="tx1"/>
            </w14:solidFill>
          </w14:textFill>
        </w:rPr>
        <w:t>环境</w:t>
      </w:r>
      <w:r>
        <w:rPr>
          <w:rFonts w:hint="eastAsia"/>
          <w:color w:val="000000" w:themeColor="text1"/>
          <w14:textFill>
            <w14:solidFill>
              <w14:schemeClr w14:val="tx1"/>
            </w14:solidFill>
          </w14:textFill>
        </w:rPr>
        <w:t>状况公报可知</w:t>
      </w:r>
      <w:r>
        <w:rPr>
          <w:rFonts w:hint="eastAsia"/>
        </w:rPr>
        <w:t>，</w:t>
      </w:r>
      <w:r>
        <w:t>202</w:t>
      </w:r>
      <w:r>
        <w:rPr>
          <w:rFonts w:hint="eastAsia"/>
        </w:rPr>
        <w:t>1</w:t>
      </w:r>
      <w:r>
        <w:t>年</w:t>
      </w:r>
      <w:r>
        <w:rPr>
          <w:rFonts w:hint="eastAsia"/>
        </w:rPr>
        <w:t>张掖市</w:t>
      </w:r>
      <w:r>
        <w:t>环境空气质量可吸入颗粒物PM</w:t>
      </w:r>
      <w:r>
        <w:rPr>
          <w:vertAlign w:val="subscript"/>
        </w:rPr>
        <w:t>10</w:t>
      </w:r>
      <w:r>
        <w:t>年均浓度值5</w:t>
      </w:r>
      <w:r>
        <w:rPr>
          <w:rFonts w:hint="eastAsia"/>
        </w:rPr>
        <w:t>2</w:t>
      </w:r>
      <w:r>
        <w:t>微克/立方米、细颗粒物PM</w:t>
      </w:r>
      <w:r>
        <w:rPr>
          <w:vertAlign w:val="subscript"/>
        </w:rPr>
        <w:t>2.5</w:t>
      </w:r>
      <w:r>
        <w:t>年均浓度值</w:t>
      </w:r>
      <w:r>
        <w:rPr>
          <w:rFonts w:hint="eastAsia"/>
        </w:rPr>
        <w:t>25</w:t>
      </w:r>
      <w:r>
        <w:t>微克/立方米、二氧化硫年均浓度值</w:t>
      </w:r>
      <w:r>
        <w:rPr>
          <w:rFonts w:hint="eastAsia"/>
        </w:rPr>
        <w:t>9</w:t>
      </w:r>
      <w:r>
        <w:t>微克/立方米、二氧化氮年均浓度值2</w:t>
      </w:r>
      <w:r>
        <w:rPr>
          <w:rFonts w:hint="eastAsia"/>
        </w:rPr>
        <w:t>3</w:t>
      </w:r>
      <w:r>
        <w:t>微克/立方米、一氧化碳日均浓度值0.8毫克/立方米、臭氧日最大8小时浓度值</w:t>
      </w:r>
      <w:r>
        <w:rPr>
          <w:rFonts w:hint="eastAsia"/>
        </w:rPr>
        <w:t>127</w:t>
      </w:r>
      <w:r>
        <w:t>微克/立方米。</w:t>
      </w:r>
      <w:r>
        <w:rPr>
          <w:szCs w:val="20"/>
        </w:rPr>
        <w:t>区域PM</w:t>
      </w:r>
      <w:r>
        <w:rPr>
          <w:szCs w:val="20"/>
          <w:vertAlign w:val="subscript"/>
        </w:rPr>
        <w:t>10</w:t>
      </w:r>
      <w:r>
        <w:rPr>
          <w:szCs w:val="20"/>
        </w:rPr>
        <w:t>、SO</w:t>
      </w:r>
      <w:r>
        <w:rPr>
          <w:szCs w:val="20"/>
          <w:vertAlign w:val="subscript"/>
        </w:rPr>
        <w:t>2</w:t>
      </w:r>
      <w:r>
        <w:rPr>
          <w:szCs w:val="20"/>
        </w:rPr>
        <w:t>、NO、CO、O</w:t>
      </w:r>
      <w:r>
        <w:rPr>
          <w:szCs w:val="20"/>
          <w:vertAlign w:val="subscript"/>
        </w:rPr>
        <w:t>3</w:t>
      </w:r>
      <w:r>
        <w:rPr>
          <w:szCs w:val="20"/>
        </w:rPr>
        <w:t>、PM</w:t>
      </w:r>
      <w:r>
        <w:rPr>
          <w:szCs w:val="20"/>
          <w:vertAlign w:val="subscript"/>
        </w:rPr>
        <w:t>2.5</w:t>
      </w:r>
      <w:r>
        <w:rPr>
          <w:szCs w:val="20"/>
        </w:rPr>
        <w:t>均满足《环境空气质量标准》（GB3095-2012）二级标准限值要求，</w:t>
      </w:r>
      <w:r>
        <w:rPr>
          <w:rFonts w:hint="eastAsia"/>
          <w:szCs w:val="20"/>
        </w:rPr>
        <w:t>因此</w:t>
      </w:r>
      <w:r>
        <w:t>本项目所在区域属于</w:t>
      </w:r>
      <w:r>
        <w:rPr>
          <w:rFonts w:hint="eastAsia"/>
        </w:rPr>
        <w:t>环境空气质量</w:t>
      </w:r>
      <w:r>
        <w:t>达标区。</w:t>
      </w:r>
    </w:p>
    <w:p>
      <w:pPr>
        <w:spacing w:line="240" w:lineRule="auto"/>
        <w:ind w:firstLine="482"/>
        <w:jc w:val="center"/>
      </w:pPr>
      <w:r>
        <w:rPr>
          <w:rFonts w:hint="eastAsia"/>
          <w:b/>
          <w:bCs/>
        </w:rPr>
        <w:t>表</w:t>
      </w:r>
      <w:r>
        <w:rPr>
          <w:rFonts w:hint="eastAsia"/>
          <w:b/>
          <w:bCs/>
          <w:lang w:val="en-US" w:eastAsia="zh-CN"/>
        </w:rPr>
        <w:t>4</w:t>
      </w:r>
      <w:r>
        <w:rPr>
          <w:rFonts w:hint="eastAsia"/>
          <w:b/>
          <w:bCs/>
        </w:rPr>
        <w:t>.1    区域空气质量现状评价表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2001"/>
        <w:gridCol w:w="1281"/>
        <w:gridCol w:w="1265"/>
        <w:gridCol w:w="1605"/>
        <w:gridCol w:w="1355"/>
        <w:gridCol w:w="1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污染物</w:t>
            </w:r>
          </w:p>
        </w:tc>
        <w:tc>
          <w:tcPr>
            <w:tcW w:w="1003"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年评价指标</w:t>
            </w:r>
          </w:p>
        </w:tc>
        <w:tc>
          <w:tcPr>
            <w:tcW w:w="643"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现状浓度</w:t>
            </w:r>
          </w:p>
        </w:tc>
        <w:tc>
          <w:tcPr>
            <w:tcW w:w="635"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标准值</w:t>
            </w:r>
          </w:p>
        </w:tc>
        <w:tc>
          <w:tcPr>
            <w:tcW w:w="806"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占标率（%）</w:t>
            </w:r>
          </w:p>
        </w:tc>
        <w:tc>
          <w:tcPr>
            <w:tcW w:w="680"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超标倍数</w:t>
            </w:r>
          </w:p>
        </w:tc>
        <w:tc>
          <w:tcPr>
            <w:tcW w:w="683" w:type="pct"/>
            <w:tcBorders>
              <w:tl2br w:val="nil"/>
              <w:tr2bl w:val="nil"/>
            </w:tcBorders>
            <w:vAlign w:val="center"/>
          </w:tcPr>
          <w:p>
            <w:pPr>
              <w:snapToGrid w:val="0"/>
              <w:spacing w:line="240" w:lineRule="auto"/>
              <w:ind w:firstLine="0" w:firstLineChars="0"/>
              <w:jc w:val="center"/>
              <w:rPr>
                <w:b/>
                <w:bCs/>
                <w:kern w:val="0"/>
                <w:sz w:val="21"/>
                <w:szCs w:val="21"/>
              </w:rPr>
            </w:pPr>
            <w:r>
              <w:rPr>
                <w:b/>
                <w:bCs/>
                <w:kern w:val="0"/>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PM</w:t>
            </w:r>
            <w:r>
              <w:rPr>
                <w:kern w:val="0"/>
                <w:sz w:val="21"/>
                <w:szCs w:val="21"/>
                <w:vertAlign w:val="subscript"/>
              </w:rPr>
              <w:t>10</w:t>
            </w:r>
          </w:p>
        </w:tc>
        <w:tc>
          <w:tcPr>
            <w:tcW w:w="100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年平均质量浓度</w:t>
            </w:r>
          </w:p>
        </w:tc>
        <w:tc>
          <w:tcPr>
            <w:tcW w:w="64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52μg/m</w:t>
            </w:r>
            <w:r>
              <w:rPr>
                <w:kern w:val="0"/>
                <w:sz w:val="21"/>
                <w:szCs w:val="21"/>
                <w:vertAlign w:val="superscript"/>
              </w:rPr>
              <w:t>3</w:t>
            </w:r>
          </w:p>
        </w:tc>
        <w:tc>
          <w:tcPr>
            <w:tcW w:w="635"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70μg/m</w:t>
            </w:r>
            <w:r>
              <w:rPr>
                <w:kern w:val="0"/>
                <w:sz w:val="21"/>
                <w:szCs w:val="21"/>
                <w:vertAlign w:val="superscript"/>
              </w:rPr>
              <w:t>3</w:t>
            </w:r>
          </w:p>
        </w:tc>
        <w:tc>
          <w:tcPr>
            <w:tcW w:w="806"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74.28</w:t>
            </w:r>
          </w:p>
        </w:tc>
        <w:tc>
          <w:tcPr>
            <w:tcW w:w="680"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w:t>
            </w:r>
          </w:p>
        </w:tc>
        <w:tc>
          <w:tcPr>
            <w:tcW w:w="68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PM</w:t>
            </w:r>
            <w:r>
              <w:rPr>
                <w:kern w:val="0"/>
                <w:sz w:val="21"/>
                <w:szCs w:val="21"/>
                <w:vertAlign w:val="subscript"/>
              </w:rPr>
              <w:t>2.5</w:t>
            </w:r>
          </w:p>
        </w:tc>
        <w:tc>
          <w:tcPr>
            <w:tcW w:w="100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年平均质量浓度</w:t>
            </w:r>
          </w:p>
        </w:tc>
        <w:tc>
          <w:tcPr>
            <w:tcW w:w="64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25μg/m</w:t>
            </w:r>
            <w:r>
              <w:rPr>
                <w:kern w:val="0"/>
                <w:sz w:val="21"/>
                <w:szCs w:val="21"/>
                <w:vertAlign w:val="superscript"/>
              </w:rPr>
              <w:t>3</w:t>
            </w:r>
          </w:p>
        </w:tc>
        <w:tc>
          <w:tcPr>
            <w:tcW w:w="635"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35μg/m</w:t>
            </w:r>
            <w:r>
              <w:rPr>
                <w:kern w:val="0"/>
                <w:sz w:val="21"/>
                <w:szCs w:val="21"/>
                <w:vertAlign w:val="superscript"/>
              </w:rPr>
              <w:t>3</w:t>
            </w:r>
          </w:p>
        </w:tc>
        <w:tc>
          <w:tcPr>
            <w:tcW w:w="806"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71.43</w:t>
            </w:r>
          </w:p>
        </w:tc>
        <w:tc>
          <w:tcPr>
            <w:tcW w:w="680"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w:t>
            </w:r>
          </w:p>
        </w:tc>
        <w:tc>
          <w:tcPr>
            <w:tcW w:w="68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SO</w:t>
            </w:r>
            <w:r>
              <w:rPr>
                <w:kern w:val="0"/>
                <w:sz w:val="21"/>
                <w:szCs w:val="21"/>
                <w:vertAlign w:val="subscript"/>
              </w:rPr>
              <w:t>2</w:t>
            </w:r>
          </w:p>
        </w:tc>
        <w:tc>
          <w:tcPr>
            <w:tcW w:w="100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年平均质量浓度</w:t>
            </w:r>
          </w:p>
        </w:tc>
        <w:tc>
          <w:tcPr>
            <w:tcW w:w="64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9μg/m</w:t>
            </w:r>
            <w:r>
              <w:rPr>
                <w:kern w:val="0"/>
                <w:sz w:val="21"/>
                <w:szCs w:val="21"/>
                <w:vertAlign w:val="superscript"/>
              </w:rPr>
              <w:t>3</w:t>
            </w:r>
          </w:p>
        </w:tc>
        <w:tc>
          <w:tcPr>
            <w:tcW w:w="635"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60μg/m</w:t>
            </w:r>
            <w:r>
              <w:rPr>
                <w:kern w:val="0"/>
                <w:sz w:val="21"/>
                <w:szCs w:val="21"/>
                <w:vertAlign w:val="superscript"/>
              </w:rPr>
              <w:t>3</w:t>
            </w:r>
          </w:p>
        </w:tc>
        <w:tc>
          <w:tcPr>
            <w:tcW w:w="806"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15.00</w:t>
            </w:r>
          </w:p>
        </w:tc>
        <w:tc>
          <w:tcPr>
            <w:tcW w:w="680"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w:t>
            </w:r>
          </w:p>
        </w:tc>
        <w:tc>
          <w:tcPr>
            <w:tcW w:w="68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NO</w:t>
            </w:r>
            <w:r>
              <w:rPr>
                <w:kern w:val="0"/>
                <w:sz w:val="21"/>
                <w:szCs w:val="21"/>
                <w:vertAlign w:val="subscript"/>
              </w:rPr>
              <w:t>2</w:t>
            </w:r>
          </w:p>
        </w:tc>
        <w:tc>
          <w:tcPr>
            <w:tcW w:w="100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年平均质量浓度</w:t>
            </w:r>
          </w:p>
        </w:tc>
        <w:tc>
          <w:tcPr>
            <w:tcW w:w="64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23μg/m</w:t>
            </w:r>
            <w:r>
              <w:rPr>
                <w:kern w:val="0"/>
                <w:sz w:val="21"/>
                <w:szCs w:val="21"/>
                <w:vertAlign w:val="superscript"/>
              </w:rPr>
              <w:t>3</w:t>
            </w:r>
          </w:p>
        </w:tc>
        <w:tc>
          <w:tcPr>
            <w:tcW w:w="635"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40μg/m</w:t>
            </w:r>
            <w:r>
              <w:rPr>
                <w:kern w:val="0"/>
                <w:sz w:val="21"/>
                <w:szCs w:val="21"/>
                <w:vertAlign w:val="superscript"/>
              </w:rPr>
              <w:t>3</w:t>
            </w:r>
          </w:p>
        </w:tc>
        <w:tc>
          <w:tcPr>
            <w:tcW w:w="806"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57.50</w:t>
            </w:r>
          </w:p>
        </w:tc>
        <w:tc>
          <w:tcPr>
            <w:tcW w:w="680"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w:t>
            </w:r>
          </w:p>
        </w:tc>
        <w:tc>
          <w:tcPr>
            <w:tcW w:w="68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CO</w:t>
            </w:r>
          </w:p>
        </w:tc>
        <w:tc>
          <w:tcPr>
            <w:tcW w:w="100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95百分位数日平均质量浓度</w:t>
            </w:r>
          </w:p>
        </w:tc>
        <w:tc>
          <w:tcPr>
            <w:tcW w:w="64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0.8mg/m</w:t>
            </w:r>
            <w:r>
              <w:rPr>
                <w:kern w:val="0"/>
                <w:sz w:val="21"/>
                <w:szCs w:val="21"/>
                <w:vertAlign w:val="superscript"/>
              </w:rPr>
              <w:t>3</w:t>
            </w:r>
          </w:p>
        </w:tc>
        <w:tc>
          <w:tcPr>
            <w:tcW w:w="635"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4mg/m</w:t>
            </w:r>
            <w:r>
              <w:rPr>
                <w:kern w:val="0"/>
                <w:sz w:val="21"/>
                <w:szCs w:val="21"/>
                <w:vertAlign w:val="superscript"/>
              </w:rPr>
              <w:t>3</w:t>
            </w:r>
          </w:p>
        </w:tc>
        <w:tc>
          <w:tcPr>
            <w:tcW w:w="806"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20.00</w:t>
            </w:r>
          </w:p>
        </w:tc>
        <w:tc>
          <w:tcPr>
            <w:tcW w:w="680"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w:t>
            </w:r>
          </w:p>
        </w:tc>
        <w:tc>
          <w:tcPr>
            <w:tcW w:w="68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7"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O</w:t>
            </w:r>
            <w:r>
              <w:rPr>
                <w:kern w:val="0"/>
                <w:sz w:val="21"/>
                <w:szCs w:val="21"/>
                <w:vertAlign w:val="subscript"/>
              </w:rPr>
              <w:t>3</w:t>
            </w:r>
          </w:p>
        </w:tc>
        <w:tc>
          <w:tcPr>
            <w:tcW w:w="100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90百分位数8h平均质量浓度</w:t>
            </w:r>
          </w:p>
        </w:tc>
        <w:tc>
          <w:tcPr>
            <w:tcW w:w="64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127μg/m</w:t>
            </w:r>
            <w:r>
              <w:rPr>
                <w:kern w:val="0"/>
                <w:sz w:val="21"/>
                <w:szCs w:val="21"/>
                <w:vertAlign w:val="superscript"/>
              </w:rPr>
              <w:t>3</w:t>
            </w:r>
          </w:p>
        </w:tc>
        <w:tc>
          <w:tcPr>
            <w:tcW w:w="635"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160μg/m</w:t>
            </w:r>
            <w:r>
              <w:rPr>
                <w:kern w:val="0"/>
                <w:sz w:val="21"/>
                <w:szCs w:val="21"/>
                <w:vertAlign w:val="superscript"/>
              </w:rPr>
              <w:t>3</w:t>
            </w:r>
          </w:p>
        </w:tc>
        <w:tc>
          <w:tcPr>
            <w:tcW w:w="806"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79.38</w:t>
            </w:r>
          </w:p>
        </w:tc>
        <w:tc>
          <w:tcPr>
            <w:tcW w:w="680"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0</w:t>
            </w:r>
          </w:p>
        </w:tc>
        <w:tc>
          <w:tcPr>
            <w:tcW w:w="683" w:type="pct"/>
            <w:tcBorders>
              <w:tl2br w:val="nil"/>
              <w:tr2bl w:val="nil"/>
            </w:tcBorders>
            <w:vAlign w:val="center"/>
          </w:tcPr>
          <w:p>
            <w:pPr>
              <w:snapToGrid w:val="0"/>
              <w:spacing w:line="240" w:lineRule="auto"/>
              <w:ind w:firstLine="0" w:firstLineChars="0"/>
              <w:jc w:val="center"/>
              <w:rPr>
                <w:kern w:val="0"/>
                <w:sz w:val="21"/>
                <w:szCs w:val="21"/>
              </w:rPr>
            </w:pPr>
            <w:r>
              <w:rPr>
                <w:kern w:val="0"/>
                <w:sz w:val="21"/>
                <w:szCs w:val="21"/>
              </w:rPr>
              <w:t>达标</w:t>
            </w:r>
          </w:p>
        </w:tc>
      </w:tr>
    </w:tbl>
    <w:p>
      <w:pPr>
        <w:pStyle w:val="7"/>
        <w:ind w:firstLine="482"/>
      </w:pPr>
      <w:bookmarkStart w:id="610" w:name="_Toc3112_WPSOffice_Level3"/>
      <w:bookmarkStart w:id="611" w:name="_Toc18873_WPSOffice_Level3"/>
      <w:bookmarkStart w:id="612" w:name="_Toc14323_WPSOffice_Level3"/>
      <w:r>
        <w:rPr>
          <w:rFonts w:hint="eastAsia"/>
          <w:lang w:val="en-US" w:eastAsia="zh-CN"/>
        </w:rPr>
        <w:t>4</w:t>
      </w:r>
      <w:r>
        <w:t>.2.</w:t>
      </w:r>
      <w:r>
        <w:rPr>
          <w:rFonts w:hint="eastAsia"/>
        </w:rPr>
        <w:t>1</w:t>
      </w:r>
      <w:r>
        <w:t>.</w:t>
      </w:r>
      <w:r>
        <w:rPr>
          <w:rFonts w:hint="eastAsia"/>
        </w:rPr>
        <w:t>2、</w:t>
      </w:r>
      <w:bookmarkEnd w:id="610"/>
      <w:r>
        <w:rPr>
          <w:rFonts w:hint="eastAsia"/>
        </w:rPr>
        <w:t>污染物补充监测</w:t>
      </w:r>
    </w:p>
    <w:p>
      <w:pPr>
        <w:ind w:firstLine="480"/>
      </w:pPr>
      <w:r>
        <w:t>本次</w:t>
      </w:r>
      <w:r>
        <w:rPr>
          <w:rFonts w:hint="eastAsia"/>
        </w:rPr>
        <w:t>评价</w:t>
      </w:r>
      <w:r>
        <w:t>依据《环境影响评价技术导则-大气环境》（HJ2.2-2018）中</w:t>
      </w:r>
      <w:r>
        <w:rPr>
          <w:rFonts w:hint="eastAsia"/>
        </w:rPr>
        <w:t>“</w:t>
      </w:r>
      <w:r>
        <w:t>6.3补充监测</w:t>
      </w:r>
      <w:r>
        <w:rPr>
          <w:rFonts w:hint="eastAsia"/>
        </w:rPr>
        <w:t>”</w:t>
      </w:r>
      <w:r>
        <w:t>的要求，</w:t>
      </w:r>
      <w:r>
        <w:rPr>
          <w:rFonts w:hint="eastAsia"/>
          <w:lang w:val="en-US" w:eastAsia="zh-CN"/>
        </w:rPr>
        <w:t>张掖市沅博农牧产业开发有限公司</w:t>
      </w:r>
      <w:r>
        <w:t>委托</w:t>
      </w:r>
      <w:r>
        <w:rPr>
          <w:rFonts w:hint="eastAsia"/>
        </w:rPr>
        <w:t>甘肃沁园环保科技有限公司</w:t>
      </w:r>
      <w:r>
        <w:t>于</w:t>
      </w:r>
      <w:r>
        <w:rPr>
          <w:rFonts w:hint="eastAsia"/>
        </w:rPr>
        <w:t>2022年5月31日~6月6日</w:t>
      </w:r>
      <w:r>
        <w:t>对评价区</w:t>
      </w:r>
      <w:r>
        <w:rPr>
          <w:rFonts w:hint="eastAsia"/>
        </w:rPr>
        <w:t>硫化氢、氨</w:t>
      </w:r>
      <w:r>
        <w:t>进行</w:t>
      </w:r>
      <w:r>
        <w:rPr>
          <w:rFonts w:hint="eastAsia"/>
        </w:rPr>
        <w:t>了</w:t>
      </w:r>
      <w:r>
        <w:t>现状监测</w:t>
      </w:r>
      <w:r>
        <w:rPr>
          <w:rFonts w:hint="eastAsia"/>
          <w:lang w:eastAsia="zh-CN"/>
        </w:rPr>
        <w:t>，</w:t>
      </w:r>
      <w:r>
        <w:rPr>
          <w:rFonts w:hint="eastAsia"/>
          <w:lang w:val="en-US" w:eastAsia="zh-CN"/>
        </w:rPr>
        <w:t>监测报告详见附件6</w:t>
      </w:r>
      <w:r>
        <w:t>。</w:t>
      </w:r>
    </w:p>
    <w:p>
      <w:pPr>
        <w:ind w:firstLine="482"/>
        <w:rPr>
          <w:b/>
          <w:bCs/>
        </w:rPr>
      </w:pPr>
      <w:r>
        <w:rPr>
          <w:rFonts w:hint="eastAsia"/>
          <w:b/>
          <w:bCs/>
        </w:rPr>
        <w:t>（1）</w:t>
      </w:r>
      <w:r>
        <w:rPr>
          <w:b/>
          <w:bCs/>
        </w:rPr>
        <w:t>监测点位</w:t>
      </w:r>
    </w:p>
    <w:p>
      <w:pPr>
        <w:ind w:firstLine="480"/>
      </w:pPr>
      <w:r>
        <w:rPr>
          <w:rFonts w:hint="eastAsia"/>
        </w:rPr>
        <w:t>本项目布设1</w:t>
      </w:r>
      <w:r>
        <w:t>个特征污染</w:t>
      </w:r>
      <w:r>
        <w:rPr>
          <w:rFonts w:hint="eastAsia"/>
        </w:rPr>
        <w:t>因子</w:t>
      </w:r>
      <w:r>
        <w:t>监测点，监测点位见表</w:t>
      </w:r>
      <w:r>
        <w:rPr>
          <w:rFonts w:hint="eastAsia"/>
          <w:lang w:val="en-US" w:eastAsia="zh-CN"/>
        </w:rPr>
        <w:t>4</w:t>
      </w:r>
      <w:r>
        <w:rPr>
          <w:rFonts w:hint="eastAsia"/>
        </w:rPr>
        <w:t>.2</w:t>
      </w:r>
      <w:r>
        <w:t>和</w:t>
      </w:r>
      <w:r>
        <w:rPr>
          <w:rFonts w:hint="eastAsia"/>
        </w:rPr>
        <w:t>附图10</w:t>
      </w:r>
      <w:r>
        <w:t>。</w:t>
      </w:r>
    </w:p>
    <w:p>
      <w:pPr>
        <w:spacing w:line="240" w:lineRule="auto"/>
        <w:ind w:firstLine="482"/>
        <w:jc w:val="center"/>
        <w:rPr>
          <w:b/>
          <w:bCs/>
        </w:rPr>
      </w:pPr>
      <w:r>
        <w:rPr>
          <w:b/>
          <w:bCs/>
        </w:rPr>
        <w:t>表</w:t>
      </w:r>
      <w:r>
        <w:rPr>
          <w:rFonts w:hint="eastAsia"/>
          <w:b/>
          <w:bCs/>
          <w:lang w:val="en-US" w:eastAsia="zh-CN"/>
        </w:rPr>
        <w:t>4</w:t>
      </w:r>
      <w:r>
        <w:rPr>
          <w:rFonts w:hint="eastAsia"/>
          <w:b/>
          <w:bCs/>
        </w:rPr>
        <w:t>.2</w:t>
      </w:r>
      <w:r>
        <w:rPr>
          <w:b/>
          <w:bCs/>
        </w:rPr>
        <w:t xml:space="preserve">     项目区环境空气质量现状监测点位</w:t>
      </w:r>
    </w:p>
    <w:tbl>
      <w:tblPr>
        <w:tblStyle w:val="3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57"/>
        <w:gridCol w:w="2947"/>
        <w:gridCol w:w="55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1"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1479" w:type="pct"/>
            <w:tcBorders>
              <w:tl2br w:val="nil"/>
              <w:tr2bl w:val="nil"/>
            </w:tcBorders>
            <w:vAlign w:val="center"/>
          </w:tcPr>
          <w:p>
            <w:pPr>
              <w:spacing w:line="240" w:lineRule="auto"/>
              <w:ind w:firstLine="0" w:firstLineChars="0"/>
              <w:jc w:val="center"/>
              <w:rPr>
                <w:b/>
                <w:bCs/>
                <w:sz w:val="21"/>
                <w:szCs w:val="21"/>
              </w:rPr>
            </w:pPr>
            <w:r>
              <w:rPr>
                <w:b/>
                <w:bCs/>
                <w:sz w:val="21"/>
                <w:szCs w:val="21"/>
              </w:rPr>
              <w:t>检测位置</w:t>
            </w:r>
          </w:p>
        </w:tc>
        <w:tc>
          <w:tcPr>
            <w:tcW w:w="2788"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坐标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31"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1479" w:type="pct"/>
            <w:tcBorders>
              <w:tl2br w:val="nil"/>
              <w:tr2bl w:val="nil"/>
            </w:tcBorders>
            <w:vAlign w:val="center"/>
          </w:tcPr>
          <w:p>
            <w:pPr>
              <w:spacing w:line="240" w:lineRule="auto"/>
              <w:ind w:firstLine="0" w:firstLineChars="0"/>
              <w:jc w:val="center"/>
              <w:rPr>
                <w:sz w:val="21"/>
                <w:szCs w:val="21"/>
              </w:rPr>
            </w:pPr>
            <w:r>
              <w:rPr>
                <w:sz w:val="21"/>
                <w:szCs w:val="21"/>
              </w:rPr>
              <w:t>厂址下风向1km处</w:t>
            </w:r>
          </w:p>
        </w:tc>
        <w:tc>
          <w:tcPr>
            <w:tcW w:w="2788" w:type="pct"/>
            <w:tcBorders>
              <w:tl2br w:val="nil"/>
              <w:tr2bl w:val="nil"/>
            </w:tcBorders>
            <w:vAlign w:val="center"/>
          </w:tcPr>
          <w:p>
            <w:pPr>
              <w:spacing w:line="240" w:lineRule="auto"/>
              <w:ind w:firstLine="0" w:firstLineChars="0"/>
              <w:jc w:val="center"/>
              <w:rPr>
                <w:sz w:val="21"/>
                <w:szCs w:val="21"/>
                <w:lang w:bidi="en-US"/>
              </w:rPr>
            </w:pPr>
            <w:r>
              <w:rPr>
                <w:sz w:val="21"/>
                <w:szCs w:val="21"/>
                <w:lang w:bidi="en-US"/>
              </w:rPr>
              <w:t>N:</w:t>
            </w:r>
            <w:r>
              <w:rPr>
                <w:sz w:val="21"/>
                <w:szCs w:val="21"/>
              </w:rPr>
              <w:t>38.95158295</w:t>
            </w:r>
            <w:r>
              <w:rPr>
                <w:sz w:val="21"/>
                <w:szCs w:val="21"/>
                <w:lang w:bidi="en-US"/>
              </w:rPr>
              <w:t xml:space="preserve">  E:</w:t>
            </w:r>
            <w:r>
              <w:rPr>
                <w:sz w:val="21"/>
                <w:szCs w:val="21"/>
              </w:rPr>
              <w:t>100.27848244</w:t>
            </w:r>
          </w:p>
        </w:tc>
      </w:tr>
    </w:tbl>
    <w:p>
      <w:pPr>
        <w:ind w:firstLine="482"/>
        <w:rPr>
          <w:b/>
          <w:bCs/>
        </w:rPr>
      </w:pPr>
      <w:r>
        <w:rPr>
          <w:rFonts w:hint="eastAsia"/>
          <w:b/>
          <w:bCs/>
        </w:rPr>
        <w:t>（2）</w:t>
      </w:r>
      <w:r>
        <w:rPr>
          <w:b/>
          <w:bCs/>
        </w:rPr>
        <w:t>监测项目</w:t>
      </w:r>
    </w:p>
    <w:p>
      <w:pPr>
        <w:ind w:firstLine="480"/>
      </w:pPr>
      <w:r>
        <w:t>监测项目包括NH</w:t>
      </w:r>
      <w:r>
        <w:rPr>
          <w:vertAlign w:val="subscript"/>
        </w:rPr>
        <w:t>3</w:t>
      </w:r>
      <w:r>
        <w:t>和H</w:t>
      </w:r>
      <w:r>
        <w:rPr>
          <w:vertAlign w:val="subscript"/>
        </w:rPr>
        <w:t>2</w:t>
      </w:r>
      <w:r>
        <w:t>S</w:t>
      </w:r>
      <w:r>
        <w:rPr>
          <w:rFonts w:hint="eastAsia"/>
        </w:rPr>
        <w:t>，</w:t>
      </w:r>
      <w:r>
        <w:t>NH</w:t>
      </w:r>
      <w:r>
        <w:rPr>
          <w:vertAlign w:val="subscript"/>
        </w:rPr>
        <w:t>3</w:t>
      </w:r>
      <w:r>
        <w:t>和H</w:t>
      </w:r>
      <w:r>
        <w:rPr>
          <w:vertAlign w:val="subscript"/>
        </w:rPr>
        <w:t>2</w:t>
      </w:r>
      <w:r>
        <w:t>S</w:t>
      </w:r>
      <w:r>
        <w:rPr>
          <w:rFonts w:hint="eastAsia"/>
        </w:rPr>
        <w:t>监测其1h浓度值</w:t>
      </w:r>
      <w:r>
        <w:t>。</w:t>
      </w:r>
    </w:p>
    <w:p>
      <w:pPr>
        <w:ind w:firstLine="482"/>
        <w:rPr>
          <w:b/>
          <w:bCs/>
        </w:rPr>
      </w:pPr>
      <w:r>
        <w:rPr>
          <w:rFonts w:hint="eastAsia"/>
          <w:b/>
          <w:bCs/>
        </w:rPr>
        <w:t>（3）</w:t>
      </w:r>
      <w:r>
        <w:rPr>
          <w:b/>
          <w:bCs/>
        </w:rPr>
        <w:t>监测时间及频次</w:t>
      </w:r>
    </w:p>
    <w:p>
      <w:pPr>
        <w:ind w:firstLine="480"/>
      </w:pPr>
      <w:r>
        <w:t>监测时间为20</w:t>
      </w:r>
      <w:r>
        <w:rPr>
          <w:rFonts w:hint="eastAsia"/>
        </w:rPr>
        <w:t>22</w:t>
      </w:r>
      <w:r>
        <w:t>年</w:t>
      </w:r>
      <w:r>
        <w:rPr>
          <w:rFonts w:hint="eastAsia"/>
        </w:rPr>
        <w:t>5</w:t>
      </w:r>
      <w:r>
        <w:t>月</w:t>
      </w:r>
      <w:r>
        <w:rPr>
          <w:rFonts w:hint="eastAsia"/>
        </w:rPr>
        <w:t>31</w:t>
      </w:r>
      <w:r>
        <w:t>日~20</w:t>
      </w:r>
      <w:r>
        <w:rPr>
          <w:rFonts w:hint="eastAsia"/>
        </w:rPr>
        <w:t>22</w:t>
      </w:r>
      <w:r>
        <w:t>年</w:t>
      </w:r>
      <w:r>
        <w:rPr>
          <w:rFonts w:hint="eastAsia"/>
        </w:rPr>
        <w:t>6</w:t>
      </w:r>
      <w:r>
        <w:t>月</w:t>
      </w:r>
      <w:r>
        <w:rPr>
          <w:rFonts w:hint="eastAsia"/>
        </w:rPr>
        <w:t>6</w:t>
      </w:r>
      <w:r>
        <w:t>日，监测频次为监测7天，每天监测4次</w:t>
      </w:r>
      <w:r>
        <w:rPr>
          <w:rFonts w:hint="eastAsia"/>
        </w:rPr>
        <w:t>，</w:t>
      </w:r>
      <w:r>
        <w:t>监测时间为02:00、08:00、14:00、20:00，每小时至少有45min的采样时间。</w:t>
      </w:r>
    </w:p>
    <w:p>
      <w:pPr>
        <w:ind w:firstLine="482"/>
      </w:pPr>
      <w:r>
        <w:rPr>
          <w:rFonts w:hint="eastAsia"/>
          <w:b/>
          <w:bCs/>
        </w:rPr>
        <w:t>（4）检测仪器及方法来源</w:t>
      </w:r>
    </w:p>
    <w:p>
      <w:pPr>
        <w:ind w:firstLine="480"/>
      </w:pPr>
      <w:r>
        <w:rPr>
          <w:rFonts w:hint="eastAsia"/>
        </w:rPr>
        <w:t>检测仪器及方法来源详见表</w:t>
      </w:r>
      <w:r>
        <w:rPr>
          <w:rFonts w:hint="eastAsia"/>
          <w:lang w:val="en-US" w:eastAsia="zh-CN"/>
        </w:rPr>
        <w:t>4</w:t>
      </w:r>
      <w:r>
        <w:rPr>
          <w:rFonts w:hint="eastAsia"/>
        </w:rPr>
        <w:t>.3。</w:t>
      </w:r>
    </w:p>
    <w:p>
      <w:pPr>
        <w:spacing w:line="240" w:lineRule="auto"/>
        <w:ind w:firstLine="482"/>
        <w:jc w:val="center"/>
        <w:rPr>
          <w:b/>
          <w:bCs/>
        </w:rPr>
      </w:pPr>
      <w:r>
        <w:rPr>
          <w:rFonts w:hint="eastAsia"/>
          <w:b/>
          <w:bCs/>
        </w:rPr>
        <w:t>表</w:t>
      </w:r>
      <w:r>
        <w:rPr>
          <w:rFonts w:hint="eastAsia"/>
          <w:b/>
          <w:bCs/>
          <w:lang w:val="en-US" w:eastAsia="zh-CN"/>
        </w:rPr>
        <w:t>4</w:t>
      </w:r>
      <w:r>
        <w:rPr>
          <w:rFonts w:hint="eastAsia"/>
          <w:b/>
          <w:bCs/>
        </w:rPr>
        <w:t>.3    检测仪器及方法来源  单位：mg/m</w:t>
      </w:r>
      <w:r>
        <w:rPr>
          <w:rFonts w:hint="eastAsia"/>
          <w:b/>
          <w:bCs/>
          <w:vertAlign w:val="superscript"/>
        </w:rPr>
        <w:t>3</w:t>
      </w:r>
    </w:p>
    <w:tbl>
      <w:tblPr>
        <w:tblStyle w:val="3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 w:type="dxa"/>
          <w:bottom w:w="0" w:type="dxa"/>
          <w:right w:w="10" w:type="dxa"/>
        </w:tblCellMar>
      </w:tblPr>
      <w:tblGrid>
        <w:gridCol w:w="1480"/>
        <w:gridCol w:w="2196"/>
        <w:gridCol w:w="2820"/>
        <w:gridCol w:w="2417"/>
        <w:gridCol w:w="11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738" w:type="pct"/>
            <w:tcBorders>
              <w:tl2br w:val="nil"/>
              <w:tr2bl w:val="nil"/>
            </w:tcBorders>
            <w:shd w:val="clear" w:color="auto" w:fill="auto"/>
            <w:tcMar>
              <w:top w:w="0" w:type="dxa"/>
              <w:left w:w="113" w:type="dxa"/>
              <w:bottom w:w="0" w:type="dxa"/>
              <w:right w:w="170" w:type="dxa"/>
            </w:tcMar>
            <w:vAlign w:val="center"/>
          </w:tcPr>
          <w:p>
            <w:pPr>
              <w:spacing w:line="240" w:lineRule="auto"/>
              <w:ind w:firstLine="0" w:firstLineChars="0"/>
              <w:jc w:val="center"/>
              <w:rPr>
                <w:b/>
                <w:bCs/>
                <w:sz w:val="21"/>
                <w:szCs w:val="21"/>
              </w:rPr>
            </w:pPr>
            <w:r>
              <w:rPr>
                <w:b/>
                <w:bCs/>
                <w:sz w:val="21"/>
                <w:szCs w:val="21"/>
              </w:rPr>
              <w:t>检测项目</w:t>
            </w:r>
          </w:p>
        </w:tc>
        <w:tc>
          <w:tcPr>
            <w:tcW w:w="1095" w:type="pct"/>
            <w:tcBorders>
              <w:tl2br w:val="nil"/>
              <w:tr2bl w:val="nil"/>
            </w:tcBorders>
            <w:shd w:val="clear" w:color="auto" w:fill="auto"/>
            <w:tcMar>
              <w:left w:w="113" w:type="dxa"/>
              <w:right w:w="170" w:type="dxa"/>
            </w:tcMar>
            <w:vAlign w:val="center"/>
          </w:tcPr>
          <w:p>
            <w:pPr>
              <w:spacing w:line="240" w:lineRule="auto"/>
              <w:ind w:firstLine="0" w:firstLineChars="0"/>
              <w:jc w:val="center"/>
              <w:rPr>
                <w:b/>
                <w:bCs/>
                <w:sz w:val="21"/>
                <w:szCs w:val="21"/>
              </w:rPr>
            </w:pPr>
            <w:r>
              <w:rPr>
                <w:b/>
                <w:bCs/>
                <w:sz w:val="21"/>
                <w:szCs w:val="21"/>
              </w:rPr>
              <w:t>分析方法</w:t>
            </w:r>
          </w:p>
        </w:tc>
        <w:tc>
          <w:tcPr>
            <w:tcW w:w="1406" w:type="pct"/>
            <w:tcBorders>
              <w:tl2br w:val="nil"/>
              <w:tr2bl w:val="nil"/>
            </w:tcBorders>
            <w:shd w:val="clear" w:color="auto" w:fill="auto"/>
            <w:tcMar>
              <w:left w:w="113" w:type="dxa"/>
              <w:right w:w="170" w:type="dxa"/>
            </w:tcMar>
            <w:vAlign w:val="center"/>
          </w:tcPr>
          <w:p>
            <w:pPr>
              <w:spacing w:line="240" w:lineRule="auto"/>
              <w:ind w:firstLine="422"/>
              <w:jc w:val="center"/>
              <w:rPr>
                <w:b/>
                <w:bCs/>
                <w:sz w:val="21"/>
                <w:szCs w:val="21"/>
              </w:rPr>
            </w:pPr>
            <w:r>
              <w:rPr>
                <w:b/>
                <w:bCs/>
                <w:sz w:val="21"/>
                <w:szCs w:val="21"/>
              </w:rPr>
              <w:t>方法依据</w:t>
            </w:r>
          </w:p>
        </w:tc>
        <w:tc>
          <w:tcPr>
            <w:tcW w:w="1205" w:type="pct"/>
            <w:tcBorders>
              <w:tl2br w:val="nil"/>
              <w:tr2bl w:val="nil"/>
            </w:tcBorders>
            <w:shd w:val="clear" w:color="auto" w:fill="auto"/>
            <w:tcMar>
              <w:left w:w="113" w:type="dxa"/>
              <w:right w:w="170" w:type="dxa"/>
            </w:tcMar>
            <w:vAlign w:val="center"/>
          </w:tcPr>
          <w:p>
            <w:pPr>
              <w:spacing w:line="240" w:lineRule="auto"/>
              <w:ind w:firstLine="422"/>
              <w:jc w:val="center"/>
              <w:rPr>
                <w:b/>
                <w:bCs/>
                <w:sz w:val="21"/>
                <w:szCs w:val="21"/>
              </w:rPr>
            </w:pPr>
            <w:r>
              <w:rPr>
                <w:b/>
                <w:bCs/>
                <w:sz w:val="21"/>
                <w:szCs w:val="21"/>
              </w:rPr>
              <w:t>检测仪器</w:t>
            </w:r>
          </w:p>
        </w:tc>
        <w:tc>
          <w:tcPr>
            <w:tcW w:w="554" w:type="pct"/>
            <w:tcBorders>
              <w:tl2br w:val="nil"/>
              <w:tr2bl w:val="nil"/>
            </w:tcBorders>
            <w:shd w:val="clear" w:color="auto" w:fill="auto"/>
            <w:tcMar>
              <w:left w:w="113" w:type="dxa"/>
              <w:right w:w="170" w:type="dxa"/>
            </w:tcMar>
            <w:vAlign w:val="center"/>
          </w:tcPr>
          <w:p>
            <w:pPr>
              <w:spacing w:line="240" w:lineRule="auto"/>
              <w:ind w:firstLine="0" w:firstLineChars="0"/>
              <w:jc w:val="center"/>
              <w:rPr>
                <w:b/>
                <w:bCs/>
                <w:sz w:val="21"/>
                <w:szCs w:val="21"/>
              </w:rPr>
            </w:pPr>
            <w:r>
              <w:rPr>
                <w:b/>
                <w:bCs/>
                <w:sz w:val="21"/>
                <w:szCs w:val="21"/>
              </w:rPr>
              <w:t>检出限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738"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1095" w:type="pct"/>
            <w:tcBorders>
              <w:tl2br w:val="nil"/>
              <w:tr2bl w:val="nil"/>
            </w:tcBorders>
            <w:shd w:val="clear" w:color="auto" w:fill="auto"/>
            <w:tcMar>
              <w:top w:w="0" w:type="dxa"/>
              <w:left w:w="113" w:type="dxa"/>
              <w:bottom w:w="0" w:type="dxa"/>
              <w:right w:w="170" w:type="dxa"/>
            </w:tcMar>
            <w:vAlign w:val="center"/>
          </w:tcPr>
          <w:p>
            <w:pPr>
              <w:spacing w:line="240" w:lineRule="auto"/>
              <w:ind w:firstLine="0" w:firstLineChars="0"/>
              <w:jc w:val="center"/>
              <w:rPr>
                <w:sz w:val="21"/>
                <w:szCs w:val="21"/>
              </w:rPr>
            </w:pPr>
            <w:r>
              <w:rPr>
                <w:sz w:val="21"/>
                <w:szCs w:val="21"/>
              </w:rPr>
              <w:t>次氯酸钠-水杨酸分光光度法</w:t>
            </w:r>
          </w:p>
        </w:tc>
        <w:tc>
          <w:tcPr>
            <w:tcW w:w="1406"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HJ534-2009</w:t>
            </w:r>
          </w:p>
        </w:tc>
        <w:tc>
          <w:tcPr>
            <w:tcW w:w="1205"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V-1000型分光光度计GQHK-YQ-041</w:t>
            </w:r>
          </w:p>
        </w:tc>
        <w:tc>
          <w:tcPr>
            <w:tcW w:w="554"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0.004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738"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1095"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亚甲蓝分光光度法是</w:t>
            </w:r>
          </w:p>
        </w:tc>
        <w:tc>
          <w:tcPr>
            <w:tcW w:w="1406"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空气和废气监测分析方法（第四版）增补版</w:t>
            </w:r>
          </w:p>
        </w:tc>
        <w:tc>
          <w:tcPr>
            <w:tcW w:w="1205"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V-1000型分光光度计GQHK-YQ-041</w:t>
            </w:r>
          </w:p>
        </w:tc>
        <w:tc>
          <w:tcPr>
            <w:tcW w:w="554" w:type="pct"/>
            <w:tcBorders>
              <w:tl2br w:val="nil"/>
              <w:tr2bl w:val="nil"/>
            </w:tcBorders>
            <w:shd w:val="clear" w:color="auto" w:fill="auto"/>
            <w:tcMar>
              <w:left w:w="113" w:type="dxa"/>
              <w:right w:w="170" w:type="dxa"/>
            </w:tcMar>
            <w:vAlign w:val="center"/>
          </w:tcPr>
          <w:p>
            <w:pPr>
              <w:spacing w:line="240" w:lineRule="auto"/>
              <w:ind w:firstLine="0" w:firstLineChars="0"/>
              <w:jc w:val="center"/>
              <w:rPr>
                <w:sz w:val="21"/>
                <w:szCs w:val="21"/>
              </w:rPr>
            </w:pPr>
            <w:r>
              <w:rPr>
                <w:sz w:val="21"/>
                <w:szCs w:val="21"/>
              </w:rPr>
              <w:t>0.001</w:t>
            </w:r>
          </w:p>
        </w:tc>
      </w:tr>
    </w:tbl>
    <w:p>
      <w:pPr>
        <w:ind w:firstLine="482"/>
        <w:rPr>
          <w:b/>
          <w:bCs/>
        </w:rPr>
      </w:pPr>
      <w:r>
        <w:rPr>
          <w:rFonts w:hint="eastAsia"/>
          <w:b/>
          <w:bCs/>
        </w:rPr>
        <w:t>（5）</w:t>
      </w:r>
      <w:r>
        <w:rPr>
          <w:b/>
          <w:bCs/>
        </w:rPr>
        <w:t>监测结果</w:t>
      </w:r>
    </w:p>
    <w:p>
      <w:pPr>
        <w:ind w:firstLine="480"/>
      </w:pPr>
      <w:r>
        <w:t>环境空气特征污染物监测结果汇总见表</w:t>
      </w:r>
      <w:r>
        <w:rPr>
          <w:rFonts w:hint="eastAsia"/>
          <w:lang w:val="en-US" w:eastAsia="zh-CN"/>
        </w:rPr>
        <w:t>4</w:t>
      </w:r>
      <w:r>
        <w:rPr>
          <w:rFonts w:hint="eastAsia"/>
        </w:rPr>
        <w:t>.4</w:t>
      </w:r>
      <w:r>
        <w:t>。</w:t>
      </w:r>
    </w:p>
    <w:p>
      <w:pPr>
        <w:spacing w:line="240" w:lineRule="auto"/>
        <w:ind w:firstLine="482"/>
        <w:jc w:val="center"/>
        <w:rPr>
          <w:b/>
          <w:bCs/>
        </w:rPr>
      </w:pPr>
      <w:r>
        <w:rPr>
          <w:rFonts w:hint="eastAsia"/>
          <w:b/>
          <w:bCs/>
        </w:rPr>
        <w:t>表</w:t>
      </w:r>
      <w:r>
        <w:rPr>
          <w:rFonts w:hint="eastAsia"/>
          <w:b/>
          <w:bCs/>
          <w:lang w:val="en-US" w:eastAsia="zh-CN"/>
        </w:rPr>
        <w:t>4</w:t>
      </w:r>
      <w:r>
        <w:rPr>
          <w:rFonts w:hint="eastAsia"/>
          <w:b/>
          <w:bCs/>
        </w:rPr>
        <w:t>.4    环境空气检测分析结果汇总表  单位：mg/m</w:t>
      </w:r>
      <w:r>
        <w:rPr>
          <w:rFonts w:hint="eastAsia"/>
          <w:b/>
          <w:bCs/>
          <w:vertAlign w:val="superscript"/>
        </w:rPr>
        <w:t>3</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719"/>
        <w:gridCol w:w="711"/>
        <w:gridCol w:w="1104"/>
        <w:gridCol w:w="1104"/>
        <w:gridCol w:w="1104"/>
        <w:gridCol w:w="1104"/>
        <w:gridCol w:w="1104"/>
        <w:gridCol w:w="1104"/>
        <w:gridCol w:w="1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restart"/>
            <w:tcBorders>
              <w:tl2br w:val="nil"/>
              <w:tr2bl w:val="nil"/>
            </w:tcBorders>
            <w:vAlign w:val="center"/>
          </w:tcPr>
          <w:p>
            <w:pPr>
              <w:pStyle w:val="85"/>
              <w:rPr>
                <w:b/>
                <w:bCs/>
                <w:szCs w:val="21"/>
              </w:rPr>
            </w:pPr>
            <w:r>
              <w:rPr>
                <w:b/>
                <w:bCs/>
                <w:szCs w:val="21"/>
              </w:rPr>
              <w:t>检测</w:t>
            </w:r>
          </w:p>
          <w:p>
            <w:pPr>
              <w:pStyle w:val="85"/>
              <w:rPr>
                <w:b/>
                <w:bCs/>
                <w:szCs w:val="21"/>
              </w:rPr>
            </w:pPr>
            <w:r>
              <w:rPr>
                <w:b/>
                <w:bCs/>
                <w:szCs w:val="21"/>
              </w:rPr>
              <w:t>点位</w:t>
            </w:r>
          </w:p>
        </w:tc>
        <w:tc>
          <w:tcPr>
            <w:tcW w:w="361" w:type="pct"/>
            <w:vMerge w:val="restart"/>
            <w:tcBorders>
              <w:tl2br w:val="nil"/>
              <w:tr2bl w:val="nil"/>
            </w:tcBorders>
            <w:vAlign w:val="center"/>
          </w:tcPr>
          <w:p>
            <w:pPr>
              <w:pStyle w:val="85"/>
              <w:rPr>
                <w:b/>
                <w:bCs/>
                <w:szCs w:val="21"/>
              </w:rPr>
            </w:pPr>
            <w:r>
              <w:rPr>
                <w:b/>
                <w:bCs/>
                <w:szCs w:val="21"/>
              </w:rPr>
              <w:t>检测项目</w:t>
            </w:r>
          </w:p>
        </w:tc>
        <w:tc>
          <w:tcPr>
            <w:tcW w:w="357" w:type="pct"/>
            <w:vMerge w:val="restart"/>
            <w:tcBorders>
              <w:tl2br w:val="nil"/>
              <w:tr2bl w:val="nil"/>
            </w:tcBorders>
            <w:vAlign w:val="center"/>
          </w:tcPr>
          <w:p>
            <w:pPr>
              <w:pStyle w:val="85"/>
              <w:rPr>
                <w:b/>
                <w:bCs/>
                <w:szCs w:val="21"/>
              </w:rPr>
            </w:pPr>
            <w:r>
              <w:rPr>
                <w:b/>
                <w:bCs/>
                <w:szCs w:val="21"/>
              </w:rPr>
              <w:t>检测频次</w:t>
            </w:r>
          </w:p>
        </w:tc>
        <w:tc>
          <w:tcPr>
            <w:tcW w:w="3879" w:type="pct"/>
            <w:gridSpan w:val="7"/>
            <w:tcBorders>
              <w:tl2br w:val="nil"/>
              <w:tr2bl w:val="nil"/>
            </w:tcBorders>
            <w:vAlign w:val="center"/>
          </w:tcPr>
          <w:p>
            <w:pPr>
              <w:pStyle w:val="85"/>
              <w:rPr>
                <w:b/>
                <w:bCs/>
                <w:szCs w:val="21"/>
              </w:rPr>
            </w:pPr>
            <w:r>
              <w:rPr>
                <w:b/>
                <w:bCs/>
                <w:szCs w:val="21"/>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b/>
                <w:bCs/>
                <w:szCs w:val="21"/>
              </w:rPr>
            </w:pPr>
          </w:p>
        </w:tc>
        <w:tc>
          <w:tcPr>
            <w:tcW w:w="361" w:type="pct"/>
            <w:vMerge w:val="continue"/>
            <w:tcBorders>
              <w:tl2br w:val="nil"/>
              <w:tr2bl w:val="nil"/>
            </w:tcBorders>
            <w:vAlign w:val="center"/>
          </w:tcPr>
          <w:p>
            <w:pPr>
              <w:pStyle w:val="85"/>
              <w:rPr>
                <w:b/>
                <w:bCs/>
                <w:szCs w:val="21"/>
              </w:rPr>
            </w:pPr>
          </w:p>
        </w:tc>
        <w:tc>
          <w:tcPr>
            <w:tcW w:w="357" w:type="pct"/>
            <w:vMerge w:val="continue"/>
            <w:tcBorders>
              <w:tl2br w:val="nil"/>
              <w:tr2bl w:val="nil"/>
            </w:tcBorders>
            <w:vAlign w:val="center"/>
          </w:tcPr>
          <w:p>
            <w:pPr>
              <w:pStyle w:val="85"/>
              <w:rPr>
                <w:b/>
                <w:bCs/>
                <w:szCs w:val="21"/>
              </w:rPr>
            </w:pPr>
          </w:p>
        </w:tc>
        <w:tc>
          <w:tcPr>
            <w:tcW w:w="554" w:type="pct"/>
            <w:tcBorders>
              <w:tl2br w:val="nil"/>
              <w:tr2bl w:val="nil"/>
            </w:tcBorders>
            <w:vAlign w:val="center"/>
          </w:tcPr>
          <w:p>
            <w:pPr>
              <w:pStyle w:val="85"/>
              <w:rPr>
                <w:b/>
                <w:bCs/>
                <w:szCs w:val="21"/>
              </w:rPr>
            </w:pPr>
            <w:r>
              <w:rPr>
                <w:rFonts w:hint="eastAsia"/>
                <w:b/>
                <w:bCs/>
                <w:szCs w:val="21"/>
              </w:rPr>
              <w:t>5月31日</w:t>
            </w:r>
          </w:p>
        </w:tc>
        <w:tc>
          <w:tcPr>
            <w:tcW w:w="554" w:type="pct"/>
            <w:tcBorders>
              <w:tl2br w:val="nil"/>
              <w:tr2bl w:val="nil"/>
            </w:tcBorders>
            <w:vAlign w:val="center"/>
          </w:tcPr>
          <w:p>
            <w:pPr>
              <w:pStyle w:val="85"/>
              <w:rPr>
                <w:b/>
                <w:bCs/>
                <w:szCs w:val="21"/>
              </w:rPr>
            </w:pPr>
            <w:r>
              <w:rPr>
                <w:rFonts w:hint="eastAsia"/>
                <w:b/>
                <w:bCs/>
                <w:szCs w:val="21"/>
              </w:rPr>
              <w:t>6月1日</w:t>
            </w:r>
          </w:p>
        </w:tc>
        <w:tc>
          <w:tcPr>
            <w:tcW w:w="55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6月2日</w:t>
            </w:r>
          </w:p>
        </w:tc>
        <w:tc>
          <w:tcPr>
            <w:tcW w:w="55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6月3日</w:t>
            </w:r>
          </w:p>
        </w:tc>
        <w:tc>
          <w:tcPr>
            <w:tcW w:w="55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6月4日</w:t>
            </w:r>
          </w:p>
        </w:tc>
        <w:tc>
          <w:tcPr>
            <w:tcW w:w="55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6月5日</w:t>
            </w:r>
          </w:p>
        </w:tc>
        <w:tc>
          <w:tcPr>
            <w:tcW w:w="55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6月6日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restart"/>
            <w:tcBorders>
              <w:tl2br w:val="nil"/>
              <w:tr2bl w:val="nil"/>
            </w:tcBorders>
            <w:vAlign w:val="center"/>
          </w:tcPr>
          <w:p>
            <w:pPr>
              <w:pStyle w:val="85"/>
              <w:rPr>
                <w:szCs w:val="21"/>
              </w:rPr>
            </w:pPr>
            <w:r>
              <w:rPr>
                <w:szCs w:val="21"/>
              </w:rPr>
              <w:t>1#</w:t>
            </w:r>
          </w:p>
          <w:p>
            <w:pPr>
              <w:pStyle w:val="85"/>
              <w:rPr>
                <w:szCs w:val="21"/>
              </w:rPr>
            </w:pPr>
            <w:r>
              <w:rPr>
                <w:szCs w:val="21"/>
              </w:rPr>
              <w:t>项目地</w:t>
            </w:r>
          </w:p>
        </w:tc>
        <w:tc>
          <w:tcPr>
            <w:tcW w:w="361" w:type="pct"/>
            <w:vMerge w:val="restart"/>
            <w:tcBorders>
              <w:tl2br w:val="nil"/>
              <w:tr2bl w:val="nil"/>
            </w:tcBorders>
            <w:vAlign w:val="center"/>
          </w:tcPr>
          <w:p>
            <w:pPr>
              <w:pStyle w:val="85"/>
              <w:rPr>
                <w:szCs w:val="21"/>
              </w:rPr>
            </w:pPr>
            <w:r>
              <w:rPr>
                <w:szCs w:val="21"/>
              </w:rPr>
              <w:t>NH</w:t>
            </w:r>
            <w:r>
              <w:rPr>
                <w:szCs w:val="21"/>
                <w:vertAlign w:val="subscript"/>
              </w:rPr>
              <w:t>3</w:t>
            </w:r>
          </w:p>
        </w:tc>
        <w:tc>
          <w:tcPr>
            <w:tcW w:w="357" w:type="pct"/>
            <w:tcBorders>
              <w:tl2br w:val="nil"/>
              <w:tr2bl w:val="nil"/>
            </w:tcBorders>
            <w:vAlign w:val="center"/>
          </w:tcPr>
          <w:p>
            <w:pPr>
              <w:pStyle w:val="85"/>
              <w:rPr>
                <w:szCs w:val="21"/>
              </w:rPr>
            </w:pPr>
            <w:r>
              <w:rPr>
                <w:szCs w:val="21"/>
              </w:rPr>
              <w:t>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0.009</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0.010</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0.009</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0.009</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continue"/>
            <w:tcBorders>
              <w:tl2br w:val="nil"/>
              <w:tr2bl w:val="nil"/>
            </w:tcBorders>
            <w:vAlign w:val="center"/>
          </w:tcPr>
          <w:p>
            <w:pPr>
              <w:pStyle w:val="85"/>
              <w:rPr>
                <w:szCs w:val="21"/>
              </w:rPr>
            </w:pPr>
          </w:p>
        </w:tc>
        <w:tc>
          <w:tcPr>
            <w:tcW w:w="357" w:type="pct"/>
            <w:tcBorders>
              <w:tl2br w:val="nil"/>
              <w:tr2bl w:val="nil"/>
            </w:tcBorders>
            <w:vAlign w:val="center"/>
          </w:tcPr>
          <w:p>
            <w:pPr>
              <w:pStyle w:val="85"/>
              <w:rPr>
                <w:szCs w:val="21"/>
              </w:rPr>
            </w:pPr>
            <w:r>
              <w:rPr>
                <w:szCs w:val="21"/>
              </w:rPr>
              <w:t>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0.009</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continue"/>
            <w:tcBorders>
              <w:tl2br w:val="nil"/>
              <w:tr2bl w:val="nil"/>
            </w:tcBorders>
            <w:vAlign w:val="center"/>
          </w:tcPr>
          <w:p>
            <w:pPr>
              <w:pStyle w:val="85"/>
              <w:rPr>
                <w:szCs w:val="21"/>
              </w:rPr>
            </w:pPr>
          </w:p>
        </w:tc>
        <w:tc>
          <w:tcPr>
            <w:tcW w:w="357" w:type="pct"/>
            <w:tcBorders>
              <w:tl2br w:val="nil"/>
              <w:tr2bl w:val="nil"/>
            </w:tcBorders>
            <w:vAlign w:val="center"/>
          </w:tcPr>
          <w:p>
            <w:pPr>
              <w:pStyle w:val="85"/>
              <w:rPr>
                <w:szCs w:val="21"/>
              </w:rPr>
            </w:pPr>
            <w:r>
              <w:rPr>
                <w:szCs w:val="21"/>
              </w:rPr>
              <w:t>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0.010</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0.010</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0.009</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0.008</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continue"/>
            <w:tcBorders>
              <w:tl2br w:val="nil"/>
              <w:tr2bl w:val="nil"/>
            </w:tcBorders>
            <w:vAlign w:val="center"/>
          </w:tcPr>
          <w:p>
            <w:pPr>
              <w:pStyle w:val="85"/>
              <w:rPr>
                <w:szCs w:val="21"/>
              </w:rPr>
            </w:pPr>
          </w:p>
        </w:tc>
        <w:tc>
          <w:tcPr>
            <w:tcW w:w="357" w:type="pct"/>
            <w:tcBorders>
              <w:tl2br w:val="nil"/>
              <w:tr2bl w:val="nil"/>
            </w:tcBorders>
            <w:vAlign w:val="center"/>
          </w:tcPr>
          <w:p>
            <w:pPr>
              <w:pStyle w:val="85"/>
              <w:rPr>
                <w:szCs w:val="21"/>
              </w:rPr>
            </w:pPr>
            <w:r>
              <w:rPr>
                <w:szCs w:val="21"/>
              </w:rPr>
              <w:t>4</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0.014</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0.010</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restart"/>
            <w:tcBorders>
              <w:tl2br w:val="nil"/>
              <w:tr2bl w:val="nil"/>
            </w:tcBorders>
            <w:vAlign w:val="center"/>
          </w:tcPr>
          <w:p>
            <w:pPr>
              <w:pStyle w:val="85"/>
              <w:rPr>
                <w:szCs w:val="21"/>
              </w:rPr>
            </w:pPr>
            <w:r>
              <w:rPr>
                <w:szCs w:val="21"/>
              </w:rPr>
              <w:t>H</w:t>
            </w:r>
            <w:r>
              <w:rPr>
                <w:szCs w:val="21"/>
                <w:vertAlign w:val="subscript"/>
              </w:rPr>
              <w:t>2</w:t>
            </w:r>
            <w:r>
              <w:rPr>
                <w:szCs w:val="21"/>
              </w:rPr>
              <w:t>S</w:t>
            </w:r>
          </w:p>
        </w:tc>
        <w:tc>
          <w:tcPr>
            <w:tcW w:w="357" w:type="pct"/>
            <w:tcBorders>
              <w:tl2br w:val="nil"/>
              <w:tr2bl w:val="nil"/>
            </w:tcBorders>
            <w:vAlign w:val="center"/>
          </w:tcPr>
          <w:p>
            <w:pPr>
              <w:pStyle w:val="85"/>
              <w:rPr>
                <w:szCs w:val="21"/>
              </w:rPr>
            </w:pPr>
            <w:r>
              <w:rPr>
                <w:szCs w:val="21"/>
              </w:rPr>
              <w:t>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continue"/>
            <w:tcBorders>
              <w:tl2br w:val="nil"/>
              <w:tr2bl w:val="nil"/>
            </w:tcBorders>
            <w:vAlign w:val="center"/>
          </w:tcPr>
          <w:p>
            <w:pPr>
              <w:pStyle w:val="85"/>
              <w:rPr>
                <w:szCs w:val="21"/>
              </w:rPr>
            </w:pPr>
          </w:p>
        </w:tc>
        <w:tc>
          <w:tcPr>
            <w:tcW w:w="357" w:type="pct"/>
            <w:tcBorders>
              <w:tl2br w:val="nil"/>
              <w:tr2bl w:val="nil"/>
            </w:tcBorders>
            <w:vAlign w:val="center"/>
          </w:tcPr>
          <w:p>
            <w:pPr>
              <w:pStyle w:val="85"/>
              <w:rPr>
                <w:szCs w:val="21"/>
              </w:rPr>
            </w:pPr>
            <w:r>
              <w:rPr>
                <w:szCs w:val="21"/>
              </w:rPr>
              <w:t>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continue"/>
            <w:tcBorders>
              <w:tl2br w:val="nil"/>
              <w:tr2bl w:val="nil"/>
            </w:tcBorders>
            <w:vAlign w:val="center"/>
          </w:tcPr>
          <w:p>
            <w:pPr>
              <w:pStyle w:val="85"/>
              <w:rPr>
                <w:szCs w:val="21"/>
              </w:rPr>
            </w:pPr>
          </w:p>
        </w:tc>
        <w:tc>
          <w:tcPr>
            <w:tcW w:w="357" w:type="pct"/>
            <w:tcBorders>
              <w:tl2br w:val="nil"/>
              <w:tr2bl w:val="nil"/>
            </w:tcBorders>
            <w:vAlign w:val="center"/>
          </w:tcPr>
          <w:p>
            <w:pPr>
              <w:pStyle w:val="85"/>
              <w:rPr>
                <w:szCs w:val="21"/>
              </w:rPr>
            </w:pPr>
            <w:r>
              <w:rPr>
                <w:szCs w:val="21"/>
              </w:rPr>
              <w:t>3</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ND</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ND</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ND</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ND</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ND</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1" w:type="pct"/>
            <w:vMerge w:val="continue"/>
            <w:tcBorders>
              <w:tl2br w:val="nil"/>
              <w:tr2bl w:val="nil"/>
            </w:tcBorders>
            <w:vAlign w:val="center"/>
          </w:tcPr>
          <w:p>
            <w:pPr>
              <w:pStyle w:val="85"/>
              <w:rPr>
                <w:szCs w:val="21"/>
              </w:rPr>
            </w:pPr>
          </w:p>
        </w:tc>
        <w:tc>
          <w:tcPr>
            <w:tcW w:w="361" w:type="pct"/>
            <w:vMerge w:val="continue"/>
            <w:tcBorders>
              <w:tl2br w:val="nil"/>
              <w:tr2bl w:val="nil"/>
            </w:tcBorders>
            <w:vAlign w:val="center"/>
          </w:tcPr>
          <w:p>
            <w:pPr>
              <w:pStyle w:val="85"/>
              <w:rPr>
                <w:szCs w:val="21"/>
              </w:rPr>
            </w:pPr>
          </w:p>
        </w:tc>
        <w:tc>
          <w:tcPr>
            <w:tcW w:w="357" w:type="pct"/>
            <w:tcBorders>
              <w:tl2br w:val="nil"/>
              <w:tr2bl w:val="nil"/>
            </w:tcBorders>
            <w:vAlign w:val="center"/>
          </w:tcPr>
          <w:p>
            <w:pPr>
              <w:pStyle w:val="85"/>
              <w:rPr>
                <w:szCs w:val="21"/>
              </w:rPr>
            </w:pPr>
            <w:r>
              <w:rPr>
                <w:szCs w:val="21"/>
              </w:rPr>
              <w:t>4</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55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0"/>
            <w:tcBorders>
              <w:tl2br w:val="nil"/>
              <w:tr2bl w:val="nil"/>
            </w:tcBorders>
            <w:vAlign w:val="center"/>
          </w:tcPr>
          <w:p>
            <w:pPr>
              <w:spacing w:line="240" w:lineRule="auto"/>
              <w:ind w:firstLine="0" w:firstLineChars="0"/>
              <w:rPr>
                <w:sz w:val="21"/>
                <w:szCs w:val="21"/>
              </w:rPr>
            </w:pPr>
            <w:r>
              <w:rPr>
                <w:rFonts w:hint="eastAsia"/>
                <w:sz w:val="21"/>
                <w:szCs w:val="21"/>
              </w:rPr>
              <w:t>备注：“ND”表示未检出或小于检出限；NH</w:t>
            </w:r>
            <w:r>
              <w:rPr>
                <w:rFonts w:hint="eastAsia"/>
                <w:sz w:val="21"/>
                <w:szCs w:val="21"/>
                <w:vertAlign w:val="subscript"/>
              </w:rPr>
              <w:t>3</w:t>
            </w:r>
            <w:r>
              <w:rPr>
                <w:rFonts w:hint="eastAsia"/>
                <w:sz w:val="21"/>
                <w:szCs w:val="21"/>
              </w:rPr>
              <w:t>和H</w:t>
            </w:r>
            <w:r>
              <w:rPr>
                <w:rFonts w:hint="eastAsia"/>
                <w:sz w:val="21"/>
                <w:szCs w:val="21"/>
                <w:vertAlign w:val="subscript"/>
              </w:rPr>
              <w:t>2</w:t>
            </w:r>
            <w:r>
              <w:rPr>
                <w:rFonts w:hint="eastAsia"/>
                <w:sz w:val="21"/>
                <w:szCs w:val="21"/>
              </w:rPr>
              <w:t>S监测其1h浓度值。</w:t>
            </w:r>
          </w:p>
        </w:tc>
      </w:tr>
    </w:tbl>
    <w:p>
      <w:pPr>
        <w:ind w:firstLine="482"/>
        <w:rPr>
          <w:b/>
          <w:bCs/>
        </w:rPr>
      </w:pPr>
      <w:r>
        <w:rPr>
          <w:b/>
          <w:bCs/>
        </w:rPr>
        <w:t>（6）评价方法</w:t>
      </w:r>
    </w:p>
    <w:p>
      <w:pPr>
        <w:ind w:firstLine="480"/>
      </w:pPr>
      <w:r>
        <w:t>采用标准指数法进行评价，其计算公式如下：</w:t>
      </w:r>
    </w:p>
    <w:p>
      <w:pPr>
        <w:ind w:firstLine="480"/>
        <w:jc w:val="center"/>
      </w:pPr>
      <w:r>
        <w:t>I</w:t>
      </w:r>
      <w:r>
        <w:rPr>
          <w:vertAlign w:val="subscript"/>
        </w:rPr>
        <w:t>i</w:t>
      </w:r>
      <w:r>
        <w:t>=C</w:t>
      </w:r>
      <w:r>
        <w:rPr>
          <w:vertAlign w:val="subscript"/>
        </w:rPr>
        <w:t>i</w:t>
      </w:r>
      <w:r>
        <w:t>/C</w:t>
      </w:r>
      <w:r>
        <w:rPr>
          <w:vertAlign w:val="subscript"/>
        </w:rPr>
        <w:t>oi</w:t>
      </w:r>
    </w:p>
    <w:p>
      <w:pPr>
        <w:ind w:firstLine="960" w:firstLineChars="400"/>
      </w:pPr>
      <w:r>
        <w:t>式中：I</w:t>
      </w:r>
      <w:r>
        <w:rPr>
          <w:vertAlign w:val="subscript"/>
        </w:rPr>
        <w:t>i</w:t>
      </w:r>
      <w:r>
        <w:t>——第i种污染物的污染指数；</w:t>
      </w:r>
    </w:p>
    <w:p>
      <w:pPr>
        <w:ind w:firstLine="960" w:firstLineChars="400"/>
      </w:pPr>
      <w:r>
        <w:t>C</w:t>
      </w:r>
      <w:r>
        <w:rPr>
          <w:vertAlign w:val="subscript"/>
        </w:rPr>
        <w:t>i</w:t>
      </w:r>
      <w:r>
        <w:t>——第i种污染物的实测浓度或均值浓度，mg/Nm</w:t>
      </w:r>
      <w:r>
        <w:rPr>
          <w:vertAlign w:val="superscript"/>
        </w:rPr>
        <w:t>3</w:t>
      </w:r>
      <w:r>
        <w:t>；</w:t>
      </w:r>
    </w:p>
    <w:p>
      <w:pPr>
        <w:ind w:firstLine="960" w:firstLineChars="400"/>
      </w:pPr>
      <w:r>
        <w:t>C</w:t>
      </w:r>
      <w:r>
        <w:rPr>
          <w:vertAlign w:val="subscript"/>
        </w:rPr>
        <w:t>oi</w:t>
      </w:r>
      <w:r>
        <w:t>——第i种污染物对应的环境空气质量标准，mg/Nm</w:t>
      </w:r>
      <w:r>
        <w:rPr>
          <w:vertAlign w:val="superscript"/>
        </w:rPr>
        <w:t>3</w:t>
      </w:r>
      <w:r>
        <w:t>。</w:t>
      </w:r>
    </w:p>
    <w:p>
      <w:pPr>
        <w:ind w:firstLine="482"/>
        <w:rPr>
          <w:b/>
          <w:bCs/>
        </w:rPr>
      </w:pPr>
      <w:r>
        <w:rPr>
          <w:rFonts w:hint="eastAsia"/>
          <w:b/>
          <w:bCs/>
        </w:rPr>
        <w:t>（7）</w:t>
      </w:r>
      <w:r>
        <w:rPr>
          <w:b/>
          <w:bCs/>
        </w:rPr>
        <w:t>评价标准</w:t>
      </w:r>
    </w:p>
    <w:p>
      <w:pPr>
        <w:ind w:firstLine="480"/>
      </w:pPr>
      <w:r>
        <w:t>NH</w:t>
      </w:r>
      <w:r>
        <w:rPr>
          <w:vertAlign w:val="subscript"/>
        </w:rPr>
        <w:t>3</w:t>
      </w:r>
      <w:r>
        <w:t>和H</w:t>
      </w:r>
      <w:r>
        <w:rPr>
          <w:vertAlign w:val="subscript"/>
        </w:rPr>
        <w:t>2</w:t>
      </w:r>
      <w:r>
        <w:t>S参照执行</w:t>
      </w:r>
      <w:r>
        <w:rPr>
          <w:rFonts w:hint="eastAsia"/>
        </w:rPr>
        <w:t>《环境影响评价技术导则</w:t>
      </w:r>
      <w:r>
        <w:t>—</w:t>
      </w:r>
      <w:r>
        <w:rPr>
          <w:rFonts w:hint="eastAsia"/>
        </w:rPr>
        <w:t>大气环境》（</w:t>
      </w:r>
      <w:r>
        <w:t>HJ2.2-2018</w:t>
      </w:r>
      <w:r>
        <w:rPr>
          <w:rFonts w:hint="eastAsia"/>
        </w:rPr>
        <w:t>）附录</w:t>
      </w:r>
      <w:r>
        <w:t>D</w:t>
      </w:r>
      <w:r>
        <w:rPr>
          <w:rFonts w:hint="eastAsia"/>
        </w:rPr>
        <w:t>浓度限值</w:t>
      </w:r>
      <w:r>
        <w:t>。</w:t>
      </w:r>
    </w:p>
    <w:p>
      <w:pPr>
        <w:ind w:firstLine="482"/>
        <w:rPr>
          <w:b/>
          <w:bCs/>
        </w:rPr>
      </w:pPr>
      <w:r>
        <w:rPr>
          <w:rFonts w:hint="eastAsia"/>
          <w:b/>
          <w:bCs/>
        </w:rPr>
        <w:t>（8）评价结果</w:t>
      </w:r>
    </w:p>
    <w:p>
      <w:pPr>
        <w:ind w:firstLine="480"/>
      </w:pPr>
      <w:r>
        <w:t>环境空气特征污染物质量现状评价结果见表</w:t>
      </w:r>
      <w:r>
        <w:rPr>
          <w:rFonts w:hint="eastAsia"/>
          <w:lang w:val="en-US" w:eastAsia="zh-CN"/>
        </w:rPr>
        <w:t>4</w:t>
      </w:r>
      <w:r>
        <w:rPr>
          <w:rFonts w:hint="eastAsia"/>
        </w:rPr>
        <w:t>.5</w:t>
      </w:r>
      <w:r>
        <w:t>。</w:t>
      </w:r>
    </w:p>
    <w:p>
      <w:pPr>
        <w:spacing w:line="240" w:lineRule="auto"/>
        <w:ind w:firstLine="482"/>
        <w:jc w:val="center"/>
        <w:rPr>
          <w:b/>
          <w:bCs/>
        </w:rPr>
      </w:pPr>
      <w:r>
        <w:rPr>
          <w:b/>
          <w:bCs/>
        </w:rPr>
        <w:t>表</w:t>
      </w:r>
      <w:r>
        <w:rPr>
          <w:rFonts w:hint="eastAsia"/>
          <w:b/>
          <w:bCs/>
          <w:lang w:val="en-US" w:eastAsia="zh-CN"/>
        </w:rPr>
        <w:t>4</w:t>
      </w:r>
      <w:r>
        <w:rPr>
          <w:rFonts w:hint="eastAsia"/>
          <w:b/>
          <w:bCs/>
        </w:rPr>
        <w:t>.5</w:t>
      </w:r>
      <w:r>
        <w:rPr>
          <w:b/>
          <w:bCs/>
        </w:rPr>
        <w:t xml:space="preserve">  </w:t>
      </w:r>
      <w:r>
        <w:rPr>
          <w:rFonts w:hint="eastAsia"/>
          <w:b/>
          <w:bCs/>
        </w:rPr>
        <w:t xml:space="preserve">  </w:t>
      </w:r>
      <w:r>
        <w:rPr>
          <w:b/>
          <w:bCs/>
        </w:rPr>
        <w:t>环境空气特征污染物质量现状</w:t>
      </w:r>
      <w:r>
        <w:rPr>
          <w:rFonts w:hint="eastAsia"/>
          <w:b/>
          <w:bCs/>
        </w:rPr>
        <w:t>评价</w:t>
      </w:r>
      <w:r>
        <w:rPr>
          <w:b/>
          <w:bCs/>
        </w:rPr>
        <w:t>结果分析一览表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5"/>
        <w:gridCol w:w="2441"/>
        <w:gridCol w:w="2441"/>
        <w:gridCol w:w="2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pct"/>
            <w:tcBorders>
              <w:tl2br w:val="nil"/>
              <w:tr2bl w:val="nil"/>
            </w:tcBorders>
            <w:vAlign w:val="center"/>
          </w:tcPr>
          <w:p>
            <w:pPr>
              <w:pStyle w:val="85"/>
              <w:rPr>
                <w:b/>
                <w:bCs/>
                <w:szCs w:val="21"/>
              </w:rPr>
            </w:pPr>
            <w:r>
              <w:rPr>
                <w:b/>
                <w:bCs/>
                <w:szCs w:val="21"/>
              </w:rPr>
              <w:t>监测点位</w:t>
            </w:r>
          </w:p>
        </w:tc>
        <w:tc>
          <w:tcPr>
            <w:tcW w:w="1225" w:type="pct"/>
            <w:tcBorders>
              <w:tl2br w:val="nil"/>
              <w:tr2bl w:val="nil"/>
            </w:tcBorders>
            <w:vAlign w:val="center"/>
          </w:tcPr>
          <w:p>
            <w:pPr>
              <w:pStyle w:val="85"/>
              <w:rPr>
                <w:b/>
                <w:bCs/>
                <w:szCs w:val="21"/>
              </w:rPr>
            </w:pPr>
            <w:r>
              <w:rPr>
                <w:b/>
                <w:bCs/>
                <w:szCs w:val="21"/>
              </w:rPr>
              <w:t>项目</w:t>
            </w:r>
          </w:p>
        </w:tc>
        <w:tc>
          <w:tcPr>
            <w:tcW w:w="1225" w:type="pct"/>
            <w:tcBorders>
              <w:tl2br w:val="nil"/>
              <w:tr2bl w:val="nil"/>
            </w:tcBorders>
            <w:vAlign w:val="center"/>
          </w:tcPr>
          <w:p>
            <w:pPr>
              <w:pStyle w:val="85"/>
              <w:rPr>
                <w:b/>
                <w:bCs/>
                <w:szCs w:val="21"/>
              </w:rPr>
            </w:pPr>
            <w:r>
              <w:rPr>
                <w:b/>
                <w:bCs/>
                <w:szCs w:val="21"/>
              </w:rPr>
              <w:t>NH</w:t>
            </w:r>
            <w:r>
              <w:rPr>
                <w:b/>
                <w:bCs/>
                <w:szCs w:val="21"/>
                <w:vertAlign w:val="subscript"/>
              </w:rPr>
              <w:t>3</w:t>
            </w:r>
          </w:p>
        </w:tc>
        <w:tc>
          <w:tcPr>
            <w:tcW w:w="1277" w:type="pct"/>
            <w:tcBorders>
              <w:tl2br w:val="nil"/>
              <w:tr2bl w:val="nil"/>
            </w:tcBorders>
            <w:vAlign w:val="center"/>
          </w:tcPr>
          <w:p>
            <w:pPr>
              <w:pStyle w:val="85"/>
              <w:rPr>
                <w:b/>
                <w:bCs/>
                <w:szCs w:val="21"/>
              </w:rPr>
            </w:pPr>
            <w:r>
              <w:rPr>
                <w:b/>
                <w:bCs/>
                <w:szCs w:val="21"/>
              </w:rPr>
              <w:t>H</w:t>
            </w:r>
            <w:r>
              <w:rPr>
                <w:b/>
                <w:bCs/>
                <w:szCs w:val="21"/>
                <w:vertAlign w:val="subscript"/>
              </w:rPr>
              <w:t>2</w:t>
            </w:r>
            <w:r>
              <w:rPr>
                <w:b/>
                <w:bCs/>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pct"/>
            <w:vMerge w:val="restart"/>
            <w:tcBorders>
              <w:tl2br w:val="nil"/>
              <w:tr2bl w:val="nil"/>
            </w:tcBorders>
            <w:vAlign w:val="center"/>
          </w:tcPr>
          <w:p>
            <w:pPr>
              <w:pStyle w:val="85"/>
              <w:rPr>
                <w:szCs w:val="21"/>
              </w:rPr>
            </w:pPr>
            <w:r>
              <w:rPr>
                <w:szCs w:val="21"/>
              </w:rPr>
              <w:t>1#</w:t>
            </w:r>
          </w:p>
        </w:tc>
        <w:tc>
          <w:tcPr>
            <w:tcW w:w="1225" w:type="pct"/>
            <w:tcBorders>
              <w:tl2br w:val="nil"/>
              <w:tr2bl w:val="nil"/>
            </w:tcBorders>
            <w:vAlign w:val="center"/>
          </w:tcPr>
          <w:p>
            <w:pPr>
              <w:pStyle w:val="85"/>
              <w:rPr>
                <w:szCs w:val="21"/>
              </w:rPr>
            </w:pPr>
            <w:r>
              <w:rPr>
                <w:szCs w:val="21"/>
              </w:rPr>
              <w:t>标准限值（mg/m</w:t>
            </w:r>
            <w:r>
              <w:rPr>
                <w:szCs w:val="21"/>
                <w:vertAlign w:val="superscript"/>
              </w:rPr>
              <w:t>3</w:t>
            </w:r>
            <w:r>
              <w:rPr>
                <w:szCs w:val="21"/>
              </w:rPr>
              <w:t>）</w:t>
            </w:r>
          </w:p>
        </w:tc>
        <w:tc>
          <w:tcPr>
            <w:tcW w:w="1225" w:type="pct"/>
            <w:tcBorders>
              <w:tl2br w:val="nil"/>
              <w:tr2bl w:val="nil"/>
            </w:tcBorders>
            <w:vAlign w:val="center"/>
          </w:tcPr>
          <w:p>
            <w:pPr>
              <w:pStyle w:val="85"/>
              <w:rPr>
                <w:szCs w:val="21"/>
              </w:rPr>
            </w:pPr>
            <w:r>
              <w:rPr>
                <w:szCs w:val="21"/>
              </w:rPr>
              <w:t>0.2</w:t>
            </w:r>
          </w:p>
        </w:tc>
        <w:tc>
          <w:tcPr>
            <w:tcW w:w="1277" w:type="pct"/>
            <w:tcBorders>
              <w:tl2br w:val="nil"/>
              <w:tr2bl w:val="nil"/>
            </w:tcBorders>
            <w:vAlign w:val="center"/>
          </w:tcPr>
          <w:p>
            <w:pPr>
              <w:pStyle w:val="85"/>
              <w:rPr>
                <w:szCs w:val="21"/>
              </w:rPr>
            </w:pPr>
            <w:r>
              <w:rPr>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pct"/>
            <w:vMerge w:val="continue"/>
            <w:tcBorders>
              <w:tl2br w:val="nil"/>
              <w:tr2bl w:val="nil"/>
            </w:tcBorders>
            <w:vAlign w:val="center"/>
          </w:tcPr>
          <w:p>
            <w:pPr>
              <w:pStyle w:val="85"/>
              <w:rPr>
                <w:szCs w:val="21"/>
              </w:rPr>
            </w:pPr>
          </w:p>
        </w:tc>
        <w:tc>
          <w:tcPr>
            <w:tcW w:w="1225" w:type="pct"/>
            <w:tcBorders>
              <w:tl2br w:val="nil"/>
              <w:tr2bl w:val="nil"/>
            </w:tcBorders>
            <w:vAlign w:val="center"/>
          </w:tcPr>
          <w:p>
            <w:pPr>
              <w:pStyle w:val="85"/>
              <w:rPr>
                <w:szCs w:val="21"/>
              </w:rPr>
            </w:pPr>
            <w:r>
              <w:rPr>
                <w:szCs w:val="21"/>
              </w:rPr>
              <w:t>浓度范围（mg/m</w:t>
            </w:r>
            <w:r>
              <w:rPr>
                <w:szCs w:val="21"/>
                <w:vertAlign w:val="superscript"/>
              </w:rPr>
              <w:t>3</w:t>
            </w:r>
            <w:r>
              <w:rPr>
                <w:szCs w:val="21"/>
              </w:rPr>
              <w:t>）</w:t>
            </w:r>
          </w:p>
        </w:tc>
        <w:tc>
          <w:tcPr>
            <w:tcW w:w="1225" w:type="pct"/>
            <w:tcBorders>
              <w:tl2br w:val="nil"/>
              <w:tr2bl w:val="nil"/>
            </w:tcBorders>
            <w:vAlign w:val="center"/>
          </w:tcPr>
          <w:p>
            <w:pPr>
              <w:pStyle w:val="85"/>
              <w:rPr>
                <w:szCs w:val="21"/>
              </w:rPr>
            </w:pPr>
            <w:r>
              <w:rPr>
                <w:szCs w:val="21"/>
              </w:rPr>
              <w:t>0.008~0.014</w:t>
            </w:r>
          </w:p>
        </w:tc>
        <w:tc>
          <w:tcPr>
            <w:tcW w:w="1277" w:type="pct"/>
            <w:tcBorders>
              <w:tl2br w:val="nil"/>
              <w:tr2bl w:val="nil"/>
            </w:tcBorders>
            <w:vAlign w:val="center"/>
          </w:tcPr>
          <w:p>
            <w:pPr>
              <w:pStyle w:val="85"/>
              <w:rPr>
                <w:szCs w:val="21"/>
              </w:rPr>
            </w:pPr>
            <w:r>
              <w:rPr>
                <w:szCs w:val="21"/>
              </w:rPr>
              <w:t>0.001~0.004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pct"/>
            <w:vMerge w:val="continue"/>
            <w:tcBorders>
              <w:tl2br w:val="nil"/>
              <w:tr2bl w:val="nil"/>
            </w:tcBorders>
            <w:vAlign w:val="center"/>
          </w:tcPr>
          <w:p>
            <w:pPr>
              <w:pStyle w:val="85"/>
              <w:rPr>
                <w:szCs w:val="21"/>
              </w:rPr>
            </w:pPr>
          </w:p>
        </w:tc>
        <w:tc>
          <w:tcPr>
            <w:tcW w:w="1225" w:type="pct"/>
            <w:tcBorders>
              <w:tl2br w:val="nil"/>
              <w:tr2bl w:val="nil"/>
            </w:tcBorders>
            <w:vAlign w:val="center"/>
          </w:tcPr>
          <w:p>
            <w:pPr>
              <w:pStyle w:val="85"/>
              <w:rPr>
                <w:szCs w:val="21"/>
              </w:rPr>
            </w:pPr>
            <w:r>
              <w:rPr>
                <w:szCs w:val="21"/>
              </w:rPr>
              <w:t>污染指数范围</w:t>
            </w:r>
          </w:p>
        </w:tc>
        <w:tc>
          <w:tcPr>
            <w:tcW w:w="1225" w:type="pct"/>
            <w:tcBorders>
              <w:tl2br w:val="nil"/>
              <w:tr2bl w:val="nil"/>
            </w:tcBorders>
            <w:vAlign w:val="center"/>
          </w:tcPr>
          <w:p>
            <w:pPr>
              <w:pStyle w:val="85"/>
              <w:rPr>
                <w:szCs w:val="21"/>
              </w:rPr>
            </w:pPr>
            <w:r>
              <w:rPr>
                <w:szCs w:val="21"/>
              </w:rPr>
              <w:t>0.04~0.07</w:t>
            </w:r>
          </w:p>
        </w:tc>
        <w:tc>
          <w:tcPr>
            <w:tcW w:w="1277" w:type="pct"/>
            <w:tcBorders>
              <w:tl2br w:val="nil"/>
              <w:tr2bl w:val="nil"/>
            </w:tcBorders>
            <w:vAlign w:val="center"/>
          </w:tcPr>
          <w:p>
            <w:pPr>
              <w:pStyle w:val="85"/>
              <w:rPr>
                <w:szCs w:val="21"/>
              </w:rPr>
            </w:pPr>
            <w:r>
              <w:rPr>
                <w:szCs w:val="21"/>
              </w:rPr>
              <w:t>0.1~0.4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pct"/>
            <w:vMerge w:val="continue"/>
            <w:tcBorders>
              <w:tl2br w:val="nil"/>
              <w:tr2bl w:val="nil"/>
            </w:tcBorders>
            <w:vAlign w:val="center"/>
          </w:tcPr>
          <w:p>
            <w:pPr>
              <w:pStyle w:val="85"/>
              <w:rPr>
                <w:szCs w:val="21"/>
              </w:rPr>
            </w:pPr>
          </w:p>
        </w:tc>
        <w:tc>
          <w:tcPr>
            <w:tcW w:w="1225" w:type="pct"/>
            <w:tcBorders>
              <w:tl2br w:val="nil"/>
              <w:tr2bl w:val="nil"/>
            </w:tcBorders>
            <w:vAlign w:val="center"/>
          </w:tcPr>
          <w:p>
            <w:pPr>
              <w:pStyle w:val="85"/>
              <w:rPr>
                <w:szCs w:val="21"/>
              </w:rPr>
            </w:pPr>
            <w:r>
              <w:rPr>
                <w:szCs w:val="21"/>
              </w:rPr>
              <w:t>超标率</w:t>
            </w:r>
          </w:p>
        </w:tc>
        <w:tc>
          <w:tcPr>
            <w:tcW w:w="1225" w:type="pct"/>
            <w:tcBorders>
              <w:tl2br w:val="nil"/>
              <w:tr2bl w:val="nil"/>
            </w:tcBorders>
            <w:vAlign w:val="center"/>
          </w:tcPr>
          <w:p>
            <w:pPr>
              <w:pStyle w:val="85"/>
              <w:rPr>
                <w:szCs w:val="21"/>
              </w:rPr>
            </w:pPr>
            <w:r>
              <w:rPr>
                <w:szCs w:val="21"/>
              </w:rPr>
              <w:t>0</w:t>
            </w:r>
          </w:p>
        </w:tc>
        <w:tc>
          <w:tcPr>
            <w:tcW w:w="1277" w:type="pct"/>
            <w:tcBorders>
              <w:tl2br w:val="nil"/>
              <w:tr2bl w:val="nil"/>
            </w:tcBorders>
            <w:vAlign w:val="center"/>
          </w:tcPr>
          <w:p>
            <w:pPr>
              <w:pStyle w:val="85"/>
              <w:rPr>
                <w:szCs w:val="21"/>
              </w:rPr>
            </w:pPr>
            <w:r>
              <w:rPr>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2" w:type="pct"/>
            <w:vMerge w:val="continue"/>
            <w:tcBorders>
              <w:tl2br w:val="nil"/>
              <w:tr2bl w:val="nil"/>
            </w:tcBorders>
            <w:vAlign w:val="center"/>
          </w:tcPr>
          <w:p>
            <w:pPr>
              <w:pStyle w:val="85"/>
              <w:rPr>
                <w:szCs w:val="21"/>
              </w:rPr>
            </w:pPr>
          </w:p>
        </w:tc>
        <w:tc>
          <w:tcPr>
            <w:tcW w:w="1225" w:type="pct"/>
            <w:tcBorders>
              <w:tl2br w:val="nil"/>
              <w:tr2bl w:val="nil"/>
            </w:tcBorders>
            <w:vAlign w:val="center"/>
          </w:tcPr>
          <w:p>
            <w:pPr>
              <w:pStyle w:val="85"/>
              <w:rPr>
                <w:szCs w:val="21"/>
              </w:rPr>
            </w:pPr>
            <w:r>
              <w:rPr>
                <w:szCs w:val="21"/>
              </w:rPr>
              <w:t>最大超标倍数</w:t>
            </w:r>
          </w:p>
        </w:tc>
        <w:tc>
          <w:tcPr>
            <w:tcW w:w="1225" w:type="pct"/>
            <w:tcBorders>
              <w:tl2br w:val="nil"/>
              <w:tr2bl w:val="nil"/>
            </w:tcBorders>
            <w:vAlign w:val="center"/>
          </w:tcPr>
          <w:p>
            <w:pPr>
              <w:pStyle w:val="85"/>
              <w:rPr>
                <w:szCs w:val="21"/>
              </w:rPr>
            </w:pPr>
            <w:r>
              <w:rPr>
                <w:szCs w:val="21"/>
              </w:rPr>
              <w:t>/</w:t>
            </w:r>
          </w:p>
        </w:tc>
        <w:tc>
          <w:tcPr>
            <w:tcW w:w="1277" w:type="pct"/>
            <w:tcBorders>
              <w:tl2br w:val="nil"/>
              <w:tr2bl w:val="nil"/>
            </w:tcBorders>
            <w:vAlign w:val="center"/>
          </w:tcPr>
          <w:p>
            <w:pPr>
              <w:pStyle w:val="85"/>
              <w:rPr>
                <w:szCs w:val="21"/>
              </w:rPr>
            </w:pPr>
            <w:r>
              <w:rPr>
                <w:szCs w:val="21"/>
              </w:rPr>
              <w:t>/</w:t>
            </w:r>
          </w:p>
        </w:tc>
      </w:tr>
    </w:tbl>
    <w:p>
      <w:pPr>
        <w:ind w:firstLine="480"/>
      </w:pPr>
      <w:r>
        <w:t>由上表可知，监测期间</w:t>
      </w:r>
      <w:bookmarkStart w:id="613" w:name="OLE_LINK66"/>
      <w:r>
        <w:t>本项目</w:t>
      </w:r>
      <w:r>
        <w:rPr>
          <w:rFonts w:hint="eastAsia"/>
        </w:rPr>
        <w:t>厂区下风向</w:t>
      </w:r>
      <w:r>
        <w:t>处NH</w:t>
      </w:r>
      <w:r>
        <w:rPr>
          <w:vertAlign w:val="subscript"/>
        </w:rPr>
        <w:t>3</w:t>
      </w:r>
      <w:r>
        <w:t>和H</w:t>
      </w:r>
      <w:r>
        <w:rPr>
          <w:vertAlign w:val="subscript"/>
        </w:rPr>
        <w:t>2</w:t>
      </w:r>
      <w:r>
        <w:t>S均满足</w:t>
      </w:r>
      <w:r>
        <w:rPr>
          <w:rFonts w:hint="eastAsia"/>
        </w:rPr>
        <w:t>《环境影响评价技术导则</w:t>
      </w:r>
      <w:r>
        <w:t>—</w:t>
      </w:r>
      <w:r>
        <w:rPr>
          <w:rFonts w:hint="eastAsia"/>
        </w:rPr>
        <w:t>大气环境》（</w:t>
      </w:r>
      <w:r>
        <w:t>HJ2.2-2018</w:t>
      </w:r>
      <w:r>
        <w:rPr>
          <w:rFonts w:hint="eastAsia"/>
        </w:rPr>
        <w:t>）附录</w:t>
      </w:r>
      <w:r>
        <w:t>D</w:t>
      </w:r>
      <w:r>
        <w:rPr>
          <w:rFonts w:hint="eastAsia"/>
        </w:rPr>
        <w:t>浓度限值</w:t>
      </w:r>
      <w:bookmarkEnd w:id="613"/>
      <w:r>
        <w:rPr>
          <w:rFonts w:hint="eastAsia"/>
        </w:rPr>
        <w:t>，无超标现象，</w:t>
      </w:r>
      <w:r>
        <w:rPr>
          <w:lang w:bidi="ar"/>
        </w:rPr>
        <w:t>因此，项目区域大气环境质量现状良好。</w:t>
      </w:r>
    </w:p>
    <w:bookmarkEnd w:id="605"/>
    <w:bookmarkEnd w:id="606"/>
    <w:bookmarkEnd w:id="607"/>
    <w:bookmarkEnd w:id="608"/>
    <w:bookmarkEnd w:id="609"/>
    <w:bookmarkEnd w:id="611"/>
    <w:bookmarkEnd w:id="612"/>
    <w:p>
      <w:pPr>
        <w:pStyle w:val="6"/>
        <w:ind w:firstLine="482"/>
      </w:pPr>
      <w:bookmarkStart w:id="614" w:name="_Toc24208_WPSOffice_Level2"/>
      <w:bookmarkStart w:id="615" w:name="_Toc21967_WPSOffice_Level2"/>
      <w:bookmarkStart w:id="616" w:name="_Toc6545"/>
      <w:r>
        <w:rPr>
          <w:rFonts w:hint="eastAsia"/>
          <w:lang w:val="en-US" w:eastAsia="zh-CN"/>
        </w:rPr>
        <w:t>4</w:t>
      </w:r>
      <w:r>
        <w:t>.2.2</w:t>
      </w:r>
      <w:r>
        <w:rPr>
          <w:rFonts w:hint="eastAsia"/>
        </w:rPr>
        <w:t>、</w:t>
      </w:r>
      <w:r>
        <w:t>地下水</w:t>
      </w:r>
      <w:r>
        <w:rPr>
          <w:rFonts w:hint="eastAsia"/>
        </w:rPr>
        <w:t>环境</w:t>
      </w:r>
      <w:r>
        <w:t>质量现状</w:t>
      </w:r>
      <w:bookmarkEnd w:id="614"/>
      <w:bookmarkEnd w:id="615"/>
      <w:bookmarkEnd w:id="616"/>
    </w:p>
    <w:p>
      <w:pPr>
        <w:pStyle w:val="61"/>
        <w:spacing w:line="500" w:lineRule="exact"/>
        <w:ind w:firstLine="480"/>
        <w:rPr>
          <w:rFonts w:ascii="Times New Roman" w:hAnsi="Times New Roman"/>
          <w:color w:val="auto"/>
        </w:rPr>
      </w:pPr>
      <w:r>
        <w:rPr>
          <w:rFonts w:ascii="Times New Roman" w:hAnsi="Times New Roman"/>
          <w:color w:val="auto"/>
        </w:rPr>
        <w:t>为了更好的了解项目厂区周边地下水环境质量现状，</w:t>
      </w:r>
      <w:r>
        <w:rPr>
          <w:rFonts w:hint="eastAsia" w:ascii="Times New Roman" w:hAnsi="Times New Roman"/>
          <w:color w:val="auto"/>
          <w:lang w:val="en-US" w:eastAsia="zh-CN"/>
        </w:rPr>
        <w:t>张掖市沅博农牧产业开发有限公司</w:t>
      </w:r>
      <w:r>
        <w:rPr>
          <w:rFonts w:ascii="Times New Roman" w:hAnsi="Times New Roman"/>
          <w:color w:val="auto"/>
        </w:rPr>
        <w:t>委托</w:t>
      </w:r>
      <w:r>
        <w:rPr>
          <w:rFonts w:hint="eastAsia" w:ascii="Times New Roman" w:hAnsi="Times New Roman"/>
          <w:color w:val="auto"/>
        </w:rPr>
        <w:t>委托甘肃沁园环保科技有限公司于2022年5月31日~2022年6月1日对评价区内地下水环境镜进行了监测。</w:t>
      </w:r>
    </w:p>
    <w:p>
      <w:pPr>
        <w:ind w:firstLine="482"/>
        <w:rPr>
          <w:b/>
          <w:bCs/>
        </w:rPr>
      </w:pPr>
      <w:r>
        <w:rPr>
          <w:rFonts w:hint="eastAsia"/>
          <w:b/>
          <w:bCs/>
        </w:rPr>
        <w:t>（1）</w:t>
      </w:r>
      <w:r>
        <w:rPr>
          <w:b/>
          <w:bCs/>
        </w:rPr>
        <w:t>监测点位</w:t>
      </w:r>
    </w:p>
    <w:p>
      <w:pPr>
        <w:ind w:firstLine="480"/>
      </w:pPr>
      <w:r>
        <w:t>本项目共设置</w:t>
      </w:r>
      <w:r>
        <w:rPr>
          <w:rFonts w:hint="eastAsia"/>
        </w:rPr>
        <w:t>3</w:t>
      </w:r>
      <w:r>
        <w:t>个地下水现状监测点位，</w:t>
      </w:r>
      <w:r>
        <w:rPr>
          <w:rFonts w:hint="eastAsia"/>
        </w:rPr>
        <w:t>监测层全部为潜水含水层</w:t>
      </w:r>
      <w:r>
        <w:t>，</w:t>
      </w:r>
      <w:r>
        <w:rPr>
          <w:rFonts w:hint="eastAsia"/>
        </w:rPr>
        <w:t>根据调查，本项目地下水流向为</w:t>
      </w:r>
      <w:r>
        <w:t>自东南向西北方向径流</w:t>
      </w:r>
      <w:r>
        <w:rPr>
          <w:rFonts w:hint="eastAsia"/>
        </w:rPr>
        <w:t>，本项目</w:t>
      </w:r>
      <w:r>
        <w:t>监测点位布置情况见表</w:t>
      </w:r>
      <w:r>
        <w:rPr>
          <w:rFonts w:hint="eastAsia"/>
        </w:rPr>
        <w:t>3.6</w:t>
      </w:r>
      <w:r>
        <w:t>及</w:t>
      </w:r>
      <w:r>
        <w:rPr>
          <w:rFonts w:hint="eastAsia"/>
        </w:rPr>
        <w:t>附</w:t>
      </w:r>
      <w:r>
        <w:t>图</w:t>
      </w:r>
      <w:r>
        <w:rPr>
          <w:rFonts w:hint="eastAsia"/>
        </w:rPr>
        <w:t>10</w:t>
      </w:r>
      <w:r>
        <w:t>。</w:t>
      </w:r>
      <w:r>
        <w:rPr>
          <w:rFonts w:hint="eastAsia"/>
        </w:rPr>
        <w:t>同时结合《环境影响评价技术导则 地下水环境》（HJ610—2016）可知，</w:t>
      </w:r>
      <w:r>
        <w:t>三级评价项目潜水含水层水质监测点应不少于3个，</w:t>
      </w:r>
      <w:r>
        <w:rPr>
          <w:rFonts w:hint="eastAsia"/>
          <w:lang w:val="en-US" w:eastAsia="zh-CN"/>
        </w:rPr>
        <w:t>其中：</w:t>
      </w:r>
      <w:r>
        <w:t>可能受建设项目影响且具有饮用水开发利用价值的含水层1~2个</w:t>
      </w:r>
      <w:r>
        <w:rPr>
          <w:rFonts w:hint="eastAsia"/>
          <w:lang w:eastAsia="zh-CN"/>
        </w:rPr>
        <w:t>，</w:t>
      </w:r>
      <w:r>
        <w:t>原则上建设项目场地上游及下游影响区的地下水水质监测点各不得少于1个；</w:t>
      </w:r>
      <w:r>
        <w:rPr>
          <w:rFonts w:hint="eastAsia"/>
        </w:rPr>
        <w:t>由上可知，本项目地下水监测点位设置基本能够满足《环境影响评价技术导则 地下水环境》（HJ610—2016）中的要求。</w:t>
      </w:r>
    </w:p>
    <w:p>
      <w:pPr>
        <w:spacing w:line="240" w:lineRule="auto"/>
        <w:ind w:firstLine="482"/>
        <w:jc w:val="center"/>
      </w:pPr>
      <w:r>
        <w:rPr>
          <w:rFonts w:hint="eastAsia"/>
          <w:b/>
          <w:bCs/>
        </w:rPr>
        <w:t>表</w:t>
      </w:r>
      <w:r>
        <w:rPr>
          <w:rFonts w:hint="eastAsia"/>
          <w:b/>
          <w:bCs/>
          <w:lang w:val="en-US" w:eastAsia="zh-CN"/>
        </w:rPr>
        <w:t>4</w:t>
      </w:r>
      <w:r>
        <w:rPr>
          <w:rFonts w:hint="eastAsia"/>
          <w:b/>
          <w:bCs/>
        </w:rPr>
        <w:t>.6    检测位置及详细信息</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1"/>
        <w:gridCol w:w="5270"/>
        <w:gridCol w:w="3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2645" w:type="pct"/>
            <w:tcBorders>
              <w:tl2br w:val="nil"/>
              <w:tr2bl w:val="nil"/>
            </w:tcBorders>
            <w:vAlign w:val="center"/>
          </w:tcPr>
          <w:p>
            <w:pPr>
              <w:spacing w:line="240" w:lineRule="auto"/>
              <w:ind w:firstLine="422"/>
              <w:jc w:val="center"/>
              <w:rPr>
                <w:b/>
                <w:bCs/>
                <w:sz w:val="21"/>
                <w:szCs w:val="21"/>
              </w:rPr>
            </w:pPr>
            <w:r>
              <w:rPr>
                <w:b/>
                <w:bCs/>
                <w:sz w:val="21"/>
                <w:szCs w:val="21"/>
              </w:rPr>
              <w:t>点位</w:t>
            </w:r>
          </w:p>
        </w:tc>
        <w:tc>
          <w:tcPr>
            <w:tcW w:w="1976" w:type="pct"/>
            <w:tcBorders>
              <w:tl2br w:val="nil"/>
              <w:tr2bl w:val="nil"/>
            </w:tcBorders>
            <w:vAlign w:val="center"/>
          </w:tcPr>
          <w:p>
            <w:pPr>
              <w:spacing w:line="240" w:lineRule="auto"/>
              <w:ind w:firstLine="422"/>
              <w:jc w:val="center"/>
              <w:rPr>
                <w:b/>
                <w:bCs/>
                <w:sz w:val="21"/>
                <w:szCs w:val="21"/>
              </w:rPr>
            </w:pPr>
            <w:r>
              <w:rPr>
                <w:b/>
                <w:bCs/>
                <w:sz w:val="21"/>
                <w:szCs w:val="21"/>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2645" w:type="pct"/>
            <w:tcBorders>
              <w:tl2br w:val="nil"/>
              <w:tr2bl w:val="nil"/>
            </w:tcBorders>
            <w:vAlign w:val="center"/>
          </w:tcPr>
          <w:p>
            <w:pPr>
              <w:spacing w:line="240" w:lineRule="auto"/>
              <w:ind w:firstLine="0" w:firstLineChars="0"/>
              <w:jc w:val="center"/>
              <w:rPr>
                <w:sz w:val="21"/>
                <w:szCs w:val="21"/>
              </w:rPr>
            </w:pPr>
            <w:r>
              <w:rPr>
                <w:sz w:val="21"/>
                <w:szCs w:val="21"/>
              </w:rPr>
              <w:t>项目地下水上游（</w:t>
            </w:r>
            <w:r>
              <w:rPr>
                <w:rFonts w:hint="eastAsia"/>
                <w:sz w:val="21"/>
                <w:szCs w:val="21"/>
              </w:rPr>
              <w:t>天宇种业自备井</w:t>
            </w:r>
            <w:r>
              <w:rPr>
                <w:sz w:val="21"/>
                <w:szCs w:val="21"/>
              </w:rPr>
              <w:t>）</w:t>
            </w:r>
          </w:p>
        </w:tc>
        <w:tc>
          <w:tcPr>
            <w:tcW w:w="1976" w:type="pct"/>
            <w:tcBorders>
              <w:tl2br w:val="nil"/>
              <w:tr2bl w:val="nil"/>
            </w:tcBorders>
            <w:vAlign w:val="center"/>
          </w:tcPr>
          <w:p>
            <w:pPr>
              <w:spacing w:line="240" w:lineRule="auto"/>
              <w:ind w:firstLine="0" w:firstLineChars="0"/>
              <w:jc w:val="center"/>
              <w:rPr>
                <w:sz w:val="21"/>
                <w:szCs w:val="21"/>
              </w:rPr>
            </w:pPr>
            <w:r>
              <w:rPr>
                <w:sz w:val="21"/>
                <w:szCs w:val="21"/>
                <w:lang w:bidi="en-US"/>
              </w:rPr>
              <w:t>E:</w:t>
            </w:r>
            <w:r>
              <w:rPr>
                <w:sz w:val="21"/>
                <w:szCs w:val="21"/>
              </w:rPr>
              <w:t>100.26451349</w:t>
            </w:r>
            <w:r>
              <w:rPr>
                <w:rFonts w:hint="eastAsia"/>
                <w:sz w:val="21"/>
                <w:szCs w:val="21"/>
              </w:rPr>
              <w:t xml:space="preserve">    N:</w:t>
            </w:r>
            <w:r>
              <w:rPr>
                <w:sz w:val="21"/>
                <w:szCs w:val="21"/>
              </w:rPr>
              <w:t>38.94564208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2645" w:type="pct"/>
            <w:tcBorders>
              <w:tl2br w:val="nil"/>
              <w:tr2bl w:val="nil"/>
            </w:tcBorders>
            <w:vAlign w:val="center"/>
          </w:tcPr>
          <w:p>
            <w:pPr>
              <w:spacing w:line="240" w:lineRule="auto"/>
              <w:ind w:firstLine="0" w:firstLineChars="0"/>
              <w:jc w:val="center"/>
              <w:rPr>
                <w:sz w:val="21"/>
                <w:szCs w:val="21"/>
              </w:rPr>
            </w:pPr>
            <w:r>
              <w:rPr>
                <w:sz w:val="21"/>
                <w:szCs w:val="21"/>
              </w:rPr>
              <w:t>建设项目地下水侧游（</w:t>
            </w:r>
            <w:r>
              <w:rPr>
                <w:rFonts w:hint="eastAsia"/>
                <w:sz w:val="21"/>
                <w:szCs w:val="21"/>
              </w:rPr>
              <w:t>厂区自备</w:t>
            </w:r>
            <w:r>
              <w:rPr>
                <w:sz w:val="21"/>
                <w:szCs w:val="21"/>
              </w:rPr>
              <w:t>井）</w:t>
            </w:r>
          </w:p>
        </w:tc>
        <w:tc>
          <w:tcPr>
            <w:tcW w:w="1976" w:type="pct"/>
            <w:tcBorders>
              <w:tl2br w:val="nil"/>
              <w:tr2bl w:val="nil"/>
            </w:tcBorders>
            <w:vAlign w:val="center"/>
          </w:tcPr>
          <w:p>
            <w:pPr>
              <w:spacing w:line="240" w:lineRule="auto"/>
              <w:ind w:firstLine="0" w:firstLineChars="0"/>
              <w:jc w:val="center"/>
              <w:rPr>
                <w:sz w:val="21"/>
                <w:szCs w:val="21"/>
              </w:rPr>
            </w:pPr>
            <w:r>
              <w:rPr>
                <w:sz w:val="21"/>
                <w:szCs w:val="21"/>
                <w:lang w:bidi="en-US"/>
              </w:rPr>
              <w:t>E:</w:t>
            </w:r>
            <w:r>
              <w:rPr>
                <w:sz w:val="21"/>
                <w:szCs w:val="21"/>
              </w:rPr>
              <w:t>100.25682092</w:t>
            </w:r>
            <w:r>
              <w:rPr>
                <w:rFonts w:hint="eastAsia"/>
                <w:sz w:val="21"/>
                <w:szCs w:val="21"/>
              </w:rPr>
              <w:t xml:space="preserve">    N:</w:t>
            </w:r>
            <w:r>
              <w:rPr>
                <w:sz w:val="21"/>
                <w:szCs w:val="21"/>
              </w:rPr>
              <w:t>38.95606331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2645" w:type="pct"/>
            <w:tcBorders>
              <w:tl2br w:val="nil"/>
              <w:tr2bl w:val="nil"/>
            </w:tcBorders>
            <w:vAlign w:val="center"/>
          </w:tcPr>
          <w:p>
            <w:pPr>
              <w:spacing w:line="240" w:lineRule="auto"/>
              <w:ind w:firstLine="0" w:firstLineChars="0"/>
              <w:jc w:val="center"/>
              <w:rPr>
                <w:sz w:val="21"/>
                <w:szCs w:val="21"/>
              </w:rPr>
            </w:pPr>
            <w:r>
              <w:rPr>
                <w:sz w:val="21"/>
                <w:szCs w:val="21"/>
              </w:rPr>
              <w:t>建设项目地下水下游（</w:t>
            </w:r>
            <w:r>
              <w:rPr>
                <w:rFonts w:hint="eastAsia"/>
                <w:sz w:val="21"/>
                <w:szCs w:val="21"/>
              </w:rPr>
              <w:t>金立禾农畜品自备井</w:t>
            </w:r>
            <w:r>
              <w:rPr>
                <w:sz w:val="21"/>
                <w:szCs w:val="21"/>
              </w:rPr>
              <w:t>）</w:t>
            </w:r>
          </w:p>
        </w:tc>
        <w:tc>
          <w:tcPr>
            <w:tcW w:w="1976" w:type="pct"/>
            <w:tcBorders>
              <w:tl2br w:val="nil"/>
              <w:tr2bl w:val="nil"/>
            </w:tcBorders>
            <w:vAlign w:val="center"/>
          </w:tcPr>
          <w:p>
            <w:pPr>
              <w:spacing w:line="240" w:lineRule="auto"/>
              <w:ind w:firstLine="0" w:firstLineChars="0"/>
              <w:jc w:val="center"/>
              <w:rPr>
                <w:sz w:val="21"/>
                <w:szCs w:val="21"/>
              </w:rPr>
            </w:pPr>
            <w:r>
              <w:rPr>
                <w:sz w:val="21"/>
                <w:szCs w:val="21"/>
                <w:lang w:bidi="en-US"/>
              </w:rPr>
              <w:t>E:</w:t>
            </w:r>
            <w:r>
              <w:rPr>
                <w:sz w:val="21"/>
                <w:szCs w:val="21"/>
              </w:rPr>
              <w:t>100.24805546</w:t>
            </w:r>
            <w:r>
              <w:rPr>
                <w:rFonts w:hint="eastAsia"/>
                <w:sz w:val="21"/>
                <w:szCs w:val="21"/>
              </w:rPr>
              <w:t xml:space="preserve">    N:</w:t>
            </w:r>
            <w:r>
              <w:rPr>
                <w:sz w:val="21"/>
                <w:szCs w:val="21"/>
              </w:rPr>
              <w:t>38.96544862</w:t>
            </w:r>
          </w:p>
        </w:tc>
      </w:tr>
    </w:tbl>
    <w:p>
      <w:pPr>
        <w:ind w:firstLine="482"/>
      </w:pPr>
      <w:r>
        <w:rPr>
          <w:rFonts w:hint="eastAsia"/>
          <w:b/>
          <w:bCs/>
        </w:rPr>
        <w:t>（2）</w:t>
      </w:r>
      <w:r>
        <w:rPr>
          <w:b/>
          <w:bCs/>
        </w:rPr>
        <w:t>监测项目</w:t>
      </w:r>
    </w:p>
    <w:p>
      <w:pPr>
        <w:ind w:firstLine="480"/>
      </w:pPr>
      <w:r>
        <w:rPr>
          <w:rFonts w:hint="eastAsia"/>
        </w:rPr>
        <w:t>水位、</w:t>
      </w:r>
      <w:r>
        <w:t>pH、总硬度、溶解性总固体（TDS）、硫酸盐、氯化物、铁、锰、铜、锌、挥发性酚类、阴离子表面活性剂（LAS）、耗氧量、氨氮、硫化物、总大肠菌群、菌落总数、亚硝酸盐、硝酸盐、氰化物、氟化物、汞、砷、镉、铬（六价）、钠、K</w:t>
      </w:r>
      <w:r>
        <w:rPr>
          <w:vertAlign w:val="superscript"/>
        </w:rPr>
        <w:t>+</w:t>
      </w:r>
      <w:r>
        <w:t>、Ca</w:t>
      </w:r>
      <w:r>
        <w:rPr>
          <w:vertAlign w:val="superscript"/>
        </w:rPr>
        <w:t>2+</w:t>
      </w:r>
      <w:r>
        <w:t>、Mg</w:t>
      </w:r>
      <w:r>
        <w:rPr>
          <w:vertAlign w:val="superscript"/>
        </w:rPr>
        <w:t>2+</w:t>
      </w:r>
      <w:r>
        <w:t>、CO</w:t>
      </w:r>
      <w:r>
        <w:rPr>
          <w:vertAlign w:val="subscript"/>
        </w:rPr>
        <w:t>3</w:t>
      </w:r>
      <w:r>
        <w:rPr>
          <w:vertAlign w:val="superscript"/>
        </w:rPr>
        <w:t>2-</w:t>
      </w:r>
      <w:r>
        <w:t>、HCO</w:t>
      </w:r>
      <w:r>
        <w:rPr>
          <w:vertAlign w:val="superscript"/>
        </w:rPr>
        <w:t>3-</w:t>
      </w:r>
      <w:r>
        <w:t>、Cl</w:t>
      </w:r>
      <w:r>
        <w:rPr>
          <w:vertAlign w:val="superscript"/>
        </w:rPr>
        <w:t>-</w:t>
      </w:r>
      <w:r>
        <w:t>、SO</w:t>
      </w:r>
      <w:r>
        <w:rPr>
          <w:vertAlign w:val="subscript"/>
        </w:rPr>
        <w:t>4</w:t>
      </w:r>
      <w:r>
        <w:rPr>
          <w:vertAlign w:val="superscript"/>
        </w:rPr>
        <w:t>2-</w:t>
      </w:r>
      <w:r>
        <w:t>，共计32项。</w:t>
      </w:r>
    </w:p>
    <w:p>
      <w:pPr>
        <w:ind w:firstLine="482"/>
        <w:rPr>
          <w:b/>
          <w:bCs/>
        </w:rPr>
      </w:pPr>
      <w:r>
        <w:rPr>
          <w:rFonts w:hint="eastAsia"/>
          <w:b/>
          <w:bCs/>
        </w:rPr>
        <w:t>（3）</w:t>
      </w:r>
      <w:r>
        <w:rPr>
          <w:b/>
          <w:bCs/>
        </w:rPr>
        <w:t>监测时间及频次</w:t>
      </w:r>
    </w:p>
    <w:p>
      <w:pPr>
        <w:ind w:firstLine="480"/>
      </w:pPr>
      <w:r>
        <w:t>采样采样时间为2022年5月31-6月1日，连续检测2天，每天1次。</w:t>
      </w:r>
    </w:p>
    <w:p>
      <w:pPr>
        <w:ind w:firstLine="482"/>
        <w:rPr>
          <w:b/>
          <w:bCs/>
        </w:rPr>
      </w:pPr>
      <w:r>
        <w:rPr>
          <w:rFonts w:hint="eastAsia"/>
          <w:b/>
          <w:bCs/>
        </w:rPr>
        <w:t>（4）检测仪器及方法来源</w:t>
      </w:r>
    </w:p>
    <w:p>
      <w:pPr>
        <w:ind w:firstLine="480"/>
      </w:pPr>
      <w:r>
        <w:rPr>
          <w:rFonts w:hint="eastAsia"/>
        </w:rPr>
        <w:t>检测仪器及方法来源详见表</w:t>
      </w:r>
      <w:r>
        <w:rPr>
          <w:rFonts w:hint="eastAsia"/>
          <w:lang w:val="en-US" w:eastAsia="zh-CN"/>
        </w:rPr>
        <w:t>4</w:t>
      </w:r>
      <w:r>
        <w:rPr>
          <w:rFonts w:hint="eastAsia"/>
        </w:rPr>
        <w:t>.7。</w:t>
      </w:r>
    </w:p>
    <w:p>
      <w:pPr>
        <w:spacing w:line="240" w:lineRule="auto"/>
        <w:ind w:firstLine="482"/>
        <w:jc w:val="center"/>
        <w:rPr>
          <w:b/>
          <w:bCs/>
        </w:rPr>
      </w:pPr>
      <w:r>
        <w:rPr>
          <w:rFonts w:hint="eastAsia"/>
          <w:b/>
          <w:bCs/>
        </w:rPr>
        <w:t>表</w:t>
      </w:r>
      <w:r>
        <w:rPr>
          <w:rFonts w:hint="eastAsia"/>
          <w:b/>
          <w:bCs/>
          <w:lang w:val="en-US" w:eastAsia="zh-CN"/>
        </w:rPr>
        <w:t>4</w:t>
      </w:r>
      <w:r>
        <w:rPr>
          <w:rFonts w:hint="eastAsia"/>
          <w:b/>
          <w:bCs/>
        </w:rPr>
        <w:t>.7    检测仪器及方法来源  单位：mg/L</w:t>
      </w:r>
    </w:p>
    <w:tbl>
      <w:tblPr>
        <w:tblStyle w:val="32"/>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 w:type="dxa"/>
          <w:bottom w:w="0" w:type="dxa"/>
          <w:right w:w="10" w:type="dxa"/>
        </w:tblCellMar>
      </w:tblPr>
      <w:tblGrid>
        <w:gridCol w:w="1586"/>
        <w:gridCol w:w="2775"/>
        <w:gridCol w:w="1772"/>
        <w:gridCol w:w="2787"/>
        <w:gridCol w:w="9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项目名称</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分析方法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方法依据</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检测仪器</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检出限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pH（无量纲）</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电极法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HJ1147-2020</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AZ8601便携式酸度计GQHK-YQ-054</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总硬</w:t>
            </w:r>
            <w:r>
              <w:rPr>
                <w:rFonts w:hint="eastAsia"/>
                <w:sz w:val="21"/>
                <w:szCs w:val="21"/>
              </w:rPr>
              <w:t>（</w:t>
            </w:r>
            <w:r>
              <w:rPr>
                <w:sz w:val="21"/>
                <w:szCs w:val="21"/>
              </w:rPr>
              <w:t>mmol/L</w:t>
            </w:r>
            <w:r>
              <w:rPr>
                <w:rFonts w:hint="eastAsia"/>
                <w:sz w:val="21"/>
                <w:szCs w:val="21"/>
              </w:rPr>
              <w:t>）</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EDTA滴定法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GB7477-1987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标准滴定管</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溶解性总固体</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称量法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GB/T5750.4-2006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FA-2204型电子天平GQHK-YQ-008</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硫酸盐</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84-2016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氯化物</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84-2016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铁</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火焰原子吸收</w:t>
            </w:r>
          </w:p>
          <w:p>
            <w:pPr>
              <w:spacing w:line="240" w:lineRule="auto"/>
              <w:ind w:firstLine="0" w:firstLineChars="0"/>
              <w:jc w:val="center"/>
              <w:rPr>
                <w:sz w:val="21"/>
                <w:szCs w:val="21"/>
              </w:rPr>
            </w:pPr>
            <w:r>
              <w:rPr>
                <w:sz w:val="21"/>
                <w:szCs w:val="21"/>
              </w:rPr>
              <w:t>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 11911-1989</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ZCA-1000型原子吸收分光光度计GQHK-YQ-002</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锰</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火焰原子吸收</w:t>
            </w:r>
          </w:p>
          <w:p>
            <w:pPr>
              <w:spacing w:line="240" w:lineRule="auto"/>
              <w:ind w:firstLine="0" w:firstLineChars="0"/>
              <w:jc w:val="center"/>
              <w:rPr>
                <w:sz w:val="21"/>
                <w:szCs w:val="21"/>
              </w:rPr>
            </w:pPr>
            <w:r>
              <w:rPr>
                <w:sz w:val="21"/>
                <w:szCs w:val="21"/>
              </w:rPr>
              <w:t>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lang w:eastAsia="en-US"/>
              </w:rPr>
            </w:pPr>
            <w:r>
              <w:rPr>
                <w:sz w:val="21"/>
                <w:szCs w:val="21"/>
              </w:rPr>
              <w:t>GB 11911-1989</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ZCA-1000型原子吸收分光光度计GQHK-YQ-002</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铜</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原子吸收分光</w:t>
            </w:r>
          </w:p>
          <w:p>
            <w:pPr>
              <w:spacing w:line="240" w:lineRule="auto"/>
              <w:ind w:firstLine="0" w:firstLineChars="0"/>
              <w:jc w:val="center"/>
              <w:rPr>
                <w:sz w:val="21"/>
                <w:szCs w:val="21"/>
              </w:rPr>
            </w:pPr>
            <w:r>
              <w:rPr>
                <w:sz w:val="21"/>
                <w:szCs w:val="21"/>
              </w:rPr>
              <w:t>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 7475-1987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ZCA-1000型原子吸收分光光度计GQHK-YQ-002</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锌</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原子吸收分光光度法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 7475-1987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ZCA-1000型原子吸收分光光度计GQHK-YQ-002</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挥发性酚类</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4-氨基安替比林分光光度法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503-2009</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V-1000型分光光度计GQHK-YQ-041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LAS</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亚甲蓝分光光度法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GB7494-1987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V-1000型分光光度计GQHK-YQ-041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耗氧量</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酸性高锰酸钾滴定法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GB/T5750.7-2006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标准滴定管</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氨氮</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纳氏试剂分光光度法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lang w:eastAsia="en-US"/>
              </w:rPr>
            </w:pPr>
            <w:r>
              <w:rPr>
                <w:sz w:val="21"/>
                <w:szCs w:val="21"/>
              </w:rPr>
              <w:t>HJ 535-2009</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V-1000型分光光度计GQHK-YQ-041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硫化物</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亚甲基蓝分光</w:t>
            </w:r>
          </w:p>
          <w:p>
            <w:pPr>
              <w:spacing w:line="240" w:lineRule="auto"/>
              <w:ind w:firstLine="0" w:firstLineChars="0"/>
              <w:jc w:val="center"/>
              <w:rPr>
                <w:sz w:val="21"/>
                <w:szCs w:val="21"/>
              </w:rPr>
            </w:pPr>
            <w:r>
              <w:rPr>
                <w:sz w:val="21"/>
                <w:szCs w:val="21"/>
              </w:rPr>
              <w:t>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1226-2021</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V-1000型分光光度计GQHK-YQ-041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钠</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812-2016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总大肠菌群(MPN/L)</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酶底物法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1001-2018</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SPX-150B型生化培养箱GQHK-YQ-019</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菌落总数</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平皿计数法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1000-2018</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SPX-150B型生化培养箱GQHK-YQ-019</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亚硝酸盐</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lang w:eastAsia="en-US"/>
              </w:rPr>
            </w:pPr>
            <w:r>
              <w:rPr>
                <w:sz w:val="21"/>
                <w:szCs w:val="21"/>
              </w:rPr>
              <w:t>GB 7493-1987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V-1000可见分光光度计GQHK-YQ-041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硝酸盐</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84-2016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氰化物</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异烟酸-吡唑啉酮分光光度法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484-2009</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V-1000型分光光度计GQHK-YQ-041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氟化物</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离子选择电极法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 7484-1987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PHS-3E型pH计GQHK-YQ-116</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汞</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原子荧光法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694-2014</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RGF6200系列原子荧光分光光度GQHK-YQ-001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砷</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原子荧光法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694-2014</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RGF6200系列原子荧光分光光度GQHK-YQ-001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镉</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原子吸收分光</w:t>
            </w:r>
          </w:p>
          <w:p>
            <w:pPr>
              <w:spacing w:line="240" w:lineRule="auto"/>
              <w:ind w:firstLine="0" w:firstLineChars="0"/>
              <w:jc w:val="center"/>
              <w:rPr>
                <w:sz w:val="21"/>
                <w:szCs w:val="21"/>
              </w:rPr>
            </w:pPr>
            <w:r>
              <w:rPr>
                <w:sz w:val="21"/>
                <w:szCs w:val="21"/>
              </w:rPr>
              <w:t>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《水和废水监测分析方法》</w:t>
            </w:r>
            <w:r>
              <w:rPr>
                <w:rFonts w:hint="eastAsia"/>
                <w:sz w:val="21"/>
                <w:szCs w:val="21"/>
                <w:lang w:eastAsia="zh-CN"/>
              </w:rPr>
              <w:t>（</w:t>
            </w:r>
            <w:r>
              <w:rPr>
                <w:sz w:val="21"/>
                <w:szCs w:val="21"/>
              </w:rPr>
              <w:t>第四版增补版</w:t>
            </w:r>
            <w:r>
              <w:rPr>
                <w:rFonts w:hint="eastAsia"/>
                <w:sz w:val="21"/>
                <w:szCs w:val="21"/>
                <w:lang w:eastAsia="zh-CN"/>
              </w:rPr>
              <w:t>）</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ZCA-1000型原子吸收分光光度计GQHK-YQ-002</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铬（六价）</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二苯碳酰二肼分光光度法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GB 7467-1987</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V-1000型分光光度计GQHK-YQ-041</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K</w:t>
            </w:r>
            <w:r>
              <w:rPr>
                <w:sz w:val="21"/>
                <w:szCs w:val="21"/>
                <w:vertAlign w:val="superscript"/>
              </w:rPr>
              <w:t>+</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812-2016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Ca</w:t>
            </w:r>
            <w:r>
              <w:rPr>
                <w:sz w:val="21"/>
                <w:szCs w:val="21"/>
                <w:vertAlign w:val="superscript"/>
              </w:rPr>
              <w:t>2+</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812-2016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Mg</w:t>
            </w:r>
            <w:r>
              <w:rPr>
                <w:sz w:val="21"/>
                <w:szCs w:val="21"/>
                <w:vertAlign w:val="superscript"/>
              </w:rPr>
              <w:t>2+</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812-2016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CO</w:t>
            </w:r>
            <w:r>
              <w:rPr>
                <w:sz w:val="21"/>
                <w:szCs w:val="21"/>
                <w:vertAlign w:val="subscript"/>
              </w:rPr>
              <w:t>3</w:t>
            </w:r>
            <w:r>
              <w:rPr>
                <w:sz w:val="21"/>
                <w:szCs w:val="21"/>
                <w:vertAlign w:val="superscript"/>
              </w:rPr>
              <w:t>2-</w:t>
            </w:r>
          </w:p>
          <w:p>
            <w:pPr>
              <w:spacing w:line="240" w:lineRule="auto"/>
              <w:ind w:firstLine="0" w:firstLineChars="0"/>
              <w:jc w:val="center"/>
              <w:rPr>
                <w:sz w:val="21"/>
                <w:szCs w:val="21"/>
              </w:rPr>
            </w:pPr>
            <w:r>
              <w:rPr>
                <w:rFonts w:hint="eastAsia"/>
                <w:sz w:val="21"/>
                <w:szCs w:val="21"/>
                <w:lang w:eastAsia="zh-CN"/>
              </w:rPr>
              <w:t>（</w:t>
            </w:r>
            <w:r>
              <w:rPr>
                <w:sz w:val="21"/>
                <w:szCs w:val="21"/>
              </w:rPr>
              <w:t>以CaCO</w:t>
            </w:r>
            <w:r>
              <w:rPr>
                <w:sz w:val="21"/>
                <w:szCs w:val="21"/>
                <w:vertAlign w:val="subscript"/>
              </w:rPr>
              <w:t>3</w:t>
            </w:r>
            <w:r>
              <w:rPr>
                <w:sz w:val="21"/>
                <w:szCs w:val="21"/>
              </w:rPr>
              <w:t>计</w:t>
            </w:r>
            <w:r>
              <w:rPr>
                <w:rFonts w:hint="eastAsia"/>
                <w:sz w:val="21"/>
                <w:szCs w:val="21"/>
                <w:lang w:eastAsia="zh-CN"/>
              </w:rPr>
              <w:t>）</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滴定法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《水和废水监测分析方法》(第四版增补版)</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标准滴定管</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HCO</w:t>
            </w:r>
            <w:r>
              <w:rPr>
                <w:sz w:val="21"/>
                <w:szCs w:val="21"/>
                <w:vertAlign w:val="subscript"/>
              </w:rPr>
              <w:t>3</w:t>
            </w:r>
            <w:r>
              <w:rPr>
                <w:sz w:val="21"/>
                <w:szCs w:val="21"/>
                <w:vertAlign w:val="superscript"/>
              </w:rPr>
              <w:t>-</w:t>
            </w:r>
          </w:p>
          <w:p>
            <w:pPr>
              <w:spacing w:line="240" w:lineRule="auto"/>
              <w:ind w:firstLine="0" w:firstLineChars="0"/>
              <w:jc w:val="center"/>
              <w:rPr>
                <w:sz w:val="21"/>
                <w:szCs w:val="21"/>
              </w:rPr>
            </w:pPr>
            <w:r>
              <w:rPr>
                <w:rFonts w:hint="eastAsia"/>
                <w:sz w:val="21"/>
                <w:szCs w:val="21"/>
                <w:lang w:eastAsia="zh-CN"/>
              </w:rPr>
              <w:t>（</w:t>
            </w:r>
            <w:r>
              <w:rPr>
                <w:sz w:val="21"/>
                <w:szCs w:val="21"/>
              </w:rPr>
              <w:t>以CaCO</w:t>
            </w:r>
            <w:r>
              <w:rPr>
                <w:sz w:val="21"/>
                <w:szCs w:val="21"/>
                <w:vertAlign w:val="subscript"/>
              </w:rPr>
              <w:t>3</w:t>
            </w:r>
            <w:r>
              <w:rPr>
                <w:sz w:val="21"/>
                <w:szCs w:val="21"/>
              </w:rPr>
              <w:t>计</w:t>
            </w:r>
            <w:r>
              <w:rPr>
                <w:rFonts w:hint="eastAsia"/>
                <w:sz w:val="21"/>
                <w:szCs w:val="21"/>
                <w:lang w:eastAsia="zh-CN"/>
              </w:rPr>
              <w:t>）</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滴定法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《水和废水监测分析方法》(第四版增补版)</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标准滴定管</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SO</w:t>
            </w:r>
            <w:r>
              <w:rPr>
                <w:sz w:val="21"/>
                <w:szCs w:val="21"/>
                <w:vertAlign w:val="subscript"/>
              </w:rPr>
              <w:t>4</w:t>
            </w:r>
            <w:r>
              <w:rPr>
                <w:sz w:val="21"/>
                <w:szCs w:val="21"/>
                <w:vertAlign w:val="superscript"/>
              </w:rPr>
              <w:t>2-</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84-2016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 w:type="dxa"/>
            <w:bottom w:w="0" w:type="dxa"/>
            <w:right w:w="10" w:type="dxa"/>
          </w:tblCellMar>
        </w:tblPrEx>
        <w:trPr>
          <w:jc w:val="center"/>
        </w:trPr>
        <w:tc>
          <w:tcPr>
            <w:tcW w:w="803"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Cl</w:t>
            </w:r>
            <w:r>
              <w:rPr>
                <w:sz w:val="21"/>
                <w:szCs w:val="21"/>
                <w:vertAlign w:val="superscript"/>
              </w:rPr>
              <w:t>-</w:t>
            </w:r>
          </w:p>
        </w:tc>
        <w:tc>
          <w:tcPr>
            <w:tcW w:w="1405"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离子色谱法</w:t>
            </w:r>
          </w:p>
        </w:tc>
        <w:tc>
          <w:tcPr>
            <w:tcW w:w="897"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HJ 84-2016</w:t>
            </w:r>
          </w:p>
        </w:tc>
        <w:tc>
          <w:tcPr>
            <w:tcW w:w="1411"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PIC-10A型离子色谱仪GQHK-YQ-067</w:t>
            </w:r>
          </w:p>
        </w:tc>
        <w:tc>
          <w:tcPr>
            <w:tcW w:w="482" w:type="pct"/>
            <w:tcBorders>
              <w:tl2br w:val="nil"/>
              <w:tr2bl w:val="nil"/>
            </w:tcBorders>
            <w:shd w:val="clear" w:color="auto" w:fill="auto"/>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0.007</w:t>
            </w:r>
          </w:p>
        </w:tc>
      </w:tr>
    </w:tbl>
    <w:p>
      <w:pPr>
        <w:ind w:firstLine="482"/>
      </w:pPr>
      <w:r>
        <w:rPr>
          <w:rFonts w:hint="eastAsia"/>
          <w:b/>
          <w:bCs/>
        </w:rPr>
        <w:t>（5）</w:t>
      </w:r>
      <w:r>
        <w:rPr>
          <w:b/>
          <w:bCs/>
        </w:rPr>
        <w:t>评价执行标准</w:t>
      </w:r>
    </w:p>
    <w:p>
      <w:pPr>
        <w:ind w:firstLine="480"/>
      </w:pPr>
      <w:r>
        <w:t>本次地下水评价执行《地下水环境质量标准》（GB/T14848-2017）中Ⅲ类标准限值。</w:t>
      </w:r>
    </w:p>
    <w:p>
      <w:pPr>
        <w:ind w:firstLine="482"/>
        <w:rPr>
          <w:b/>
          <w:bCs/>
        </w:rPr>
      </w:pPr>
      <w:r>
        <w:rPr>
          <w:rFonts w:hint="eastAsia"/>
          <w:b/>
          <w:bCs/>
        </w:rPr>
        <w:t>（6）</w:t>
      </w:r>
      <w:r>
        <w:rPr>
          <w:b/>
          <w:bCs/>
        </w:rPr>
        <w:t>评价方法</w:t>
      </w:r>
    </w:p>
    <w:p>
      <w:pPr>
        <w:ind w:firstLine="480"/>
      </w:pPr>
      <w:r>
        <w:t>根据《环境影响评价技术导则  地下水环境》（HJ610-2016），项目单项水质参数评价采用标准指数法，其计算公式如下：</w:t>
      </w:r>
    </w:p>
    <w:p>
      <w:pPr>
        <w:ind w:firstLine="480"/>
      </w:pPr>
      <w:bookmarkStart w:id="617" w:name="_Toc2000_WPSOffice_Level3"/>
      <w:bookmarkStart w:id="618" w:name="_Toc14580_WPSOffice_Level3"/>
      <w:bookmarkStart w:id="619" w:name="_Toc22284_WPSOffice_Level3"/>
      <w:bookmarkStart w:id="620" w:name="_Toc12528_WPSOffice_Level3"/>
      <w:bookmarkStart w:id="621" w:name="_Toc25115_WPSOffice_Level3"/>
      <w:bookmarkStart w:id="622" w:name="_Toc2421_WPSOffice_Level3"/>
      <w:bookmarkStart w:id="623" w:name="_Toc23993_WPSOffice_Level3"/>
      <w:bookmarkStart w:id="624" w:name="_Toc12354_WPSOffice_Level3"/>
      <w:r>
        <w:t>①一般水质因子</w:t>
      </w:r>
      <w:bookmarkEnd w:id="617"/>
      <w:bookmarkEnd w:id="618"/>
      <w:bookmarkEnd w:id="619"/>
      <w:bookmarkEnd w:id="620"/>
      <w:bookmarkEnd w:id="621"/>
      <w:bookmarkEnd w:id="622"/>
      <w:bookmarkEnd w:id="623"/>
      <w:bookmarkEnd w:id="624"/>
    </w:p>
    <w:p>
      <w:pPr>
        <w:ind w:firstLine="480"/>
        <w:jc w:val="center"/>
      </w:pPr>
      <w:bookmarkStart w:id="625" w:name="_Toc18852_WPSOffice_Level3"/>
      <w:bookmarkStart w:id="626" w:name="_Toc13812_WPSOffice_Level3"/>
      <w:bookmarkStart w:id="627" w:name="_Toc14131_WPSOffice_Level3"/>
      <w:bookmarkStart w:id="628" w:name="_Toc19256_WPSOffice_Level3"/>
      <w:bookmarkStart w:id="629" w:name="_Toc19083_WPSOffice_Level3"/>
      <w:bookmarkStart w:id="630" w:name="_Toc21197_WPSOffice_Level3"/>
      <w:bookmarkStart w:id="631" w:name="_Toc8761_WPSOffice_Level3"/>
      <w:bookmarkStart w:id="632" w:name="_Toc19445_WPSOffice_Level3"/>
      <w:r>
        <w:t>P</w:t>
      </w:r>
      <w:r>
        <w:rPr>
          <w:vertAlign w:val="subscript"/>
        </w:rPr>
        <w:t>i</w:t>
      </w:r>
      <w:r>
        <w:rPr>
          <w:rFonts w:hint="eastAsia"/>
          <w:vertAlign w:val="subscript"/>
        </w:rPr>
        <w:t>，</w:t>
      </w:r>
      <w:r>
        <w:rPr>
          <w:vertAlign w:val="subscript"/>
        </w:rPr>
        <w:t>j</w:t>
      </w:r>
      <w:r>
        <w:t>=C</w:t>
      </w:r>
      <w:r>
        <w:rPr>
          <w:vertAlign w:val="subscript"/>
        </w:rPr>
        <w:t>i</w:t>
      </w:r>
      <w:r>
        <w:rPr>
          <w:rFonts w:hint="eastAsia"/>
          <w:vertAlign w:val="subscript"/>
        </w:rPr>
        <w:t>，</w:t>
      </w:r>
      <w:r>
        <w:rPr>
          <w:vertAlign w:val="subscript"/>
        </w:rPr>
        <w:t>j</w:t>
      </w:r>
      <w:r>
        <w:t>/C</w:t>
      </w:r>
      <w:r>
        <w:rPr>
          <w:vertAlign w:val="subscript"/>
        </w:rPr>
        <w:t>si</w:t>
      </w:r>
      <w:bookmarkEnd w:id="625"/>
      <w:bookmarkEnd w:id="626"/>
      <w:bookmarkEnd w:id="627"/>
      <w:bookmarkEnd w:id="628"/>
      <w:bookmarkEnd w:id="629"/>
      <w:bookmarkEnd w:id="630"/>
      <w:bookmarkEnd w:id="631"/>
      <w:bookmarkEnd w:id="632"/>
    </w:p>
    <w:p>
      <w:pPr>
        <w:ind w:firstLine="960" w:firstLineChars="400"/>
      </w:pPr>
      <w:r>
        <w:t>式中：S</w:t>
      </w:r>
      <w:r>
        <w:rPr>
          <w:vertAlign w:val="subscript"/>
        </w:rPr>
        <w:t>i，j</w:t>
      </w:r>
      <w:r>
        <w:t>—单项水质参数i在第j点的标准指数；</w:t>
      </w:r>
    </w:p>
    <w:p>
      <w:pPr>
        <w:ind w:firstLine="480"/>
      </w:pPr>
      <w:r>
        <w:t xml:space="preserve">     </w:t>
      </w:r>
      <w:r>
        <w:rPr>
          <w:rFonts w:hint="eastAsia"/>
        </w:rPr>
        <w:t xml:space="preserve">    </w:t>
      </w:r>
      <w:r>
        <w:t xml:space="preserve"> C</w:t>
      </w:r>
      <w:r>
        <w:rPr>
          <w:vertAlign w:val="subscript"/>
        </w:rPr>
        <w:t>i</w:t>
      </w:r>
      <w:r>
        <w:rPr>
          <w:rFonts w:hint="eastAsia"/>
          <w:vertAlign w:val="subscript"/>
        </w:rPr>
        <w:t>，</w:t>
      </w:r>
      <w:r>
        <w:rPr>
          <w:vertAlign w:val="subscript"/>
        </w:rPr>
        <w:t>j</w:t>
      </w:r>
      <w:r>
        <w:t>—单项水质参数i在第j点的监测浓度；</w:t>
      </w:r>
    </w:p>
    <w:p>
      <w:pPr>
        <w:ind w:firstLine="480"/>
      </w:pPr>
      <w:r>
        <w:t xml:space="preserve">     </w:t>
      </w:r>
      <w:r>
        <w:rPr>
          <w:rFonts w:hint="eastAsia"/>
        </w:rPr>
        <w:t xml:space="preserve">    </w:t>
      </w:r>
      <w:r>
        <w:t xml:space="preserve"> C</w:t>
      </w:r>
      <w:r>
        <w:rPr>
          <w:vertAlign w:val="subscript"/>
        </w:rPr>
        <w:t>si</w:t>
      </w:r>
      <w:r>
        <w:t>—单项水质参数i在第j点的标准浓度。</w:t>
      </w:r>
    </w:p>
    <w:p>
      <w:pPr>
        <w:ind w:firstLine="480"/>
      </w:pPr>
      <w:r>
        <w:t>②pH的标准指数</w:t>
      </w:r>
    </w:p>
    <w:p>
      <w:pPr>
        <w:ind w:firstLine="480"/>
        <w:jc w:val="center"/>
      </w:pPr>
      <w:r>
        <w:rPr>
          <w:rFonts w:hint="eastAsia"/>
        </w:rPr>
        <w:t>P</w:t>
      </w:r>
      <w:r>
        <w:rPr>
          <w:rFonts w:hint="eastAsia"/>
          <w:vertAlign w:val="subscript"/>
        </w:rPr>
        <w:t>pH,j</w:t>
      </w:r>
      <w:r>
        <w:rPr>
          <w:rFonts w:hint="eastAsia"/>
        </w:rPr>
        <w:t>＝（7.0－pH</w:t>
      </w:r>
      <w:r>
        <w:rPr>
          <w:rFonts w:hint="eastAsia"/>
          <w:vertAlign w:val="subscript"/>
        </w:rPr>
        <w:t>i</w:t>
      </w:r>
      <w:r>
        <w:rPr>
          <w:rFonts w:hint="eastAsia"/>
        </w:rPr>
        <w:t>）/（7.0－pH</w:t>
      </w:r>
      <w:r>
        <w:rPr>
          <w:rFonts w:hint="eastAsia"/>
          <w:vertAlign w:val="subscript"/>
        </w:rPr>
        <w:t>sd</w:t>
      </w:r>
      <w:r>
        <w:rPr>
          <w:rFonts w:hint="eastAsia"/>
        </w:rPr>
        <w:t>），当pH</w:t>
      </w:r>
      <w:r>
        <w:rPr>
          <w:rFonts w:hint="eastAsia"/>
          <w:vertAlign w:val="subscript"/>
        </w:rPr>
        <w:t>j</w:t>
      </w:r>
      <w:r>
        <w:rPr>
          <w:rFonts w:hint="eastAsia"/>
        </w:rPr>
        <w:t>≤7.0时</w:t>
      </w:r>
    </w:p>
    <w:p>
      <w:pPr>
        <w:ind w:firstLine="480"/>
        <w:jc w:val="center"/>
      </w:pPr>
      <w:r>
        <w:rPr>
          <w:rFonts w:hint="eastAsia"/>
        </w:rPr>
        <w:t>P</w:t>
      </w:r>
      <w:r>
        <w:rPr>
          <w:rFonts w:hint="eastAsia"/>
          <w:vertAlign w:val="subscript"/>
        </w:rPr>
        <w:t>pH,j</w:t>
      </w:r>
      <w:r>
        <w:rPr>
          <w:rFonts w:hint="eastAsia"/>
        </w:rPr>
        <w:t>＝（pH</w:t>
      </w:r>
      <w:r>
        <w:rPr>
          <w:rFonts w:hint="eastAsia"/>
          <w:vertAlign w:val="subscript"/>
        </w:rPr>
        <w:t>j</w:t>
      </w:r>
      <w:r>
        <w:rPr>
          <w:rFonts w:hint="eastAsia"/>
        </w:rPr>
        <w:t>－7.0）/（pH</w:t>
      </w:r>
      <w:r>
        <w:rPr>
          <w:rFonts w:hint="eastAsia"/>
          <w:vertAlign w:val="subscript"/>
        </w:rPr>
        <w:t>su</w:t>
      </w:r>
      <w:r>
        <w:rPr>
          <w:rFonts w:hint="eastAsia"/>
        </w:rPr>
        <w:t>－7.0），当pH</w:t>
      </w:r>
      <w:r>
        <w:rPr>
          <w:rFonts w:hint="eastAsia"/>
          <w:vertAlign w:val="subscript"/>
        </w:rPr>
        <w:t>j</w:t>
      </w:r>
      <w:r>
        <w:rPr>
          <w:rFonts w:hint="eastAsia"/>
        </w:rPr>
        <w:t>&gt;7.0时</w:t>
      </w:r>
    </w:p>
    <w:p>
      <w:pPr>
        <w:ind w:firstLine="480"/>
      </w:pPr>
      <w:r>
        <w:t>式中：S</w:t>
      </w:r>
      <w:r>
        <w:rPr>
          <w:vertAlign w:val="subscript"/>
        </w:rPr>
        <w:t>pH,j</w:t>
      </w:r>
      <w:r>
        <w:t>—污染因子pH在第j点的标准指数；</w:t>
      </w:r>
    </w:p>
    <w:p>
      <w:pPr>
        <w:ind w:firstLine="480"/>
      </w:pPr>
      <w:r>
        <w:t xml:space="preserve">      pH</w:t>
      </w:r>
      <w:r>
        <w:rPr>
          <w:vertAlign w:val="subscript"/>
        </w:rPr>
        <w:t>j</w:t>
      </w:r>
      <w:r>
        <w:t>—污染因子pH在第j点的监测值；</w:t>
      </w:r>
    </w:p>
    <w:p>
      <w:pPr>
        <w:ind w:firstLine="480"/>
      </w:pPr>
      <w:r>
        <w:t xml:space="preserve">      pH</w:t>
      </w:r>
      <w:r>
        <w:rPr>
          <w:vertAlign w:val="subscript"/>
        </w:rPr>
        <w:t>su</w:t>
      </w:r>
      <w:r>
        <w:t>—地下水环境质量标准pH上限值；</w:t>
      </w:r>
    </w:p>
    <w:p>
      <w:pPr>
        <w:ind w:firstLine="480"/>
      </w:pPr>
      <w:r>
        <w:t xml:space="preserve">      pH</w:t>
      </w:r>
      <w:r>
        <w:rPr>
          <w:vertAlign w:val="subscript"/>
        </w:rPr>
        <w:t>sd</w:t>
      </w:r>
      <w:r>
        <w:t>—地下水环境质量标准pH下限值。</w:t>
      </w:r>
    </w:p>
    <w:p>
      <w:pPr>
        <w:ind w:firstLine="482"/>
        <w:rPr>
          <w:b/>
          <w:bCs/>
        </w:rPr>
      </w:pPr>
      <w:r>
        <w:rPr>
          <w:rFonts w:hint="eastAsia"/>
          <w:b/>
          <w:bCs/>
        </w:rPr>
        <w:t>（7）</w:t>
      </w:r>
      <w:r>
        <w:rPr>
          <w:b/>
          <w:bCs/>
        </w:rPr>
        <w:t>监测结果</w:t>
      </w:r>
    </w:p>
    <w:p>
      <w:pPr>
        <w:ind w:firstLine="480"/>
      </w:pPr>
      <w:r>
        <w:t>本项目地下水监测结果见表</w:t>
      </w:r>
      <w:r>
        <w:rPr>
          <w:rFonts w:hint="eastAsia"/>
          <w:lang w:val="en-US" w:eastAsia="zh-CN"/>
        </w:rPr>
        <w:t>4</w:t>
      </w:r>
      <w:r>
        <w:rPr>
          <w:rFonts w:hint="eastAsia"/>
        </w:rPr>
        <w:t>.8。</w:t>
      </w:r>
    </w:p>
    <w:p>
      <w:pPr>
        <w:spacing w:line="240" w:lineRule="auto"/>
        <w:ind w:firstLine="482"/>
        <w:jc w:val="center"/>
      </w:pPr>
      <w:r>
        <w:rPr>
          <w:rFonts w:hint="eastAsia"/>
          <w:b/>
          <w:bCs/>
        </w:rPr>
        <w:t>表</w:t>
      </w:r>
      <w:r>
        <w:rPr>
          <w:rFonts w:hint="eastAsia"/>
          <w:b/>
          <w:bCs/>
          <w:lang w:val="en-US" w:eastAsia="zh-CN"/>
        </w:rPr>
        <w:t>4</w:t>
      </w:r>
      <w:r>
        <w:rPr>
          <w:rFonts w:hint="eastAsia"/>
          <w:b/>
          <w:bCs/>
        </w:rPr>
        <w:t>.8    地下水检测分析结果汇总表  单位：mg/L</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19"/>
        <w:gridCol w:w="1112"/>
        <w:gridCol w:w="1338"/>
        <w:gridCol w:w="1062"/>
        <w:gridCol w:w="1138"/>
        <w:gridCol w:w="1162"/>
        <w:gridCol w:w="1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监测</w:t>
            </w:r>
          </w:p>
          <w:p>
            <w:pPr>
              <w:spacing w:line="240" w:lineRule="auto"/>
              <w:ind w:firstLine="0" w:firstLineChars="0"/>
              <w:jc w:val="center"/>
              <w:rPr>
                <w:b/>
                <w:bCs/>
                <w:sz w:val="21"/>
                <w:szCs w:val="21"/>
              </w:rPr>
            </w:pPr>
            <w:r>
              <w:rPr>
                <w:b/>
                <w:bCs/>
                <w:sz w:val="21"/>
                <w:szCs w:val="21"/>
              </w:rPr>
              <w:t>项目</w:t>
            </w:r>
          </w:p>
        </w:tc>
        <w:tc>
          <w:tcPr>
            <w:tcW w:w="1762" w:type="pct"/>
            <w:gridSpan w:val="3"/>
            <w:tcBorders>
              <w:tl2br w:val="nil"/>
              <w:tr2bl w:val="nil"/>
            </w:tcBorders>
            <w:vAlign w:val="center"/>
          </w:tcPr>
          <w:p>
            <w:pPr>
              <w:spacing w:line="240" w:lineRule="auto"/>
              <w:ind w:firstLine="0" w:firstLineChars="0"/>
              <w:jc w:val="center"/>
              <w:rPr>
                <w:b/>
                <w:bCs/>
                <w:sz w:val="21"/>
                <w:szCs w:val="21"/>
              </w:rPr>
            </w:pPr>
            <w:r>
              <w:rPr>
                <w:b/>
                <w:bCs/>
                <w:sz w:val="21"/>
                <w:szCs w:val="21"/>
              </w:rPr>
              <w:t>检测监测日期：2022年5月31日</w:t>
            </w:r>
          </w:p>
        </w:tc>
        <w:tc>
          <w:tcPr>
            <w:tcW w:w="1722" w:type="pct"/>
            <w:gridSpan w:val="3"/>
            <w:tcBorders>
              <w:tl2br w:val="nil"/>
              <w:tr2bl w:val="nil"/>
            </w:tcBorders>
            <w:vAlign w:val="center"/>
          </w:tcPr>
          <w:p>
            <w:pPr>
              <w:spacing w:line="240" w:lineRule="auto"/>
              <w:ind w:firstLine="0" w:firstLineChars="0"/>
              <w:jc w:val="center"/>
              <w:rPr>
                <w:b/>
                <w:bCs/>
                <w:sz w:val="21"/>
                <w:szCs w:val="21"/>
              </w:rPr>
            </w:pPr>
            <w:r>
              <w:rPr>
                <w:b/>
                <w:bCs/>
                <w:sz w:val="21"/>
                <w:szCs w:val="21"/>
              </w:rPr>
              <w:t>采样检测日期：2022年6月1日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vMerge w:val="continue"/>
            <w:tcBorders>
              <w:tl2br w:val="nil"/>
              <w:tr2bl w:val="nil"/>
            </w:tcBorders>
            <w:vAlign w:val="center"/>
          </w:tcPr>
          <w:p>
            <w:pPr>
              <w:spacing w:line="240" w:lineRule="auto"/>
              <w:ind w:firstLine="0" w:firstLineChars="0"/>
              <w:jc w:val="center"/>
              <w:rPr>
                <w:b/>
                <w:bCs/>
                <w:sz w:val="21"/>
                <w:szCs w:val="21"/>
              </w:rPr>
            </w:pPr>
          </w:p>
        </w:tc>
        <w:tc>
          <w:tcPr>
            <w:tcW w:w="558" w:type="pct"/>
            <w:tcBorders>
              <w:tl2br w:val="nil"/>
              <w:tr2bl w:val="nil"/>
            </w:tcBorders>
            <w:vAlign w:val="center"/>
          </w:tcPr>
          <w:p>
            <w:pPr>
              <w:spacing w:line="240" w:lineRule="auto"/>
              <w:ind w:firstLine="0" w:firstLineChars="0"/>
              <w:jc w:val="center"/>
              <w:rPr>
                <w:b/>
                <w:bCs/>
                <w:sz w:val="21"/>
                <w:szCs w:val="21"/>
              </w:rPr>
            </w:pPr>
            <w:r>
              <w:rPr>
                <w:b/>
                <w:bCs/>
                <w:sz w:val="21"/>
                <w:szCs w:val="21"/>
              </w:rPr>
              <w:t>监测点位（1#）</w:t>
            </w:r>
          </w:p>
        </w:tc>
        <w:tc>
          <w:tcPr>
            <w:tcW w:w="671" w:type="pct"/>
            <w:tcBorders>
              <w:tl2br w:val="nil"/>
              <w:tr2bl w:val="nil"/>
            </w:tcBorders>
            <w:vAlign w:val="center"/>
          </w:tcPr>
          <w:p>
            <w:pPr>
              <w:spacing w:line="240" w:lineRule="auto"/>
              <w:ind w:firstLine="0" w:firstLineChars="0"/>
              <w:jc w:val="center"/>
              <w:rPr>
                <w:b/>
                <w:bCs/>
                <w:sz w:val="21"/>
                <w:szCs w:val="21"/>
              </w:rPr>
            </w:pPr>
            <w:r>
              <w:rPr>
                <w:b/>
                <w:bCs/>
                <w:sz w:val="21"/>
                <w:szCs w:val="21"/>
              </w:rPr>
              <w:t>监测点位（2#）</w:t>
            </w:r>
          </w:p>
        </w:tc>
        <w:tc>
          <w:tcPr>
            <w:tcW w:w="533" w:type="pct"/>
            <w:tcBorders>
              <w:tl2br w:val="nil"/>
              <w:tr2bl w:val="nil"/>
            </w:tcBorders>
            <w:vAlign w:val="center"/>
          </w:tcPr>
          <w:p>
            <w:pPr>
              <w:spacing w:line="240" w:lineRule="auto"/>
              <w:ind w:firstLine="0" w:firstLineChars="0"/>
              <w:jc w:val="center"/>
              <w:rPr>
                <w:b/>
                <w:bCs/>
                <w:sz w:val="21"/>
                <w:szCs w:val="21"/>
              </w:rPr>
            </w:pPr>
            <w:r>
              <w:rPr>
                <w:b/>
                <w:bCs/>
                <w:sz w:val="21"/>
                <w:szCs w:val="21"/>
              </w:rPr>
              <w:t>监测点位（3#）</w:t>
            </w:r>
          </w:p>
        </w:tc>
        <w:tc>
          <w:tcPr>
            <w:tcW w:w="571" w:type="pct"/>
            <w:tcBorders>
              <w:tl2br w:val="nil"/>
              <w:tr2bl w:val="nil"/>
            </w:tcBorders>
            <w:vAlign w:val="center"/>
          </w:tcPr>
          <w:p>
            <w:pPr>
              <w:spacing w:line="240" w:lineRule="auto"/>
              <w:ind w:firstLine="0" w:firstLineChars="0"/>
              <w:jc w:val="center"/>
              <w:rPr>
                <w:b/>
                <w:bCs/>
                <w:sz w:val="21"/>
                <w:szCs w:val="21"/>
              </w:rPr>
            </w:pPr>
            <w:r>
              <w:rPr>
                <w:b/>
                <w:bCs/>
                <w:sz w:val="21"/>
                <w:szCs w:val="21"/>
              </w:rPr>
              <w:t>监测点位（1#）</w:t>
            </w:r>
          </w:p>
        </w:tc>
        <w:tc>
          <w:tcPr>
            <w:tcW w:w="583" w:type="pct"/>
            <w:tcBorders>
              <w:tl2br w:val="nil"/>
              <w:tr2bl w:val="nil"/>
            </w:tcBorders>
            <w:vAlign w:val="center"/>
          </w:tcPr>
          <w:p>
            <w:pPr>
              <w:spacing w:line="240" w:lineRule="auto"/>
              <w:ind w:firstLine="0" w:firstLineChars="0"/>
              <w:jc w:val="center"/>
              <w:rPr>
                <w:b/>
                <w:bCs/>
                <w:sz w:val="21"/>
                <w:szCs w:val="21"/>
              </w:rPr>
            </w:pPr>
            <w:r>
              <w:rPr>
                <w:b/>
                <w:bCs/>
                <w:sz w:val="21"/>
                <w:szCs w:val="21"/>
              </w:rPr>
              <w:t>监测点位（2#）</w:t>
            </w:r>
          </w:p>
        </w:tc>
        <w:tc>
          <w:tcPr>
            <w:tcW w:w="567" w:type="pct"/>
            <w:tcBorders>
              <w:tl2br w:val="nil"/>
              <w:tr2bl w:val="nil"/>
            </w:tcBorders>
            <w:vAlign w:val="center"/>
          </w:tcPr>
          <w:p>
            <w:pPr>
              <w:spacing w:line="240" w:lineRule="auto"/>
              <w:ind w:firstLine="0" w:firstLineChars="0"/>
              <w:jc w:val="center"/>
              <w:rPr>
                <w:b/>
                <w:bCs/>
                <w:sz w:val="21"/>
                <w:szCs w:val="21"/>
              </w:rPr>
            </w:pPr>
            <w:r>
              <w:rPr>
                <w:b/>
                <w:bCs/>
                <w:sz w:val="21"/>
                <w:szCs w:val="21"/>
              </w:rPr>
              <w:t>监测点位（3#）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vMerge w:val="continue"/>
            <w:tcBorders>
              <w:tl2br w:val="nil"/>
              <w:tr2bl w:val="nil"/>
            </w:tcBorders>
            <w:vAlign w:val="center"/>
          </w:tcPr>
          <w:p>
            <w:pPr>
              <w:spacing w:line="240" w:lineRule="auto"/>
              <w:ind w:firstLine="0" w:firstLineChars="0"/>
              <w:jc w:val="center"/>
              <w:rPr>
                <w:b/>
                <w:bCs/>
                <w:sz w:val="21"/>
                <w:szCs w:val="21"/>
              </w:rPr>
            </w:pPr>
          </w:p>
        </w:tc>
        <w:tc>
          <w:tcPr>
            <w:tcW w:w="558" w:type="pct"/>
            <w:tcBorders>
              <w:tl2br w:val="nil"/>
              <w:tr2bl w:val="nil"/>
            </w:tcBorders>
            <w:vAlign w:val="center"/>
          </w:tcPr>
          <w:p>
            <w:pPr>
              <w:spacing w:line="240" w:lineRule="auto"/>
              <w:ind w:firstLine="0" w:firstLineChars="0"/>
              <w:jc w:val="center"/>
              <w:rPr>
                <w:b/>
                <w:bCs/>
                <w:sz w:val="21"/>
                <w:szCs w:val="21"/>
              </w:rPr>
            </w:pPr>
            <w:r>
              <w:rPr>
                <w:b/>
                <w:bCs/>
                <w:sz w:val="21"/>
                <w:szCs w:val="21"/>
              </w:rPr>
              <w:t>监测结果</w:t>
            </w:r>
          </w:p>
        </w:tc>
        <w:tc>
          <w:tcPr>
            <w:tcW w:w="671" w:type="pct"/>
            <w:tcBorders>
              <w:tl2br w:val="nil"/>
              <w:tr2bl w:val="nil"/>
            </w:tcBorders>
            <w:vAlign w:val="center"/>
          </w:tcPr>
          <w:p>
            <w:pPr>
              <w:spacing w:line="240" w:lineRule="auto"/>
              <w:ind w:firstLine="0" w:firstLineChars="0"/>
              <w:jc w:val="center"/>
              <w:rPr>
                <w:b/>
                <w:bCs/>
                <w:sz w:val="21"/>
                <w:szCs w:val="21"/>
              </w:rPr>
            </w:pPr>
            <w:r>
              <w:rPr>
                <w:b/>
                <w:bCs/>
                <w:sz w:val="21"/>
                <w:szCs w:val="21"/>
              </w:rPr>
              <w:t>监测结果</w:t>
            </w:r>
          </w:p>
        </w:tc>
        <w:tc>
          <w:tcPr>
            <w:tcW w:w="533" w:type="pct"/>
            <w:tcBorders>
              <w:tl2br w:val="nil"/>
              <w:tr2bl w:val="nil"/>
            </w:tcBorders>
            <w:vAlign w:val="center"/>
          </w:tcPr>
          <w:p>
            <w:pPr>
              <w:spacing w:line="240" w:lineRule="auto"/>
              <w:ind w:firstLine="0" w:firstLineChars="0"/>
              <w:jc w:val="center"/>
              <w:rPr>
                <w:b/>
                <w:bCs/>
                <w:sz w:val="21"/>
                <w:szCs w:val="21"/>
              </w:rPr>
            </w:pPr>
            <w:r>
              <w:rPr>
                <w:b/>
                <w:bCs/>
                <w:sz w:val="21"/>
                <w:szCs w:val="21"/>
              </w:rPr>
              <w:t>监测结果</w:t>
            </w:r>
          </w:p>
        </w:tc>
        <w:tc>
          <w:tcPr>
            <w:tcW w:w="571" w:type="pct"/>
            <w:tcBorders>
              <w:tl2br w:val="nil"/>
              <w:tr2bl w:val="nil"/>
            </w:tcBorders>
            <w:vAlign w:val="center"/>
          </w:tcPr>
          <w:p>
            <w:pPr>
              <w:spacing w:line="240" w:lineRule="auto"/>
              <w:ind w:firstLine="0" w:firstLineChars="0"/>
              <w:jc w:val="center"/>
              <w:rPr>
                <w:b/>
                <w:bCs/>
                <w:sz w:val="21"/>
                <w:szCs w:val="21"/>
              </w:rPr>
            </w:pPr>
            <w:r>
              <w:rPr>
                <w:b/>
                <w:bCs/>
                <w:sz w:val="21"/>
                <w:szCs w:val="21"/>
              </w:rPr>
              <w:t>监测结果</w:t>
            </w:r>
          </w:p>
        </w:tc>
        <w:tc>
          <w:tcPr>
            <w:tcW w:w="583" w:type="pct"/>
            <w:tcBorders>
              <w:tl2br w:val="nil"/>
              <w:tr2bl w:val="nil"/>
            </w:tcBorders>
            <w:vAlign w:val="center"/>
          </w:tcPr>
          <w:p>
            <w:pPr>
              <w:spacing w:line="240" w:lineRule="auto"/>
              <w:ind w:firstLine="0" w:firstLineChars="0"/>
              <w:jc w:val="center"/>
              <w:rPr>
                <w:b/>
                <w:bCs/>
                <w:sz w:val="21"/>
                <w:szCs w:val="21"/>
              </w:rPr>
            </w:pPr>
            <w:r>
              <w:rPr>
                <w:b/>
                <w:bCs/>
                <w:sz w:val="21"/>
                <w:szCs w:val="21"/>
              </w:rPr>
              <w:t>监测结果</w:t>
            </w:r>
          </w:p>
        </w:tc>
        <w:tc>
          <w:tcPr>
            <w:tcW w:w="567" w:type="pct"/>
            <w:tcBorders>
              <w:tl2br w:val="nil"/>
              <w:tr2bl w:val="nil"/>
            </w:tcBorders>
            <w:vAlign w:val="center"/>
          </w:tcPr>
          <w:p>
            <w:pPr>
              <w:spacing w:line="240" w:lineRule="auto"/>
              <w:ind w:firstLine="0" w:firstLineChars="0"/>
              <w:jc w:val="center"/>
              <w:rPr>
                <w:b/>
                <w:bCs/>
                <w:sz w:val="21"/>
                <w:szCs w:val="21"/>
              </w:rPr>
            </w:pPr>
            <w:r>
              <w:rPr>
                <w:b/>
                <w:bCs/>
                <w:sz w:val="21"/>
                <w:szCs w:val="21"/>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水位</w:t>
            </w:r>
          </w:p>
        </w:tc>
        <w:tc>
          <w:tcPr>
            <w:tcW w:w="558" w:type="pct"/>
            <w:tcBorders>
              <w:tl2br w:val="nil"/>
              <w:tr2bl w:val="nil"/>
            </w:tcBorders>
            <w:vAlign w:val="center"/>
          </w:tcPr>
          <w:p>
            <w:pPr>
              <w:spacing w:line="240" w:lineRule="auto"/>
              <w:ind w:firstLine="0" w:firstLineChars="0"/>
              <w:jc w:val="center"/>
              <w:rPr>
                <w:sz w:val="21"/>
                <w:szCs w:val="21"/>
              </w:rPr>
            </w:pPr>
            <w:r>
              <w:rPr>
                <w:rFonts w:hint="eastAsia"/>
                <w:sz w:val="21"/>
                <w:szCs w:val="21"/>
              </w:rPr>
              <w:t>1522.4</w:t>
            </w:r>
          </w:p>
        </w:tc>
        <w:tc>
          <w:tcPr>
            <w:tcW w:w="671" w:type="pct"/>
            <w:tcBorders>
              <w:tl2br w:val="nil"/>
              <w:tr2bl w:val="nil"/>
            </w:tcBorders>
            <w:vAlign w:val="center"/>
          </w:tcPr>
          <w:p>
            <w:pPr>
              <w:spacing w:line="240" w:lineRule="auto"/>
              <w:ind w:firstLine="0" w:firstLineChars="0"/>
              <w:jc w:val="center"/>
              <w:rPr>
                <w:sz w:val="21"/>
                <w:szCs w:val="21"/>
              </w:rPr>
            </w:pPr>
            <w:r>
              <w:rPr>
                <w:rFonts w:hint="eastAsia"/>
                <w:sz w:val="21"/>
                <w:szCs w:val="21"/>
              </w:rPr>
              <w:t>1507.4</w:t>
            </w:r>
          </w:p>
        </w:tc>
        <w:tc>
          <w:tcPr>
            <w:tcW w:w="533" w:type="pct"/>
            <w:tcBorders>
              <w:tl2br w:val="nil"/>
              <w:tr2bl w:val="nil"/>
            </w:tcBorders>
            <w:vAlign w:val="center"/>
          </w:tcPr>
          <w:p>
            <w:pPr>
              <w:spacing w:line="240" w:lineRule="auto"/>
              <w:ind w:firstLine="0" w:firstLineChars="0"/>
              <w:jc w:val="center"/>
              <w:rPr>
                <w:sz w:val="21"/>
                <w:szCs w:val="21"/>
              </w:rPr>
            </w:pPr>
            <w:r>
              <w:rPr>
                <w:rFonts w:hint="eastAsia"/>
                <w:sz w:val="21"/>
                <w:szCs w:val="21"/>
              </w:rPr>
              <w:t>1515.8</w:t>
            </w:r>
          </w:p>
        </w:tc>
        <w:tc>
          <w:tcPr>
            <w:tcW w:w="571" w:type="pct"/>
            <w:tcBorders>
              <w:tl2br w:val="nil"/>
              <w:tr2bl w:val="nil"/>
            </w:tcBorders>
            <w:vAlign w:val="center"/>
          </w:tcPr>
          <w:p>
            <w:pPr>
              <w:spacing w:line="240" w:lineRule="auto"/>
              <w:ind w:firstLine="0" w:firstLineChars="0"/>
              <w:jc w:val="center"/>
              <w:rPr>
                <w:sz w:val="21"/>
                <w:szCs w:val="21"/>
              </w:rPr>
            </w:pPr>
            <w:r>
              <w:rPr>
                <w:rFonts w:hint="eastAsia"/>
                <w:sz w:val="21"/>
                <w:szCs w:val="21"/>
              </w:rPr>
              <w:t>1522.3</w:t>
            </w:r>
          </w:p>
        </w:tc>
        <w:tc>
          <w:tcPr>
            <w:tcW w:w="583" w:type="pct"/>
            <w:tcBorders>
              <w:tl2br w:val="nil"/>
              <w:tr2bl w:val="nil"/>
            </w:tcBorders>
            <w:vAlign w:val="center"/>
          </w:tcPr>
          <w:p>
            <w:pPr>
              <w:spacing w:line="240" w:lineRule="auto"/>
              <w:ind w:firstLine="0" w:firstLineChars="0"/>
              <w:jc w:val="center"/>
              <w:rPr>
                <w:sz w:val="21"/>
                <w:szCs w:val="21"/>
              </w:rPr>
            </w:pPr>
            <w:r>
              <w:rPr>
                <w:rFonts w:hint="eastAsia"/>
                <w:sz w:val="21"/>
                <w:szCs w:val="21"/>
              </w:rPr>
              <w:t>1507.5</w:t>
            </w:r>
          </w:p>
        </w:tc>
        <w:tc>
          <w:tcPr>
            <w:tcW w:w="567" w:type="pct"/>
            <w:tcBorders>
              <w:tl2br w:val="nil"/>
              <w:tr2bl w:val="nil"/>
            </w:tcBorders>
            <w:vAlign w:val="center"/>
          </w:tcPr>
          <w:p>
            <w:pPr>
              <w:spacing w:line="240" w:lineRule="auto"/>
              <w:ind w:firstLine="0" w:firstLineChars="0"/>
              <w:jc w:val="center"/>
              <w:rPr>
                <w:sz w:val="21"/>
                <w:szCs w:val="21"/>
              </w:rPr>
            </w:pPr>
            <w:r>
              <w:rPr>
                <w:rFonts w:hint="eastAsia"/>
                <w:sz w:val="21"/>
                <w:szCs w:val="21"/>
              </w:rPr>
              <w:t>1515.6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pH（无量纲）</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7.09</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7.25</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7.31</w:t>
            </w:r>
          </w:p>
        </w:tc>
        <w:tc>
          <w:tcPr>
            <w:tcW w:w="571" w:type="pct"/>
            <w:tcBorders>
              <w:tl2br w:val="nil"/>
              <w:tr2bl w:val="nil"/>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7.11</w:t>
            </w:r>
          </w:p>
        </w:tc>
        <w:tc>
          <w:tcPr>
            <w:tcW w:w="583" w:type="pct"/>
            <w:tcBorders>
              <w:tl2br w:val="nil"/>
              <w:tr2bl w:val="nil"/>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7.27</w:t>
            </w:r>
          </w:p>
        </w:tc>
        <w:tc>
          <w:tcPr>
            <w:tcW w:w="567" w:type="pct"/>
            <w:tcBorders>
              <w:tl2br w:val="nil"/>
              <w:tr2bl w:val="nil"/>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总硬度（以CaCO</w:t>
            </w:r>
            <w:r>
              <w:rPr>
                <w:sz w:val="21"/>
                <w:szCs w:val="21"/>
                <w:vertAlign w:val="subscript"/>
              </w:rPr>
              <w:t>3</w:t>
            </w:r>
            <w:r>
              <w:rPr>
                <w:sz w:val="21"/>
                <w:szCs w:val="21"/>
              </w:rPr>
              <w:t>计）</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339</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267</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324</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341</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276</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溶解性总固体</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607</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525</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649</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682</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514</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硫酸盐</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179</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138</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164</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175</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132</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氯化物</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53.0</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26.4</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51.5</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52.4</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25.7</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铁</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锰</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铜</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锌</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挥发性酚类</w:t>
            </w:r>
            <w:r>
              <w:rPr>
                <w:rFonts w:hint="eastAsia"/>
                <w:sz w:val="21"/>
                <w:szCs w:val="21"/>
              </w:rPr>
              <w:t>（</w:t>
            </w:r>
            <w:r>
              <w:rPr>
                <w:sz w:val="21"/>
                <w:szCs w:val="21"/>
              </w:rPr>
              <w:t>以苯酚计</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LAS</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耗氧量</w:t>
            </w:r>
            <w:r>
              <w:rPr>
                <w:rFonts w:hint="eastAsia"/>
                <w:sz w:val="21"/>
                <w:szCs w:val="21"/>
              </w:rPr>
              <w:t>（</w:t>
            </w:r>
            <w:r>
              <w:rPr>
                <w:sz w:val="21"/>
                <w:szCs w:val="21"/>
              </w:rPr>
              <w:t>以O</w:t>
            </w:r>
            <w:r>
              <w:rPr>
                <w:sz w:val="21"/>
                <w:szCs w:val="21"/>
                <w:vertAlign w:val="subscript"/>
              </w:rPr>
              <w:t>2</w:t>
            </w:r>
            <w:r>
              <w:rPr>
                <w:sz w:val="21"/>
                <w:szCs w:val="21"/>
              </w:rPr>
              <w:t>计</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0.72</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1.14</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1.45</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0.75</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1.14</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氨氮</w:t>
            </w:r>
            <w:r>
              <w:rPr>
                <w:rFonts w:hint="eastAsia"/>
                <w:sz w:val="21"/>
                <w:szCs w:val="21"/>
              </w:rPr>
              <w:t>（</w:t>
            </w:r>
            <w:r>
              <w:rPr>
                <w:sz w:val="21"/>
                <w:szCs w:val="21"/>
              </w:rPr>
              <w:t>以N计</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0.049</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0.070</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0.061</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0.052</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0.072</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硫化物</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0.007</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0.006</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0.008</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0.009</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0.007</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总大肠菌群（MPN/L</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菌落总数（CFU/mL</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23</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43</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34</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20</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40</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亚硝酸盐</w:t>
            </w:r>
            <w:r>
              <w:rPr>
                <w:rFonts w:hint="eastAsia"/>
                <w:sz w:val="21"/>
                <w:szCs w:val="21"/>
              </w:rPr>
              <w:t>（</w:t>
            </w:r>
            <w:r>
              <w:rPr>
                <w:sz w:val="21"/>
                <w:szCs w:val="21"/>
              </w:rPr>
              <w:t>以N计</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0.019</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0.023</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0.024</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0.019</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0.021</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硝酸盐</w:t>
            </w:r>
            <w:r>
              <w:rPr>
                <w:rFonts w:hint="eastAsia"/>
                <w:sz w:val="21"/>
                <w:szCs w:val="21"/>
              </w:rPr>
              <w:t>（</w:t>
            </w:r>
            <w:r>
              <w:rPr>
                <w:sz w:val="21"/>
                <w:szCs w:val="21"/>
              </w:rPr>
              <w:t>以N计</w:t>
            </w:r>
            <w:r>
              <w:rPr>
                <w:rFonts w:hint="eastAsia"/>
                <w:sz w:val="21"/>
                <w:szCs w:val="21"/>
              </w:rPr>
              <w:t>）</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2.30</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2.08</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1.98</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2.10</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1.96</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氰化物</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0.004L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氟化物</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0.21</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0.18</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0.22</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0.19</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0.18</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汞</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0.00004L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砷</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镉</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0.0001</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5" w:type="pct"/>
            <w:tcBorders>
              <w:tl2br w:val="nil"/>
              <w:tr2bl w:val="nil"/>
            </w:tcBorders>
            <w:vAlign w:val="center"/>
          </w:tcPr>
          <w:p>
            <w:pPr>
              <w:spacing w:line="240" w:lineRule="auto"/>
              <w:ind w:firstLine="0" w:firstLineChars="0"/>
              <w:jc w:val="center"/>
              <w:rPr>
                <w:sz w:val="21"/>
                <w:szCs w:val="21"/>
              </w:rPr>
            </w:pPr>
            <w:r>
              <w:rPr>
                <w:sz w:val="21"/>
                <w:szCs w:val="21"/>
              </w:rPr>
              <w:t>六价铬</w:t>
            </w:r>
          </w:p>
        </w:tc>
        <w:tc>
          <w:tcPr>
            <w:tcW w:w="558"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671"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71"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83"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567" w:type="pct"/>
            <w:tcBorders>
              <w:tl2br w:val="nil"/>
              <w:tr2bl w:val="nil"/>
            </w:tcBorders>
            <w:vAlign w:val="center"/>
          </w:tcPr>
          <w:p>
            <w:pPr>
              <w:spacing w:line="240" w:lineRule="auto"/>
              <w:ind w:firstLine="0" w:firstLineChars="0"/>
              <w:jc w:val="center"/>
              <w:rPr>
                <w:sz w:val="21"/>
                <w:szCs w:val="21"/>
              </w:rPr>
            </w:pPr>
            <w:r>
              <w:rPr>
                <w:sz w:val="21"/>
                <w:szCs w:val="21"/>
              </w:rPr>
              <w:t>0.004L</w:t>
            </w:r>
          </w:p>
        </w:tc>
      </w:tr>
    </w:tbl>
    <w:p>
      <w:pPr>
        <w:ind w:firstLine="482"/>
      </w:pPr>
      <w:r>
        <w:rPr>
          <w:rFonts w:hint="eastAsia"/>
          <w:b/>
          <w:bCs/>
        </w:rPr>
        <w:t>（8）评价结果</w:t>
      </w:r>
    </w:p>
    <w:p>
      <w:pPr>
        <w:ind w:firstLine="480"/>
      </w:pPr>
      <w:r>
        <w:t>本项目地下水</w:t>
      </w:r>
      <w:r>
        <w:rPr>
          <w:rFonts w:hint="eastAsia"/>
        </w:rPr>
        <w:t>环境质量评价</w:t>
      </w:r>
      <w:r>
        <w:t>结果见表</w:t>
      </w:r>
      <w:r>
        <w:rPr>
          <w:rFonts w:hint="eastAsia"/>
          <w:lang w:val="en-US" w:eastAsia="zh-CN"/>
        </w:rPr>
        <w:t>4</w:t>
      </w:r>
      <w:r>
        <w:rPr>
          <w:rFonts w:hint="eastAsia"/>
        </w:rPr>
        <w:t>.9。</w:t>
      </w:r>
    </w:p>
    <w:p>
      <w:pPr>
        <w:spacing w:line="240" w:lineRule="auto"/>
        <w:ind w:firstLine="48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spacing w:line="240" w:lineRule="auto"/>
        <w:ind w:firstLine="482"/>
        <w:jc w:val="center"/>
      </w:pPr>
      <w:r>
        <w:rPr>
          <w:b/>
          <w:bCs/>
        </w:rPr>
        <w:t>表</w:t>
      </w:r>
      <w:r>
        <w:rPr>
          <w:rFonts w:hint="eastAsia"/>
          <w:b/>
          <w:bCs/>
          <w:lang w:val="en-US" w:eastAsia="zh-CN"/>
        </w:rPr>
        <w:t>4</w:t>
      </w:r>
      <w:r>
        <w:rPr>
          <w:rFonts w:hint="eastAsia"/>
          <w:b/>
          <w:bCs/>
        </w:rPr>
        <w:t>.9</w:t>
      </w:r>
      <w:r>
        <w:rPr>
          <w:b/>
          <w:bCs/>
        </w:rPr>
        <w:t xml:space="preserve">  </w:t>
      </w:r>
      <w:r>
        <w:rPr>
          <w:rFonts w:hint="eastAsia"/>
          <w:b/>
          <w:bCs/>
        </w:rPr>
        <w:t xml:space="preserve"> </w:t>
      </w:r>
      <w:r>
        <w:rPr>
          <w:b/>
          <w:bCs/>
        </w:rPr>
        <w:t xml:space="preserve"> 地下水</w:t>
      </w:r>
      <w:r>
        <w:rPr>
          <w:rFonts w:hint="eastAsia"/>
          <w:b/>
          <w:bCs/>
        </w:rPr>
        <w:t>环境质量评价</w:t>
      </w:r>
      <w:r>
        <w:rPr>
          <w:b/>
          <w:bCs/>
        </w:rPr>
        <w:t xml:space="preserve">结果  </w:t>
      </w:r>
      <w:bookmarkStart w:id="633" w:name="_Toc28769_WPSOffice_Level2"/>
      <w:bookmarkStart w:id="634" w:name="_Toc6619_WPSOffice_Level2"/>
      <w:r>
        <w:rPr>
          <w:b/>
          <w:bCs/>
        </w:rPr>
        <w:t>单位：mg/L</w:t>
      </w:r>
      <w:bookmarkEnd w:id="633"/>
      <w:bookmarkEnd w:id="634"/>
      <w:r>
        <w:rPr>
          <w:rFonts w:hint="eastAsia"/>
          <w:b/>
          <w:bCs/>
        </w:rPr>
        <w:t>（pH无量纲）</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3"/>
        <w:gridCol w:w="1271"/>
        <w:gridCol w:w="1164"/>
        <w:gridCol w:w="773"/>
        <w:gridCol w:w="896"/>
        <w:gridCol w:w="780"/>
        <w:gridCol w:w="1090"/>
        <w:gridCol w:w="738"/>
        <w:gridCol w:w="944"/>
        <w:gridCol w:w="720"/>
        <w:gridCol w:w="1137"/>
        <w:gridCol w:w="750"/>
        <w:gridCol w:w="932"/>
        <w:gridCol w:w="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监测项目</w:t>
            </w:r>
          </w:p>
        </w:tc>
        <w:tc>
          <w:tcPr>
            <w:tcW w:w="427"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标准值</w:t>
            </w:r>
          </w:p>
        </w:tc>
        <w:tc>
          <w:tcPr>
            <w:tcW w:w="1214"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1#</w:t>
            </w:r>
            <w:r>
              <w:rPr>
                <w:rFonts w:hint="eastAsia"/>
                <w:b/>
                <w:bCs/>
                <w:sz w:val="21"/>
                <w:szCs w:val="21"/>
              </w:rPr>
              <w:t>（2022年5月31日）</w:t>
            </w:r>
          </w:p>
        </w:tc>
        <w:tc>
          <w:tcPr>
            <w:tcW w:w="1173"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2#</w:t>
            </w:r>
            <w:r>
              <w:rPr>
                <w:rFonts w:hint="eastAsia"/>
                <w:b/>
                <w:bCs/>
                <w:sz w:val="21"/>
                <w:szCs w:val="21"/>
              </w:rPr>
              <w:t>（2022年5月31日）</w:t>
            </w:r>
          </w:p>
        </w:tc>
        <w:tc>
          <w:tcPr>
            <w:tcW w:w="1175"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3#</w:t>
            </w:r>
            <w:r>
              <w:rPr>
                <w:rFonts w:hint="eastAsia"/>
                <w:b/>
                <w:bCs/>
                <w:sz w:val="21"/>
                <w:szCs w:val="21"/>
              </w:rPr>
              <w:t>（2022年5月31日）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Merge w:val="continue"/>
            <w:tcBorders>
              <w:tl2br w:val="nil"/>
              <w:tr2bl w:val="nil"/>
            </w:tcBorders>
            <w:vAlign w:val="center"/>
          </w:tcPr>
          <w:p>
            <w:pPr>
              <w:spacing w:line="240" w:lineRule="auto"/>
              <w:ind w:firstLine="0" w:firstLineChars="0"/>
              <w:jc w:val="center"/>
              <w:rPr>
                <w:b/>
                <w:bCs/>
                <w:sz w:val="21"/>
                <w:szCs w:val="21"/>
              </w:rPr>
            </w:pPr>
          </w:p>
        </w:tc>
        <w:tc>
          <w:tcPr>
            <w:tcW w:w="427" w:type="pct"/>
            <w:vMerge w:val="continue"/>
            <w:tcBorders>
              <w:tl2br w:val="nil"/>
              <w:tr2bl w:val="nil"/>
            </w:tcBorders>
            <w:vAlign w:val="center"/>
          </w:tcPr>
          <w:p>
            <w:pPr>
              <w:spacing w:line="240" w:lineRule="auto"/>
              <w:ind w:firstLine="0" w:firstLineChars="0"/>
              <w:jc w:val="center"/>
              <w:rPr>
                <w:b/>
                <w:bCs/>
                <w:sz w:val="21"/>
                <w:szCs w:val="21"/>
              </w:rPr>
            </w:pPr>
          </w:p>
        </w:tc>
        <w:tc>
          <w:tcPr>
            <w:tcW w:w="391" w:type="pct"/>
            <w:tcBorders>
              <w:tl2br w:val="nil"/>
              <w:tr2bl w:val="nil"/>
            </w:tcBorders>
            <w:vAlign w:val="center"/>
          </w:tcPr>
          <w:p>
            <w:pPr>
              <w:spacing w:line="240" w:lineRule="auto"/>
              <w:ind w:firstLine="0" w:firstLineChars="0"/>
              <w:jc w:val="center"/>
              <w:rPr>
                <w:b/>
                <w:bCs/>
                <w:sz w:val="21"/>
                <w:szCs w:val="21"/>
              </w:rPr>
            </w:pPr>
            <w:r>
              <w:rPr>
                <w:b/>
                <w:bCs/>
                <w:sz w:val="21"/>
                <w:szCs w:val="21"/>
              </w:rPr>
              <w:t>实测值</w:t>
            </w:r>
          </w:p>
        </w:tc>
        <w:tc>
          <w:tcPr>
            <w:tcW w:w="260"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p>
            <w:pPr>
              <w:spacing w:line="240" w:lineRule="auto"/>
              <w:ind w:firstLine="0" w:firstLineChars="0"/>
              <w:jc w:val="center"/>
              <w:rPr>
                <w:b/>
                <w:bCs/>
                <w:sz w:val="21"/>
                <w:szCs w:val="21"/>
              </w:rPr>
            </w:pPr>
            <w:r>
              <w:rPr>
                <w:b/>
                <w:bCs/>
                <w:sz w:val="21"/>
                <w:szCs w:val="21"/>
              </w:rPr>
              <w:t>指数</w:t>
            </w:r>
          </w:p>
        </w:tc>
        <w:tc>
          <w:tcPr>
            <w:tcW w:w="301" w:type="pct"/>
            <w:tcBorders>
              <w:tl2br w:val="nil"/>
              <w:tr2bl w:val="nil"/>
            </w:tcBorders>
            <w:vAlign w:val="center"/>
          </w:tcPr>
          <w:p>
            <w:pPr>
              <w:spacing w:line="240" w:lineRule="auto"/>
              <w:ind w:firstLine="0" w:firstLineChars="0"/>
              <w:jc w:val="center"/>
              <w:rPr>
                <w:b/>
                <w:bCs/>
                <w:sz w:val="21"/>
                <w:szCs w:val="21"/>
              </w:rPr>
            </w:pPr>
            <w:r>
              <w:rPr>
                <w:b/>
                <w:bCs/>
                <w:sz w:val="21"/>
                <w:szCs w:val="21"/>
              </w:rPr>
              <w:t>最大超标倍数</w:t>
            </w:r>
          </w:p>
        </w:tc>
        <w:tc>
          <w:tcPr>
            <w:tcW w:w="260" w:type="pct"/>
            <w:tcBorders>
              <w:tl2br w:val="nil"/>
              <w:tr2bl w:val="nil"/>
            </w:tcBorders>
            <w:vAlign w:val="center"/>
          </w:tcPr>
          <w:p>
            <w:pPr>
              <w:spacing w:line="240" w:lineRule="auto"/>
              <w:ind w:firstLine="0" w:firstLineChars="0"/>
              <w:jc w:val="center"/>
              <w:rPr>
                <w:b/>
                <w:bCs/>
                <w:sz w:val="21"/>
                <w:szCs w:val="21"/>
              </w:rPr>
            </w:pPr>
            <w:r>
              <w:rPr>
                <w:b/>
                <w:bCs/>
                <w:sz w:val="21"/>
                <w:szCs w:val="21"/>
              </w:rPr>
              <w:t>评价结果</w:t>
            </w:r>
          </w:p>
        </w:tc>
        <w:tc>
          <w:tcPr>
            <w:tcW w:w="366" w:type="pct"/>
            <w:tcBorders>
              <w:tl2br w:val="nil"/>
              <w:tr2bl w:val="nil"/>
            </w:tcBorders>
            <w:vAlign w:val="center"/>
          </w:tcPr>
          <w:p>
            <w:pPr>
              <w:spacing w:line="240" w:lineRule="auto"/>
              <w:ind w:firstLine="0" w:firstLineChars="0"/>
              <w:jc w:val="center"/>
              <w:rPr>
                <w:b/>
                <w:bCs/>
                <w:sz w:val="21"/>
                <w:szCs w:val="21"/>
              </w:rPr>
            </w:pPr>
            <w:r>
              <w:rPr>
                <w:b/>
                <w:bCs/>
                <w:sz w:val="21"/>
                <w:szCs w:val="21"/>
              </w:rPr>
              <w:t>实测值</w:t>
            </w:r>
          </w:p>
        </w:tc>
        <w:tc>
          <w:tcPr>
            <w:tcW w:w="248"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p>
            <w:pPr>
              <w:spacing w:line="240" w:lineRule="auto"/>
              <w:ind w:firstLine="0" w:firstLineChars="0"/>
              <w:jc w:val="center"/>
              <w:rPr>
                <w:b/>
                <w:bCs/>
                <w:sz w:val="21"/>
                <w:szCs w:val="21"/>
              </w:rPr>
            </w:pPr>
            <w:r>
              <w:rPr>
                <w:b/>
                <w:bCs/>
                <w:sz w:val="21"/>
                <w:szCs w:val="21"/>
              </w:rPr>
              <w:t>指数</w:t>
            </w:r>
          </w:p>
        </w:tc>
        <w:tc>
          <w:tcPr>
            <w:tcW w:w="317" w:type="pct"/>
            <w:tcBorders>
              <w:tl2br w:val="nil"/>
              <w:tr2bl w:val="nil"/>
            </w:tcBorders>
            <w:vAlign w:val="center"/>
          </w:tcPr>
          <w:p>
            <w:pPr>
              <w:spacing w:line="240" w:lineRule="auto"/>
              <w:ind w:firstLine="0" w:firstLineChars="0"/>
              <w:jc w:val="center"/>
              <w:rPr>
                <w:b/>
                <w:bCs/>
                <w:sz w:val="21"/>
                <w:szCs w:val="21"/>
              </w:rPr>
            </w:pPr>
            <w:r>
              <w:rPr>
                <w:b/>
                <w:bCs/>
                <w:sz w:val="21"/>
                <w:szCs w:val="21"/>
              </w:rPr>
              <w:t>最大超标倍数</w:t>
            </w:r>
          </w:p>
        </w:tc>
        <w:tc>
          <w:tcPr>
            <w:tcW w:w="240" w:type="pct"/>
            <w:tcBorders>
              <w:tl2br w:val="nil"/>
              <w:tr2bl w:val="nil"/>
            </w:tcBorders>
            <w:vAlign w:val="center"/>
          </w:tcPr>
          <w:p>
            <w:pPr>
              <w:spacing w:line="240" w:lineRule="auto"/>
              <w:ind w:firstLine="0" w:firstLineChars="0"/>
              <w:jc w:val="center"/>
              <w:rPr>
                <w:b/>
                <w:bCs/>
                <w:sz w:val="21"/>
                <w:szCs w:val="21"/>
              </w:rPr>
            </w:pPr>
            <w:r>
              <w:rPr>
                <w:b/>
                <w:bCs/>
                <w:sz w:val="21"/>
                <w:szCs w:val="21"/>
              </w:rPr>
              <w:t>评价</w:t>
            </w:r>
          </w:p>
          <w:p>
            <w:pPr>
              <w:spacing w:line="240" w:lineRule="auto"/>
              <w:ind w:firstLine="0" w:firstLineChars="0"/>
              <w:jc w:val="center"/>
              <w:rPr>
                <w:b/>
                <w:bCs/>
                <w:sz w:val="21"/>
                <w:szCs w:val="21"/>
              </w:rPr>
            </w:pPr>
            <w:r>
              <w:rPr>
                <w:b/>
                <w:bCs/>
                <w:sz w:val="21"/>
                <w:szCs w:val="21"/>
              </w:rPr>
              <w:t>结果</w:t>
            </w:r>
          </w:p>
        </w:tc>
        <w:tc>
          <w:tcPr>
            <w:tcW w:w="382" w:type="pct"/>
            <w:tcBorders>
              <w:tl2br w:val="nil"/>
              <w:tr2bl w:val="nil"/>
            </w:tcBorders>
            <w:vAlign w:val="center"/>
          </w:tcPr>
          <w:p>
            <w:pPr>
              <w:spacing w:line="240" w:lineRule="auto"/>
              <w:ind w:firstLine="0" w:firstLineChars="0"/>
              <w:jc w:val="center"/>
              <w:rPr>
                <w:b/>
                <w:bCs/>
                <w:sz w:val="21"/>
                <w:szCs w:val="21"/>
              </w:rPr>
            </w:pPr>
            <w:r>
              <w:rPr>
                <w:b/>
                <w:bCs/>
                <w:sz w:val="21"/>
                <w:szCs w:val="21"/>
              </w:rPr>
              <w:t>实测值</w:t>
            </w:r>
          </w:p>
        </w:tc>
        <w:tc>
          <w:tcPr>
            <w:tcW w:w="252"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p>
            <w:pPr>
              <w:spacing w:line="240" w:lineRule="auto"/>
              <w:ind w:firstLine="0" w:firstLineChars="0"/>
              <w:jc w:val="center"/>
              <w:rPr>
                <w:b/>
                <w:bCs/>
                <w:sz w:val="21"/>
                <w:szCs w:val="21"/>
              </w:rPr>
            </w:pPr>
            <w:r>
              <w:rPr>
                <w:b/>
                <w:bCs/>
                <w:sz w:val="21"/>
                <w:szCs w:val="21"/>
              </w:rPr>
              <w:t>指数</w:t>
            </w:r>
          </w:p>
        </w:tc>
        <w:tc>
          <w:tcPr>
            <w:tcW w:w="313" w:type="pct"/>
            <w:tcBorders>
              <w:tl2br w:val="nil"/>
              <w:tr2bl w:val="nil"/>
            </w:tcBorders>
            <w:vAlign w:val="center"/>
          </w:tcPr>
          <w:p>
            <w:pPr>
              <w:spacing w:line="240" w:lineRule="auto"/>
              <w:ind w:firstLine="0" w:firstLineChars="0"/>
              <w:jc w:val="center"/>
              <w:rPr>
                <w:b/>
                <w:bCs/>
                <w:sz w:val="21"/>
                <w:szCs w:val="21"/>
              </w:rPr>
            </w:pPr>
            <w:r>
              <w:rPr>
                <w:b/>
                <w:bCs/>
                <w:sz w:val="21"/>
                <w:szCs w:val="21"/>
              </w:rPr>
              <w:t>最大超标倍数</w:t>
            </w:r>
          </w:p>
        </w:tc>
        <w:tc>
          <w:tcPr>
            <w:tcW w:w="226" w:type="pct"/>
            <w:tcBorders>
              <w:tl2br w:val="nil"/>
              <w:tr2bl w:val="nil"/>
            </w:tcBorders>
            <w:vAlign w:val="center"/>
          </w:tcPr>
          <w:p>
            <w:pPr>
              <w:spacing w:line="240" w:lineRule="auto"/>
              <w:ind w:firstLine="0" w:firstLineChars="0"/>
              <w:jc w:val="center"/>
              <w:rPr>
                <w:b/>
                <w:bCs/>
                <w:sz w:val="21"/>
                <w:szCs w:val="21"/>
              </w:rPr>
            </w:pPr>
            <w:r>
              <w:rPr>
                <w:b/>
                <w:bCs/>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pH（无量纲）</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6.5-8.5</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7.09</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7.25</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7.31</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0.207</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总硬度（以CaCO</w:t>
            </w:r>
            <w:r>
              <w:rPr>
                <w:sz w:val="21"/>
                <w:szCs w:val="21"/>
                <w:vertAlign w:val="subscript"/>
              </w:rPr>
              <w:t>3</w:t>
            </w:r>
            <w:r>
              <w:rPr>
                <w:sz w:val="21"/>
                <w:szCs w:val="21"/>
              </w:rPr>
              <w:t>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≤450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339</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0.75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267</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0.593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324</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0.72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溶解性总固体</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607</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0.68</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525</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0.525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649</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0.649</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硫酸盐</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≤250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179</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0.72</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138</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0.552</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164</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0.656</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氯化物</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≤250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53.0</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0.21</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26.4</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0.106</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51.5</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0.206</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铁</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≤0.3</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锰</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铜</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锌</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挥发性酚类（以苯酚计）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0.075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0.075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0.075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LAS</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≤0.3</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0.083</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0.083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0.083</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耗氧量（以O</w:t>
            </w:r>
            <w:r>
              <w:rPr>
                <w:sz w:val="21"/>
                <w:szCs w:val="21"/>
                <w:vertAlign w:val="subscript"/>
              </w:rPr>
              <w:t>2</w:t>
            </w:r>
            <w:r>
              <w:rPr>
                <w:sz w:val="21"/>
                <w:szCs w:val="21"/>
              </w:rPr>
              <w:t>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0.72</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0.24</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1.14</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0.38</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1.45</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0.483</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氨氮（以N计）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0.049</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0.098</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0.070</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0.061</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0.122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硫化物</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0.007</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0.35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0.006</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0.008</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总大肠菌（MPN/L）</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菌落总数（CFU/mL）</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23</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0.23</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43</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0.43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34</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0.34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亚硝酸盐（以N计）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0.019</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0.019</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0.023</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0.023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0.024</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0.024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硝酸盐（以N计）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≤20.0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2.30</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0.115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2.08</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0.104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1.98</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0.099</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氰化物</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氟化物</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0.21</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0.21</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0.18</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0.18</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0.22</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0.22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汞</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≤0.001</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0.00004L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砷</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0.015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0.015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0.015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镉</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≤0.005</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0.0002</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六价铬</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0.004L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监测项目</w:t>
            </w:r>
          </w:p>
        </w:tc>
        <w:tc>
          <w:tcPr>
            <w:tcW w:w="427"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标准值</w:t>
            </w:r>
          </w:p>
        </w:tc>
        <w:tc>
          <w:tcPr>
            <w:tcW w:w="1214"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1#</w:t>
            </w:r>
            <w:r>
              <w:rPr>
                <w:rFonts w:hint="eastAsia"/>
                <w:b/>
                <w:bCs/>
                <w:sz w:val="21"/>
                <w:szCs w:val="21"/>
              </w:rPr>
              <w:t>（2022年6月1日）</w:t>
            </w:r>
          </w:p>
        </w:tc>
        <w:tc>
          <w:tcPr>
            <w:tcW w:w="1173"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2#</w:t>
            </w:r>
            <w:r>
              <w:rPr>
                <w:rFonts w:hint="eastAsia"/>
                <w:b/>
                <w:bCs/>
                <w:sz w:val="21"/>
                <w:szCs w:val="21"/>
              </w:rPr>
              <w:t>（2022年6月1日）</w:t>
            </w:r>
          </w:p>
        </w:tc>
        <w:tc>
          <w:tcPr>
            <w:tcW w:w="1175" w:type="pct"/>
            <w:gridSpan w:val="4"/>
            <w:tcBorders>
              <w:tl2br w:val="nil"/>
              <w:tr2bl w:val="nil"/>
            </w:tcBorders>
            <w:vAlign w:val="center"/>
          </w:tcPr>
          <w:p>
            <w:pPr>
              <w:spacing w:line="240" w:lineRule="auto"/>
              <w:ind w:firstLine="0" w:firstLineChars="0"/>
              <w:jc w:val="center"/>
              <w:rPr>
                <w:b/>
                <w:bCs/>
                <w:sz w:val="21"/>
                <w:szCs w:val="21"/>
              </w:rPr>
            </w:pPr>
            <w:r>
              <w:rPr>
                <w:b/>
                <w:bCs/>
                <w:sz w:val="21"/>
                <w:szCs w:val="21"/>
              </w:rPr>
              <w:t>3#</w:t>
            </w:r>
            <w:r>
              <w:rPr>
                <w:rFonts w:hint="eastAsia"/>
                <w:b/>
                <w:bCs/>
                <w:sz w:val="21"/>
                <w:szCs w:val="21"/>
              </w:rPr>
              <w:t>（2022年6月1日）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Merge w:val="continue"/>
            <w:tcBorders>
              <w:tl2br w:val="nil"/>
              <w:tr2bl w:val="nil"/>
            </w:tcBorders>
            <w:vAlign w:val="center"/>
          </w:tcPr>
          <w:p>
            <w:pPr>
              <w:spacing w:line="240" w:lineRule="auto"/>
              <w:ind w:firstLine="0" w:firstLineChars="0"/>
              <w:jc w:val="center"/>
              <w:rPr>
                <w:b/>
                <w:bCs/>
                <w:sz w:val="21"/>
                <w:szCs w:val="21"/>
              </w:rPr>
            </w:pPr>
          </w:p>
        </w:tc>
        <w:tc>
          <w:tcPr>
            <w:tcW w:w="427" w:type="pct"/>
            <w:vMerge w:val="continue"/>
            <w:tcBorders>
              <w:tl2br w:val="nil"/>
              <w:tr2bl w:val="nil"/>
            </w:tcBorders>
            <w:vAlign w:val="center"/>
          </w:tcPr>
          <w:p>
            <w:pPr>
              <w:spacing w:line="240" w:lineRule="auto"/>
              <w:ind w:firstLine="0" w:firstLineChars="0"/>
              <w:jc w:val="center"/>
              <w:rPr>
                <w:b/>
                <w:bCs/>
                <w:sz w:val="21"/>
                <w:szCs w:val="21"/>
              </w:rPr>
            </w:pPr>
          </w:p>
        </w:tc>
        <w:tc>
          <w:tcPr>
            <w:tcW w:w="391" w:type="pct"/>
            <w:tcBorders>
              <w:tl2br w:val="nil"/>
              <w:tr2bl w:val="nil"/>
            </w:tcBorders>
            <w:vAlign w:val="center"/>
          </w:tcPr>
          <w:p>
            <w:pPr>
              <w:spacing w:line="240" w:lineRule="auto"/>
              <w:ind w:firstLine="0" w:firstLineChars="0"/>
              <w:jc w:val="center"/>
              <w:rPr>
                <w:b/>
                <w:bCs/>
                <w:sz w:val="21"/>
                <w:szCs w:val="21"/>
              </w:rPr>
            </w:pPr>
            <w:r>
              <w:rPr>
                <w:b/>
                <w:bCs/>
                <w:sz w:val="21"/>
                <w:szCs w:val="21"/>
              </w:rPr>
              <w:t>实测值</w:t>
            </w:r>
          </w:p>
        </w:tc>
        <w:tc>
          <w:tcPr>
            <w:tcW w:w="260"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p>
            <w:pPr>
              <w:spacing w:line="240" w:lineRule="auto"/>
              <w:ind w:firstLine="0" w:firstLineChars="0"/>
              <w:jc w:val="center"/>
              <w:rPr>
                <w:b/>
                <w:bCs/>
                <w:sz w:val="21"/>
                <w:szCs w:val="21"/>
              </w:rPr>
            </w:pPr>
            <w:r>
              <w:rPr>
                <w:b/>
                <w:bCs/>
                <w:sz w:val="21"/>
                <w:szCs w:val="21"/>
              </w:rPr>
              <w:t>指数</w:t>
            </w:r>
          </w:p>
        </w:tc>
        <w:tc>
          <w:tcPr>
            <w:tcW w:w="301" w:type="pct"/>
            <w:tcBorders>
              <w:tl2br w:val="nil"/>
              <w:tr2bl w:val="nil"/>
            </w:tcBorders>
            <w:vAlign w:val="center"/>
          </w:tcPr>
          <w:p>
            <w:pPr>
              <w:spacing w:line="240" w:lineRule="auto"/>
              <w:ind w:firstLine="0" w:firstLineChars="0"/>
              <w:jc w:val="center"/>
              <w:rPr>
                <w:b/>
                <w:bCs/>
                <w:sz w:val="21"/>
                <w:szCs w:val="21"/>
              </w:rPr>
            </w:pPr>
            <w:r>
              <w:rPr>
                <w:b/>
                <w:bCs/>
                <w:sz w:val="21"/>
                <w:szCs w:val="21"/>
              </w:rPr>
              <w:t>最大超标倍数</w:t>
            </w:r>
          </w:p>
        </w:tc>
        <w:tc>
          <w:tcPr>
            <w:tcW w:w="260" w:type="pct"/>
            <w:tcBorders>
              <w:tl2br w:val="nil"/>
              <w:tr2bl w:val="nil"/>
            </w:tcBorders>
            <w:vAlign w:val="center"/>
          </w:tcPr>
          <w:p>
            <w:pPr>
              <w:spacing w:line="240" w:lineRule="auto"/>
              <w:ind w:firstLine="0" w:firstLineChars="0"/>
              <w:jc w:val="center"/>
              <w:rPr>
                <w:b/>
                <w:bCs/>
                <w:sz w:val="21"/>
                <w:szCs w:val="21"/>
              </w:rPr>
            </w:pPr>
            <w:r>
              <w:rPr>
                <w:b/>
                <w:bCs/>
                <w:sz w:val="21"/>
                <w:szCs w:val="21"/>
              </w:rPr>
              <w:t>评价结果</w:t>
            </w:r>
          </w:p>
        </w:tc>
        <w:tc>
          <w:tcPr>
            <w:tcW w:w="366" w:type="pct"/>
            <w:tcBorders>
              <w:tl2br w:val="nil"/>
              <w:tr2bl w:val="nil"/>
            </w:tcBorders>
            <w:vAlign w:val="center"/>
          </w:tcPr>
          <w:p>
            <w:pPr>
              <w:spacing w:line="240" w:lineRule="auto"/>
              <w:ind w:firstLine="0" w:firstLineChars="0"/>
              <w:jc w:val="center"/>
              <w:rPr>
                <w:b/>
                <w:bCs/>
                <w:sz w:val="21"/>
                <w:szCs w:val="21"/>
              </w:rPr>
            </w:pPr>
            <w:r>
              <w:rPr>
                <w:b/>
                <w:bCs/>
                <w:sz w:val="21"/>
                <w:szCs w:val="21"/>
              </w:rPr>
              <w:t>实测值</w:t>
            </w:r>
          </w:p>
        </w:tc>
        <w:tc>
          <w:tcPr>
            <w:tcW w:w="248"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p>
            <w:pPr>
              <w:spacing w:line="240" w:lineRule="auto"/>
              <w:ind w:firstLine="0" w:firstLineChars="0"/>
              <w:jc w:val="center"/>
              <w:rPr>
                <w:b/>
                <w:bCs/>
                <w:sz w:val="21"/>
                <w:szCs w:val="21"/>
              </w:rPr>
            </w:pPr>
            <w:r>
              <w:rPr>
                <w:b/>
                <w:bCs/>
                <w:sz w:val="21"/>
                <w:szCs w:val="21"/>
              </w:rPr>
              <w:t>指数</w:t>
            </w:r>
          </w:p>
        </w:tc>
        <w:tc>
          <w:tcPr>
            <w:tcW w:w="317" w:type="pct"/>
            <w:tcBorders>
              <w:tl2br w:val="nil"/>
              <w:tr2bl w:val="nil"/>
            </w:tcBorders>
            <w:vAlign w:val="center"/>
          </w:tcPr>
          <w:p>
            <w:pPr>
              <w:spacing w:line="240" w:lineRule="auto"/>
              <w:ind w:firstLine="0" w:firstLineChars="0"/>
              <w:jc w:val="center"/>
              <w:rPr>
                <w:b/>
                <w:bCs/>
                <w:sz w:val="21"/>
                <w:szCs w:val="21"/>
              </w:rPr>
            </w:pPr>
            <w:r>
              <w:rPr>
                <w:b/>
                <w:bCs/>
                <w:sz w:val="21"/>
                <w:szCs w:val="21"/>
              </w:rPr>
              <w:t>最大超标倍数</w:t>
            </w:r>
          </w:p>
        </w:tc>
        <w:tc>
          <w:tcPr>
            <w:tcW w:w="240" w:type="pct"/>
            <w:tcBorders>
              <w:tl2br w:val="nil"/>
              <w:tr2bl w:val="nil"/>
            </w:tcBorders>
            <w:vAlign w:val="center"/>
          </w:tcPr>
          <w:p>
            <w:pPr>
              <w:spacing w:line="240" w:lineRule="auto"/>
              <w:ind w:firstLine="0" w:firstLineChars="0"/>
              <w:jc w:val="center"/>
              <w:rPr>
                <w:b/>
                <w:bCs/>
                <w:sz w:val="21"/>
                <w:szCs w:val="21"/>
              </w:rPr>
            </w:pPr>
            <w:r>
              <w:rPr>
                <w:b/>
                <w:bCs/>
                <w:sz w:val="21"/>
                <w:szCs w:val="21"/>
              </w:rPr>
              <w:t>评价</w:t>
            </w:r>
          </w:p>
          <w:p>
            <w:pPr>
              <w:spacing w:line="240" w:lineRule="auto"/>
              <w:ind w:firstLine="0" w:firstLineChars="0"/>
              <w:jc w:val="center"/>
              <w:rPr>
                <w:b/>
                <w:bCs/>
                <w:sz w:val="21"/>
                <w:szCs w:val="21"/>
              </w:rPr>
            </w:pPr>
            <w:r>
              <w:rPr>
                <w:b/>
                <w:bCs/>
                <w:sz w:val="21"/>
                <w:szCs w:val="21"/>
              </w:rPr>
              <w:t>结果</w:t>
            </w:r>
          </w:p>
        </w:tc>
        <w:tc>
          <w:tcPr>
            <w:tcW w:w="382" w:type="pct"/>
            <w:tcBorders>
              <w:tl2br w:val="nil"/>
              <w:tr2bl w:val="nil"/>
            </w:tcBorders>
            <w:vAlign w:val="center"/>
          </w:tcPr>
          <w:p>
            <w:pPr>
              <w:spacing w:line="240" w:lineRule="auto"/>
              <w:ind w:firstLine="0" w:firstLineChars="0"/>
              <w:jc w:val="center"/>
              <w:rPr>
                <w:b/>
                <w:bCs/>
                <w:sz w:val="21"/>
                <w:szCs w:val="21"/>
              </w:rPr>
            </w:pPr>
            <w:r>
              <w:rPr>
                <w:b/>
                <w:bCs/>
                <w:sz w:val="21"/>
                <w:szCs w:val="21"/>
              </w:rPr>
              <w:t>实测值</w:t>
            </w:r>
          </w:p>
        </w:tc>
        <w:tc>
          <w:tcPr>
            <w:tcW w:w="252" w:type="pct"/>
            <w:tcBorders>
              <w:tl2br w:val="nil"/>
              <w:tr2bl w:val="nil"/>
            </w:tcBorders>
            <w:vAlign w:val="center"/>
          </w:tcPr>
          <w:p>
            <w:pPr>
              <w:spacing w:line="240" w:lineRule="auto"/>
              <w:ind w:firstLine="0" w:firstLineChars="0"/>
              <w:jc w:val="center"/>
              <w:rPr>
                <w:b/>
                <w:bCs/>
                <w:sz w:val="21"/>
                <w:szCs w:val="21"/>
              </w:rPr>
            </w:pPr>
            <w:r>
              <w:rPr>
                <w:b/>
                <w:bCs/>
                <w:sz w:val="21"/>
                <w:szCs w:val="21"/>
              </w:rPr>
              <w:t>标准</w:t>
            </w:r>
          </w:p>
          <w:p>
            <w:pPr>
              <w:spacing w:line="240" w:lineRule="auto"/>
              <w:ind w:firstLine="0" w:firstLineChars="0"/>
              <w:jc w:val="center"/>
              <w:rPr>
                <w:b/>
                <w:bCs/>
                <w:sz w:val="21"/>
                <w:szCs w:val="21"/>
              </w:rPr>
            </w:pPr>
            <w:r>
              <w:rPr>
                <w:b/>
                <w:bCs/>
                <w:sz w:val="21"/>
                <w:szCs w:val="21"/>
              </w:rPr>
              <w:t>指数</w:t>
            </w:r>
          </w:p>
        </w:tc>
        <w:tc>
          <w:tcPr>
            <w:tcW w:w="313" w:type="pct"/>
            <w:tcBorders>
              <w:tl2br w:val="nil"/>
              <w:tr2bl w:val="nil"/>
            </w:tcBorders>
            <w:vAlign w:val="center"/>
          </w:tcPr>
          <w:p>
            <w:pPr>
              <w:spacing w:line="240" w:lineRule="auto"/>
              <w:ind w:firstLine="0" w:firstLineChars="0"/>
              <w:jc w:val="center"/>
              <w:rPr>
                <w:b/>
                <w:bCs/>
                <w:sz w:val="21"/>
                <w:szCs w:val="21"/>
              </w:rPr>
            </w:pPr>
            <w:r>
              <w:rPr>
                <w:b/>
                <w:bCs/>
                <w:sz w:val="21"/>
                <w:szCs w:val="21"/>
              </w:rPr>
              <w:t>最大超标倍数</w:t>
            </w:r>
          </w:p>
        </w:tc>
        <w:tc>
          <w:tcPr>
            <w:tcW w:w="226" w:type="pct"/>
            <w:tcBorders>
              <w:tl2br w:val="nil"/>
              <w:tr2bl w:val="nil"/>
            </w:tcBorders>
            <w:vAlign w:val="center"/>
          </w:tcPr>
          <w:p>
            <w:pPr>
              <w:spacing w:line="240" w:lineRule="auto"/>
              <w:ind w:firstLine="0" w:firstLineChars="0"/>
              <w:jc w:val="center"/>
              <w:rPr>
                <w:b/>
                <w:bCs/>
                <w:sz w:val="21"/>
                <w:szCs w:val="21"/>
              </w:rPr>
            </w:pPr>
            <w:r>
              <w:rPr>
                <w:b/>
                <w:bCs/>
                <w:sz w:val="21"/>
                <w:szCs w:val="21"/>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pH（无量纲）</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6.5-8.5</w:t>
            </w:r>
          </w:p>
        </w:tc>
        <w:tc>
          <w:tcPr>
            <w:tcW w:w="391" w:type="pct"/>
            <w:tcBorders>
              <w:tl2br w:val="nil"/>
              <w:tr2bl w:val="nil"/>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7.11</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0.073</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7.27</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0.18</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7.30</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总硬度（以CaCO</w:t>
            </w:r>
            <w:r>
              <w:rPr>
                <w:sz w:val="21"/>
                <w:szCs w:val="21"/>
                <w:vertAlign w:val="subscript"/>
              </w:rPr>
              <w:t>3</w:t>
            </w:r>
            <w:r>
              <w:rPr>
                <w:sz w:val="21"/>
                <w:szCs w:val="21"/>
              </w:rPr>
              <w:t>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≤450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341</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0.758</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276</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0.613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325</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0.722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溶解性总固体</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682</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0.682</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514</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0.514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637</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0.637</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硫酸盐</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≤250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175</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0.7</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132</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0.528</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156</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0.624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氯化物</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≤250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52.4</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0.210</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25.7</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0.103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51.0</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0.204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铁</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≤0.3</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0.03L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锰</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0.01L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铜</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锌</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0.025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挥发性酚类（以苯酚计）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≤0.002</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0.075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0.075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0.0003L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0.075</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LAS</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≤0.3</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0.083</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0.083</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0.05L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0.083</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耗氧量（以O</w:t>
            </w:r>
            <w:r>
              <w:rPr>
                <w:sz w:val="21"/>
                <w:szCs w:val="21"/>
                <w:vertAlign w:val="subscript"/>
              </w:rPr>
              <w:t>2</w:t>
            </w:r>
            <w:r>
              <w:rPr>
                <w:sz w:val="21"/>
                <w:szCs w:val="21"/>
              </w:rPr>
              <w:t>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0.75</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1.14</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0.38</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1.47</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0.49</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氨氮（以N计）</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≤0.5</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0.052</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0.104</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0.072</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0.014</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0.060</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0.12</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硫化物</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0.009</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0.45</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0.007</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0.035</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0.008</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0.4</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tcBorders>
              <w:tl2br w:val="nil"/>
              <w:tr2bl w:val="nil"/>
            </w:tcBorders>
            <w:vAlign w:val="center"/>
          </w:tcPr>
          <w:p>
            <w:pPr>
              <w:spacing w:line="240" w:lineRule="auto"/>
              <w:ind w:firstLine="0" w:firstLineChars="0"/>
              <w:jc w:val="center"/>
              <w:rPr>
                <w:sz w:val="21"/>
                <w:szCs w:val="21"/>
              </w:rPr>
            </w:pPr>
            <w:r>
              <w:rPr>
                <w:sz w:val="21"/>
                <w:szCs w:val="21"/>
              </w:rPr>
              <w:t>总大肠菌（MPN/L）</w:t>
            </w:r>
          </w:p>
        </w:tc>
        <w:tc>
          <w:tcPr>
            <w:tcW w:w="427"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p>
        </w:tc>
        <w:tc>
          <w:tcPr>
            <w:tcW w:w="391"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260"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01"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6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66"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248"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17"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40"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382" w:type="pct"/>
            <w:tcBorders>
              <w:tl2br w:val="nil"/>
              <w:tr2bl w:val="nil"/>
            </w:tcBorders>
            <w:vAlign w:val="center"/>
          </w:tcPr>
          <w:p>
            <w:pPr>
              <w:spacing w:line="240" w:lineRule="auto"/>
              <w:ind w:firstLine="0" w:firstLineChars="0"/>
              <w:jc w:val="center"/>
              <w:rPr>
                <w:sz w:val="21"/>
                <w:szCs w:val="21"/>
              </w:rPr>
            </w:pPr>
            <w:r>
              <w:rPr>
                <w:sz w:val="21"/>
                <w:szCs w:val="21"/>
              </w:rPr>
              <w:t>10L</w:t>
            </w:r>
          </w:p>
        </w:tc>
        <w:tc>
          <w:tcPr>
            <w:tcW w:w="252" w:type="pct"/>
            <w:tcBorders>
              <w:tl2br w:val="nil"/>
              <w:tr2bl w:val="nil"/>
            </w:tcBorders>
            <w:vAlign w:val="center"/>
          </w:tcPr>
          <w:p>
            <w:pPr>
              <w:spacing w:line="240" w:lineRule="auto"/>
              <w:ind w:firstLine="0" w:firstLineChars="0"/>
              <w:jc w:val="center"/>
              <w:rPr>
                <w:sz w:val="21"/>
                <w:szCs w:val="21"/>
              </w:rPr>
            </w:pPr>
            <w:r>
              <w:rPr>
                <w:rFonts w:hint="eastAsia"/>
                <w:sz w:val="21"/>
                <w:szCs w:val="21"/>
              </w:rPr>
              <w:t>0.167</w:t>
            </w:r>
          </w:p>
        </w:tc>
        <w:tc>
          <w:tcPr>
            <w:tcW w:w="313"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26" w:type="pct"/>
            <w:tcBorders>
              <w:tl2br w:val="nil"/>
              <w:tr2bl w:val="nil"/>
            </w:tcBorders>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菌落总数（CFU/mL）</w:t>
            </w:r>
          </w:p>
        </w:tc>
        <w:tc>
          <w:tcPr>
            <w:tcW w:w="427" w:type="pct"/>
            <w:vAlign w:val="center"/>
          </w:tcPr>
          <w:p>
            <w:pPr>
              <w:spacing w:line="240" w:lineRule="auto"/>
              <w:ind w:firstLine="0" w:firstLineChars="0"/>
              <w:jc w:val="center"/>
              <w:rPr>
                <w:sz w:val="21"/>
                <w:szCs w:val="21"/>
              </w:rPr>
            </w:pPr>
            <w:r>
              <w:rPr>
                <w:rFonts w:hint="eastAsia"/>
                <w:sz w:val="21"/>
                <w:szCs w:val="21"/>
              </w:rPr>
              <w:t>≤100</w:t>
            </w:r>
          </w:p>
        </w:tc>
        <w:tc>
          <w:tcPr>
            <w:tcW w:w="391" w:type="pct"/>
            <w:vAlign w:val="center"/>
          </w:tcPr>
          <w:p>
            <w:pPr>
              <w:spacing w:line="240" w:lineRule="auto"/>
              <w:ind w:firstLine="0" w:firstLineChars="0"/>
              <w:jc w:val="center"/>
              <w:rPr>
                <w:sz w:val="21"/>
                <w:szCs w:val="21"/>
              </w:rPr>
            </w:pPr>
            <w:r>
              <w:rPr>
                <w:sz w:val="21"/>
                <w:szCs w:val="21"/>
              </w:rPr>
              <w:t>20</w:t>
            </w:r>
          </w:p>
        </w:tc>
        <w:tc>
          <w:tcPr>
            <w:tcW w:w="260" w:type="pct"/>
          </w:tcPr>
          <w:p>
            <w:pPr>
              <w:spacing w:line="240" w:lineRule="auto"/>
              <w:ind w:firstLine="0" w:firstLineChars="0"/>
              <w:jc w:val="center"/>
              <w:rPr>
                <w:sz w:val="21"/>
                <w:szCs w:val="21"/>
              </w:rPr>
            </w:pPr>
            <w:r>
              <w:rPr>
                <w:rFonts w:hint="eastAsia"/>
                <w:sz w:val="21"/>
                <w:szCs w:val="21"/>
              </w:rPr>
              <w:t>0.2</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40</w:t>
            </w:r>
          </w:p>
        </w:tc>
        <w:tc>
          <w:tcPr>
            <w:tcW w:w="248" w:type="pct"/>
          </w:tcPr>
          <w:p>
            <w:pPr>
              <w:spacing w:line="240" w:lineRule="auto"/>
              <w:ind w:firstLine="0" w:firstLineChars="0"/>
              <w:jc w:val="center"/>
              <w:rPr>
                <w:sz w:val="21"/>
                <w:szCs w:val="21"/>
              </w:rPr>
            </w:pPr>
            <w:r>
              <w:rPr>
                <w:rFonts w:hint="eastAsia"/>
                <w:sz w:val="21"/>
                <w:szCs w:val="21"/>
              </w:rPr>
              <w:t>0.4</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31</w:t>
            </w:r>
          </w:p>
        </w:tc>
        <w:tc>
          <w:tcPr>
            <w:tcW w:w="252" w:type="pct"/>
          </w:tcPr>
          <w:p>
            <w:pPr>
              <w:spacing w:line="240" w:lineRule="auto"/>
              <w:ind w:firstLine="0" w:firstLineChars="0"/>
              <w:jc w:val="center"/>
              <w:rPr>
                <w:sz w:val="21"/>
                <w:szCs w:val="21"/>
              </w:rPr>
            </w:pPr>
            <w:r>
              <w:rPr>
                <w:rFonts w:hint="eastAsia"/>
                <w:sz w:val="21"/>
                <w:szCs w:val="21"/>
              </w:rPr>
              <w:t>0.31</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亚硝酸盐（以N计）</w:t>
            </w:r>
          </w:p>
        </w:tc>
        <w:tc>
          <w:tcPr>
            <w:tcW w:w="427" w:type="pct"/>
            <w:vAlign w:val="center"/>
          </w:tcPr>
          <w:p>
            <w:pPr>
              <w:spacing w:line="240" w:lineRule="auto"/>
              <w:ind w:firstLine="0" w:firstLineChars="0"/>
              <w:jc w:val="center"/>
              <w:rPr>
                <w:sz w:val="21"/>
                <w:szCs w:val="21"/>
              </w:rPr>
            </w:pPr>
            <w:r>
              <w:rPr>
                <w:rFonts w:hint="eastAsia"/>
                <w:sz w:val="21"/>
                <w:szCs w:val="21"/>
              </w:rPr>
              <w:t>≤1.00</w:t>
            </w:r>
          </w:p>
        </w:tc>
        <w:tc>
          <w:tcPr>
            <w:tcW w:w="391" w:type="pct"/>
            <w:vAlign w:val="center"/>
          </w:tcPr>
          <w:p>
            <w:pPr>
              <w:spacing w:line="240" w:lineRule="auto"/>
              <w:ind w:firstLine="0" w:firstLineChars="0"/>
              <w:jc w:val="center"/>
              <w:rPr>
                <w:sz w:val="21"/>
                <w:szCs w:val="21"/>
              </w:rPr>
            </w:pPr>
            <w:r>
              <w:rPr>
                <w:sz w:val="21"/>
                <w:szCs w:val="21"/>
              </w:rPr>
              <w:t>0.019</w:t>
            </w:r>
          </w:p>
        </w:tc>
        <w:tc>
          <w:tcPr>
            <w:tcW w:w="260" w:type="pct"/>
          </w:tcPr>
          <w:p>
            <w:pPr>
              <w:spacing w:line="240" w:lineRule="auto"/>
              <w:ind w:firstLine="0" w:firstLineChars="0"/>
              <w:jc w:val="center"/>
              <w:rPr>
                <w:sz w:val="21"/>
                <w:szCs w:val="21"/>
              </w:rPr>
            </w:pPr>
            <w:r>
              <w:rPr>
                <w:rFonts w:hint="eastAsia"/>
                <w:sz w:val="21"/>
                <w:szCs w:val="21"/>
              </w:rPr>
              <w:t>0.019</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0.021</w:t>
            </w:r>
          </w:p>
        </w:tc>
        <w:tc>
          <w:tcPr>
            <w:tcW w:w="248" w:type="pct"/>
          </w:tcPr>
          <w:p>
            <w:pPr>
              <w:spacing w:line="240" w:lineRule="auto"/>
              <w:ind w:firstLine="0" w:firstLineChars="0"/>
              <w:jc w:val="center"/>
              <w:rPr>
                <w:sz w:val="21"/>
                <w:szCs w:val="21"/>
              </w:rPr>
            </w:pPr>
            <w:r>
              <w:rPr>
                <w:rFonts w:hint="eastAsia"/>
                <w:sz w:val="21"/>
                <w:szCs w:val="21"/>
              </w:rPr>
              <w:t>0.021</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0.022</w:t>
            </w:r>
          </w:p>
        </w:tc>
        <w:tc>
          <w:tcPr>
            <w:tcW w:w="252" w:type="pct"/>
          </w:tcPr>
          <w:p>
            <w:pPr>
              <w:spacing w:line="240" w:lineRule="auto"/>
              <w:ind w:firstLine="0" w:firstLineChars="0"/>
              <w:jc w:val="center"/>
              <w:rPr>
                <w:sz w:val="21"/>
                <w:szCs w:val="21"/>
              </w:rPr>
            </w:pPr>
            <w:r>
              <w:rPr>
                <w:rFonts w:hint="eastAsia"/>
                <w:sz w:val="21"/>
                <w:szCs w:val="21"/>
              </w:rPr>
              <w:t>0.022</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硝酸盐（以N计）</w:t>
            </w:r>
          </w:p>
        </w:tc>
        <w:tc>
          <w:tcPr>
            <w:tcW w:w="427" w:type="pct"/>
            <w:vAlign w:val="center"/>
          </w:tcPr>
          <w:p>
            <w:pPr>
              <w:spacing w:line="240" w:lineRule="auto"/>
              <w:ind w:firstLine="0" w:firstLineChars="0"/>
              <w:jc w:val="center"/>
              <w:rPr>
                <w:sz w:val="21"/>
                <w:szCs w:val="21"/>
              </w:rPr>
            </w:pPr>
            <w:r>
              <w:rPr>
                <w:rFonts w:hint="eastAsia"/>
                <w:sz w:val="21"/>
                <w:szCs w:val="21"/>
              </w:rPr>
              <w:t>≤20.0</w:t>
            </w:r>
          </w:p>
        </w:tc>
        <w:tc>
          <w:tcPr>
            <w:tcW w:w="391" w:type="pct"/>
            <w:vAlign w:val="center"/>
          </w:tcPr>
          <w:p>
            <w:pPr>
              <w:spacing w:line="240" w:lineRule="auto"/>
              <w:ind w:firstLine="0" w:firstLineChars="0"/>
              <w:jc w:val="center"/>
              <w:rPr>
                <w:sz w:val="21"/>
                <w:szCs w:val="21"/>
              </w:rPr>
            </w:pPr>
            <w:r>
              <w:rPr>
                <w:sz w:val="21"/>
                <w:szCs w:val="21"/>
              </w:rPr>
              <w:t>2.10</w:t>
            </w:r>
          </w:p>
        </w:tc>
        <w:tc>
          <w:tcPr>
            <w:tcW w:w="260" w:type="pct"/>
          </w:tcPr>
          <w:p>
            <w:pPr>
              <w:spacing w:line="240" w:lineRule="auto"/>
              <w:ind w:firstLine="0" w:firstLineChars="0"/>
              <w:jc w:val="center"/>
              <w:rPr>
                <w:sz w:val="21"/>
                <w:szCs w:val="21"/>
              </w:rPr>
            </w:pPr>
            <w:r>
              <w:rPr>
                <w:rFonts w:hint="eastAsia"/>
                <w:sz w:val="21"/>
                <w:szCs w:val="21"/>
              </w:rPr>
              <w:t>0.105</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1.96</w:t>
            </w:r>
          </w:p>
        </w:tc>
        <w:tc>
          <w:tcPr>
            <w:tcW w:w="248" w:type="pct"/>
          </w:tcPr>
          <w:p>
            <w:pPr>
              <w:spacing w:line="240" w:lineRule="auto"/>
              <w:ind w:firstLine="0" w:firstLineChars="0"/>
              <w:jc w:val="center"/>
              <w:rPr>
                <w:sz w:val="21"/>
                <w:szCs w:val="21"/>
              </w:rPr>
            </w:pPr>
            <w:r>
              <w:rPr>
                <w:rFonts w:hint="eastAsia"/>
                <w:sz w:val="21"/>
                <w:szCs w:val="21"/>
              </w:rPr>
              <w:t>0.098</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1.92</w:t>
            </w:r>
          </w:p>
        </w:tc>
        <w:tc>
          <w:tcPr>
            <w:tcW w:w="252" w:type="pct"/>
          </w:tcPr>
          <w:p>
            <w:pPr>
              <w:spacing w:line="240" w:lineRule="auto"/>
              <w:ind w:firstLine="0" w:firstLineChars="0"/>
              <w:jc w:val="center"/>
              <w:rPr>
                <w:sz w:val="21"/>
                <w:szCs w:val="21"/>
              </w:rPr>
            </w:pPr>
            <w:r>
              <w:rPr>
                <w:rFonts w:hint="eastAsia"/>
                <w:sz w:val="21"/>
                <w:szCs w:val="21"/>
              </w:rPr>
              <w:t>0.096</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氰化物</w:t>
            </w:r>
          </w:p>
        </w:tc>
        <w:tc>
          <w:tcPr>
            <w:tcW w:w="427" w:type="pct"/>
            <w:vAlign w:val="center"/>
          </w:tcPr>
          <w:p>
            <w:pPr>
              <w:spacing w:line="240" w:lineRule="auto"/>
              <w:ind w:firstLine="0" w:firstLineChars="0"/>
              <w:jc w:val="center"/>
              <w:rPr>
                <w:sz w:val="21"/>
                <w:szCs w:val="21"/>
              </w:rPr>
            </w:pPr>
            <w:r>
              <w:rPr>
                <w:rFonts w:hint="eastAsia"/>
                <w:sz w:val="21"/>
                <w:szCs w:val="21"/>
              </w:rPr>
              <w:t>≤0.05</w:t>
            </w:r>
          </w:p>
        </w:tc>
        <w:tc>
          <w:tcPr>
            <w:tcW w:w="391" w:type="pct"/>
            <w:vAlign w:val="center"/>
          </w:tcPr>
          <w:p>
            <w:pPr>
              <w:spacing w:line="240" w:lineRule="auto"/>
              <w:ind w:firstLine="0" w:firstLineChars="0"/>
              <w:jc w:val="center"/>
              <w:rPr>
                <w:sz w:val="21"/>
                <w:szCs w:val="21"/>
              </w:rPr>
            </w:pPr>
            <w:r>
              <w:rPr>
                <w:sz w:val="21"/>
                <w:szCs w:val="21"/>
              </w:rPr>
              <w:t>0.004L</w:t>
            </w:r>
          </w:p>
        </w:tc>
        <w:tc>
          <w:tcPr>
            <w:tcW w:w="260" w:type="pct"/>
          </w:tcPr>
          <w:p>
            <w:pPr>
              <w:spacing w:line="240" w:lineRule="auto"/>
              <w:ind w:firstLine="0" w:firstLineChars="0"/>
              <w:jc w:val="center"/>
              <w:rPr>
                <w:sz w:val="21"/>
                <w:szCs w:val="21"/>
              </w:rPr>
            </w:pPr>
            <w:r>
              <w:rPr>
                <w:rFonts w:hint="eastAsia"/>
                <w:sz w:val="21"/>
                <w:szCs w:val="21"/>
              </w:rPr>
              <w:t>0.04</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0.004L</w:t>
            </w:r>
          </w:p>
        </w:tc>
        <w:tc>
          <w:tcPr>
            <w:tcW w:w="248" w:type="pct"/>
          </w:tcPr>
          <w:p>
            <w:pPr>
              <w:spacing w:line="240" w:lineRule="auto"/>
              <w:ind w:firstLine="0" w:firstLineChars="0"/>
              <w:jc w:val="center"/>
              <w:rPr>
                <w:sz w:val="21"/>
                <w:szCs w:val="21"/>
              </w:rPr>
            </w:pPr>
            <w:r>
              <w:rPr>
                <w:rFonts w:hint="eastAsia"/>
                <w:sz w:val="21"/>
                <w:szCs w:val="21"/>
              </w:rPr>
              <w:t>0.04</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0.004L</w:t>
            </w:r>
          </w:p>
        </w:tc>
        <w:tc>
          <w:tcPr>
            <w:tcW w:w="252" w:type="pct"/>
          </w:tcPr>
          <w:p>
            <w:pPr>
              <w:spacing w:line="240" w:lineRule="auto"/>
              <w:ind w:firstLine="0" w:firstLineChars="0"/>
              <w:jc w:val="center"/>
              <w:rPr>
                <w:sz w:val="21"/>
                <w:szCs w:val="21"/>
              </w:rPr>
            </w:pPr>
            <w:r>
              <w:rPr>
                <w:rFonts w:hint="eastAsia"/>
                <w:sz w:val="21"/>
                <w:szCs w:val="21"/>
              </w:rPr>
              <w:t>0.04</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氟化物</w:t>
            </w:r>
          </w:p>
        </w:tc>
        <w:tc>
          <w:tcPr>
            <w:tcW w:w="427" w:type="pct"/>
            <w:vAlign w:val="center"/>
          </w:tcPr>
          <w:p>
            <w:pPr>
              <w:spacing w:line="240" w:lineRule="auto"/>
              <w:ind w:firstLine="0" w:firstLineChars="0"/>
              <w:jc w:val="center"/>
              <w:rPr>
                <w:sz w:val="21"/>
                <w:szCs w:val="21"/>
              </w:rPr>
            </w:pPr>
            <w:r>
              <w:rPr>
                <w:rFonts w:hint="eastAsia"/>
                <w:sz w:val="21"/>
                <w:szCs w:val="21"/>
              </w:rPr>
              <w:t>≤1.0</w:t>
            </w:r>
          </w:p>
        </w:tc>
        <w:tc>
          <w:tcPr>
            <w:tcW w:w="391" w:type="pct"/>
            <w:vAlign w:val="center"/>
          </w:tcPr>
          <w:p>
            <w:pPr>
              <w:spacing w:line="240" w:lineRule="auto"/>
              <w:ind w:firstLine="0" w:firstLineChars="0"/>
              <w:jc w:val="center"/>
              <w:rPr>
                <w:sz w:val="21"/>
                <w:szCs w:val="21"/>
              </w:rPr>
            </w:pPr>
            <w:r>
              <w:rPr>
                <w:sz w:val="21"/>
                <w:szCs w:val="21"/>
              </w:rPr>
              <w:t>0.19</w:t>
            </w:r>
          </w:p>
        </w:tc>
        <w:tc>
          <w:tcPr>
            <w:tcW w:w="260" w:type="pct"/>
          </w:tcPr>
          <w:p>
            <w:pPr>
              <w:spacing w:line="240" w:lineRule="auto"/>
              <w:ind w:firstLine="0" w:firstLineChars="0"/>
              <w:jc w:val="center"/>
              <w:rPr>
                <w:sz w:val="21"/>
                <w:szCs w:val="21"/>
              </w:rPr>
            </w:pPr>
            <w:r>
              <w:rPr>
                <w:rFonts w:hint="eastAsia"/>
                <w:sz w:val="21"/>
                <w:szCs w:val="21"/>
              </w:rPr>
              <w:t>0.19</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0.18</w:t>
            </w:r>
          </w:p>
        </w:tc>
        <w:tc>
          <w:tcPr>
            <w:tcW w:w="248" w:type="pct"/>
          </w:tcPr>
          <w:p>
            <w:pPr>
              <w:spacing w:line="240" w:lineRule="auto"/>
              <w:ind w:firstLine="0" w:firstLineChars="0"/>
              <w:jc w:val="center"/>
              <w:rPr>
                <w:sz w:val="21"/>
                <w:szCs w:val="21"/>
              </w:rPr>
            </w:pPr>
            <w:r>
              <w:rPr>
                <w:rFonts w:hint="eastAsia"/>
                <w:sz w:val="21"/>
                <w:szCs w:val="21"/>
              </w:rPr>
              <w:t>0.18</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0.20</w:t>
            </w:r>
          </w:p>
        </w:tc>
        <w:tc>
          <w:tcPr>
            <w:tcW w:w="252" w:type="pct"/>
          </w:tcPr>
          <w:p>
            <w:pPr>
              <w:spacing w:line="240" w:lineRule="auto"/>
              <w:ind w:firstLine="0" w:firstLineChars="0"/>
              <w:jc w:val="center"/>
              <w:rPr>
                <w:sz w:val="21"/>
                <w:szCs w:val="21"/>
              </w:rPr>
            </w:pPr>
            <w:r>
              <w:rPr>
                <w:rFonts w:hint="eastAsia"/>
                <w:sz w:val="21"/>
                <w:szCs w:val="21"/>
              </w:rPr>
              <w:t>0.20</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汞</w:t>
            </w:r>
          </w:p>
        </w:tc>
        <w:tc>
          <w:tcPr>
            <w:tcW w:w="427" w:type="pct"/>
            <w:vAlign w:val="center"/>
          </w:tcPr>
          <w:p>
            <w:pPr>
              <w:spacing w:line="240" w:lineRule="auto"/>
              <w:ind w:firstLine="0" w:firstLineChars="0"/>
              <w:jc w:val="center"/>
              <w:rPr>
                <w:sz w:val="21"/>
                <w:szCs w:val="21"/>
              </w:rPr>
            </w:pPr>
            <w:r>
              <w:rPr>
                <w:rFonts w:hint="eastAsia"/>
                <w:sz w:val="21"/>
                <w:szCs w:val="21"/>
              </w:rPr>
              <w:t>≤0.001</w:t>
            </w:r>
          </w:p>
        </w:tc>
        <w:tc>
          <w:tcPr>
            <w:tcW w:w="391" w:type="pct"/>
            <w:vAlign w:val="center"/>
          </w:tcPr>
          <w:p>
            <w:pPr>
              <w:spacing w:line="240" w:lineRule="auto"/>
              <w:ind w:firstLine="0" w:firstLineChars="0"/>
              <w:jc w:val="center"/>
              <w:rPr>
                <w:sz w:val="21"/>
                <w:szCs w:val="21"/>
              </w:rPr>
            </w:pPr>
            <w:r>
              <w:rPr>
                <w:sz w:val="21"/>
                <w:szCs w:val="21"/>
              </w:rPr>
              <w:t>0.00004L</w:t>
            </w:r>
          </w:p>
        </w:tc>
        <w:tc>
          <w:tcPr>
            <w:tcW w:w="260" w:type="pct"/>
          </w:tcPr>
          <w:p>
            <w:pPr>
              <w:spacing w:line="240" w:lineRule="auto"/>
              <w:ind w:firstLine="0" w:firstLineChars="0"/>
              <w:jc w:val="center"/>
              <w:rPr>
                <w:sz w:val="21"/>
                <w:szCs w:val="21"/>
              </w:rPr>
            </w:pPr>
            <w:r>
              <w:rPr>
                <w:rFonts w:hint="eastAsia"/>
                <w:sz w:val="21"/>
                <w:szCs w:val="21"/>
              </w:rPr>
              <w:t>0.02</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0.00004L</w:t>
            </w:r>
          </w:p>
        </w:tc>
        <w:tc>
          <w:tcPr>
            <w:tcW w:w="248" w:type="pct"/>
          </w:tcPr>
          <w:p>
            <w:pPr>
              <w:spacing w:line="240" w:lineRule="auto"/>
              <w:ind w:firstLine="0" w:firstLineChars="0"/>
              <w:jc w:val="center"/>
              <w:rPr>
                <w:sz w:val="21"/>
                <w:szCs w:val="21"/>
              </w:rPr>
            </w:pPr>
            <w:r>
              <w:rPr>
                <w:rFonts w:hint="eastAsia"/>
                <w:sz w:val="21"/>
                <w:szCs w:val="21"/>
              </w:rPr>
              <w:t>0.02</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0.00004L</w:t>
            </w:r>
          </w:p>
        </w:tc>
        <w:tc>
          <w:tcPr>
            <w:tcW w:w="252" w:type="pct"/>
          </w:tcPr>
          <w:p>
            <w:pPr>
              <w:spacing w:line="240" w:lineRule="auto"/>
              <w:ind w:firstLine="0" w:firstLineChars="0"/>
              <w:jc w:val="center"/>
              <w:rPr>
                <w:sz w:val="21"/>
                <w:szCs w:val="21"/>
              </w:rPr>
            </w:pPr>
            <w:r>
              <w:rPr>
                <w:rFonts w:hint="eastAsia"/>
                <w:sz w:val="21"/>
                <w:szCs w:val="21"/>
              </w:rPr>
              <w:t>0.02</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砷</w:t>
            </w:r>
          </w:p>
        </w:tc>
        <w:tc>
          <w:tcPr>
            <w:tcW w:w="427" w:type="pct"/>
            <w:vAlign w:val="center"/>
          </w:tcPr>
          <w:p>
            <w:pPr>
              <w:spacing w:line="240" w:lineRule="auto"/>
              <w:ind w:firstLine="0" w:firstLineChars="0"/>
              <w:jc w:val="center"/>
              <w:rPr>
                <w:sz w:val="21"/>
                <w:szCs w:val="21"/>
              </w:rPr>
            </w:pPr>
            <w:r>
              <w:rPr>
                <w:rFonts w:hint="eastAsia"/>
                <w:sz w:val="21"/>
                <w:szCs w:val="21"/>
              </w:rPr>
              <w:t>≤0.01</w:t>
            </w:r>
          </w:p>
        </w:tc>
        <w:tc>
          <w:tcPr>
            <w:tcW w:w="391" w:type="pct"/>
            <w:vAlign w:val="center"/>
          </w:tcPr>
          <w:p>
            <w:pPr>
              <w:spacing w:line="240" w:lineRule="auto"/>
              <w:ind w:firstLine="0" w:firstLineChars="0"/>
              <w:jc w:val="center"/>
              <w:rPr>
                <w:sz w:val="21"/>
                <w:szCs w:val="21"/>
              </w:rPr>
            </w:pPr>
            <w:r>
              <w:rPr>
                <w:sz w:val="21"/>
                <w:szCs w:val="21"/>
              </w:rPr>
              <w:t>0.0003L</w:t>
            </w:r>
          </w:p>
        </w:tc>
        <w:tc>
          <w:tcPr>
            <w:tcW w:w="260" w:type="pct"/>
          </w:tcPr>
          <w:p>
            <w:pPr>
              <w:spacing w:line="240" w:lineRule="auto"/>
              <w:ind w:firstLine="0" w:firstLineChars="0"/>
              <w:jc w:val="center"/>
              <w:rPr>
                <w:sz w:val="21"/>
                <w:szCs w:val="21"/>
              </w:rPr>
            </w:pPr>
            <w:r>
              <w:rPr>
                <w:rFonts w:hint="eastAsia"/>
                <w:sz w:val="21"/>
                <w:szCs w:val="21"/>
              </w:rPr>
              <w:t>0.015</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0.0003L</w:t>
            </w:r>
          </w:p>
        </w:tc>
        <w:tc>
          <w:tcPr>
            <w:tcW w:w="248" w:type="pct"/>
          </w:tcPr>
          <w:p>
            <w:pPr>
              <w:spacing w:line="240" w:lineRule="auto"/>
              <w:ind w:firstLine="0" w:firstLineChars="0"/>
              <w:jc w:val="center"/>
              <w:rPr>
                <w:sz w:val="21"/>
                <w:szCs w:val="21"/>
              </w:rPr>
            </w:pPr>
            <w:r>
              <w:rPr>
                <w:rFonts w:hint="eastAsia"/>
                <w:sz w:val="21"/>
                <w:szCs w:val="21"/>
              </w:rPr>
              <w:t>0.015</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0.0003L</w:t>
            </w:r>
          </w:p>
        </w:tc>
        <w:tc>
          <w:tcPr>
            <w:tcW w:w="252" w:type="pct"/>
          </w:tcPr>
          <w:p>
            <w:pPr>
              <w:spacing w:line="240" w:lineRule="auto"/>
              <w:ind w:firstLine="0" w:firstLineChars="0"/>
              <w:jc w:val="center"/>
              <w:rPr>
                <w:sz w:val="21"/>
                <w:szCs w:val="21"/>
              </w:rPr>
            </w:pPr>
            <w:r>
              <w:rPr>
                <w:rFonts w:hint="eastAsia"/>
                <w:sz w:val="21"/>
                <w:szCs w:val="21"/>
              </w:rPr>
              <w:t>0.015</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镉</w:t>
            </w:r>
          </w:p>
        </w:tc>
        <w:tc>
          <w:tcPr>
            <w:tcW w:w="427" w:type="pct"/>
            <w:vAlign w:val="center"/>
          </w:tcPr>
          <w:p>
            <w:pPr>
              <w:spacing w:line="240" w:lineRule="auto"/>
              <w:ind w:firstLine="0" w:firstLineChars="0"/>
              <w:jc w:val="center"/>
              <w:rPr>
                <w:sz w:val="21"/>
                <w:szCs w:val="21"/>
              </w:rPr>
            </w:pPr>
            <w:r>
              <w:rPr>
                <w:rFonts w:hint="eastAsia"/>
                <w:sz w:val="21"/>
                <w:szCs w:val="21"/>
              </w:rPr>
              <w:t>≤0.005</w:t>
            </w:r>
          </w:p>
        </w:tc>
        <w:tc>
          <w:tcPr>
            <w:tcW w:w="391" w:type="pct"/>
            <w:vAlign w:val="center"/>
          </w:tcPr>
          <w:p>
            <w:pPr>
              <w:spacing w:line="240" w:lineRule="auto"/>
              <w:ind w:firstLine="0" w:firstLineChars="0"/>
              <w:jc w:val="center"/>
              <w:rPr>
                <w:sz w:val="21"/>
                <w:szCs w:val="21"/>
              </w:rPr>
            </w:pPr>
            <w:r>
              <w:rPr>
                <w:sz w:val="21"/>
                <w:szCs w:val="21"/>
              </w:rPr>
              <w:t>0.0002</w:t>
            </w:r>
          </w:p>
        </w:tc>
        <w:tc>
          <w:tcPr>
            <w:tcW w:w="260" w:type="pct"/>
          </w:tcPr>
          <w:p>
            <w:pPr>
              <w:spacing w:line="240" w:lineRule="auto"/>
              <w:ind w:firstLine="0" w:firstLineChars="0"/>
              <w:jc w:val="center"/>
              <w:rPr>
                <w:sz w:val="21"/>
                <w:szCs w:val="21"/>
              </w:rPr>
            </w:pPr>
            <w:r>
              <w:rPr>
                <w:rFonts w:hint="eastAsia"/>
                <w:sz w:val="21"/>
                <w:szCs w:val="21"/>
              </w:rPr>
              <w:t>0.04</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0.0001</w:t>
            </w:r>
          </w:p>
        </w:tc>
        <w:tc>
          <w:tcPr>
            <w:tcW w:w="248" w:type="pct"/>
          </w:tcPr>
          <w:p>
            <w:pPr>
              <w:spacing w:line="240" w:lineRule="auto"/>
              <w:ind w:firstLine="0" w:firstLineChars="0"/>
              <w:jc w:val="center"/>
              <w:rPr>
                <w:sz w:val="21"/>
                <w:szCs w:val="21"/>
              </w:rPr>
            </w:pPr>
            <w:r>
              <w:rPr>
                <w:rFonts w:hint="eastAsia"/>
                <w:sz w:val="21"/>
                <w:szCs w:val="21"/>
              </w:rPr>
              <w:t>0.02</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0.0001</w:t>
            </w:r>
          </w:p>
        </w:tc>
        <w:tc>
          <w:tcPr>
            <w:tcW w:w="252" w:type="pct"/>
          </w:tcPr>
          <w:p>
            <w:pPr>
              <w:spacing w:line="240" w:lineRule="auto"/>
              <w:ind w:firstLine="0" w:firstLineChars="0"/>
              <w:jc w:val="center"/>
              <w:rPr>
                <w:sz w:val="21"/>
                <w:szCs w:val="21"/>
              </w:rPr>
            </w:pPr>
            <w:r>
              <w:rPr>
                <w:rFonts w:hint="eastAsia"/>
                <w:sz w:val="21"/>
                <w:szCs w:val="21"/>
              </w:rPr>
              <w:t>0.02</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9" w:type="pct"/>
            <w:vAlign w:val="center"/>
          </w:tcPr>
          <w:p>
            <w:pPr>
              <w:spacing w:line="240" w:lineRule="auto"/>
              <w:ind w:firstLine="0" w:firstLineChars="0"/>
              <w:jc w:val="center"/>
              <w:rPr>
                <w:sz w:val="21"/>
                <w:szCs w:val="21"/>
              </w:rPr>
            </w:pPr>
            <w:r>
              <w:rPr>
                <w:sz w:val="21"/>
                <w:szCs w:val="21"/>
              </w:rPr>
              <w:t>六价铬</w:t>
            </w:r>
          </w:p>
        </w:tc>
        <w:tc>
          <w:tcPr>
            <w:tcW w:w="427" w:type="pct"/>
            <w:vAlign w:val="center"/>
          </w:tcPr>
          <w:p>
            <w:pPr>
              <w:spacing w:line="240" w:lineRule="auto"/>
              <w:ind w:firstLine="0" w:firstLineChars="0"/>
              <w:jc w:val="center"/>
              <w:rPr>
                <w:sz w:val="21"/>
                <w:szCs w:val="21"/>
              </w:rPr>
            </w:pPr>
            <w:r>
              <w:rPr>
                <w:rFonts w:hint="eastAsia"/>
                <w:sz w:val="21"/>
                <w:szCs w:val="21"/>
              </w:rPr>
              <w:t>≤0.05</w:t>
            </w:r>
          </w:p>
        </w:tc>
        <w:tc>
          <w:tcPr>
            <w:tcW w:w="391" w:type="pct"/>
            <w:vAlign w:val="center"/>
          </w:tcPr>
          <w:p>
            <w:pPr>
              <w:spacing w:line="240" w:lineRule="auto"/>
              <w:ind w:firstLine="0" w:firstLineChars="0"/>
              <w:jc w:val="center"/>
              <w:rPr>
                <w:sz w:val="21"/>
                <w:szCs w:val="21"/>
              </w:rPr>
            </w:pPr>
            <w:r>
              <w:rPr>
                <w:sz w:val="21"/>
                <w:szCs w:val="21"/>
              </w:rPr>
              <w:t>0.004L</w:t>
            </w:r>
          </w:p>
        </w:tc>
        <w:tc>
          <w:tcPr>
            <w:tcW w:w="260" w:type="pct"/>
          </w:tcPr>
          <w:p>
            <w:pPr>
              <w:spacing w:line="240" w:lineRule="auto"/>
              <w:ind w:firstLine="0" w:firstLineChars="0"/>
              <w:jc w:val="center"/>
              <w:rPr>
                <w:sz w:val="21"/>
                <w:szCs w:val="21"/>
              </w:rPr>
            </w:pPr>
            <w:r>
              <w:rPr>
                <w:rFonts w:hint="eastAsia"/>
                <w:sz w:val="21"/>
                <w:szCs w:val="21"/>
              </w:rPr>
              <w:t>0.04</w:t>
            </w:r>
          </w:p>
        </w:tc>
        <w:tc>
          <w:tcPr>
            <w:tcW w:w="301" w:type="pct"/>
            <w:vAlign w:val="center"/>
          </w:tcPr>
          <w:p>
            <w:pPr>
              <w:spacing w:line="240" w:lineRule="auto"/>
              <w:ind w:firstLine="0" w:firstLineChars="0"/>
              <w:jc w:val="center"/>
              <w:rPr>
                <w:sz w:val="21"/>
                <w:szCs w:val="21"/>
              </w:rPr>
            </w:pPr>
            <w:r>
              <w:rPr>
                <w:sz w:val="21"/>
                <w:szCs w:val="21"/>
              </w:rPr>
              <w:t>0</w:t>
            </w:r>
          </w:p>
        </w:tc>
        <w:tc>
          <w:tcPr>
            <w:tcW w:w="260" w:type="pct"/>
            <w:vAlign w:val="center"/>
          </w:tcPr>
          <w:p>
            <w:pPr>
              <w:spacing w:line="240" w:lineRule="auto"/>
              <w:ind w:firstLine="0" w:firstLineChars="0"/>
              <w:jc w:val="center"/>
              <w:rPr>
                <w:sz w:val="21"/>
                <w:szCs w:val="21"/>
              </w:rPr>
            </w:pPr>
            <w:r>
              <w:rPr>
                <w:sz w:val="21"/>
                <w:szCs w:val="21"/>
              </w:rPr>
              <w:t>达标</w:t>
            </w:r>
          </w:p>
        </w:tc>
        <w:tc>
          <w:tcPr>
            <w:tcW w:w="366" w:type="pct"/>
            <w:vAlign w:val="center"/>
          </w:tcPr>
          <w:p>
            <w:pPr>
              <w:spacing w:line="240" w:lineRule="auto"/>
              <w:ind w:firstLine="0" w:firstLineChars="0"/>
              <w:jc w:val="center"/>
              <w:rPr>
                <w:sz w:val="21"/>
                <w:szCs w:val="21"/>
              </w:rPr>
            </w:pPr>
            <w:r>
              <w:rPr>
                <w:sz w:val="21"/>
                <w:szCs w:val="21"/>
              </w:rPr>
              <w:t>0.004L</w:t>
            </w:r>
          </w:p>
        </w:tc>
        <w:tc>
          <w:tcPr>
            <w:tcW w:w="248" w:type="pct"/>
          </w:tcPr>
          <w:p>
            <w:pPr>
              <w:spacing w:line="240" w:lineRule="auto"/>
              <w:ind w:firstLine="0" w:firstLineChars="0"/>
              <w:jc w:val="center"/>
              <w:rPr>
                <w:sz w:val="21"/>
                <w:szCs w:val="21"/>
              </w:rPr>
            </w:pPr>
            <w:r>
              <w:rPr>
                <w:rFonts w:hint="eastAsia"/>
                <w:sz w:val="21"/>
                <w:szCs w:val="21"/>
              </w:rPr>
              <w:t>0.04</w:t>
            </w:r>
          </w:p>
        </w:tc>
        <w:tc>
          <w:tcPr>
            <w:tcW w:w="317" w:type="pct"/>
            <w:vAlign w:val="center"/>
          </w:tcPr>
          <w:p>
            <w:pPr>
              <w:spacing w:line="240" w:lineRule="auto"/>
              <w:ind w:firstLine="0" w:firstLineChars="0"/>
              <w:jc w:val="center"/>
              <w:rPr>
                <w:sz w:val="21"/>
                <w:szCs w:val="21"/>
              </w:rPr>
            </w:pPr>
            <w:r>
              <w:rPr>
                <w:sz w:val="21"/>
                <w:szCs w:val="21"/>
              </w:rPr>
              <w:t>0</w:t>
            </w:r>
          </w:p>
        </w:tc>
        <w:tc>
          <w:tcPr>
            <w:tcW w:w="240" w:type="pct"/>
            <w:vAlign w:val="center"/>
          </w:tcPr>
          <w:p>
            <w:pPr>
              <w:spacing w:line="240" w:lineRule="auto"/>
              <w:ind w:firstLine="0" w:firstLineChars="0"/>
              <w:jc w:val="center"/>
              <w:rPr>
                <w:sz w:val="21"/>
                <w:szCs w:val="21"/>
              </w:rPr>
            </w:pPr>
            <w:r>
              <w:rPr>
                <w:sz w:val="21"/>
                <w:szCs w:val="21"/>
              </w:rPr>
              <w:t>达标</w:t>
            </w:r>
          </w:p>
        </w:tc>
        <w:tc>
          <w:tcPr>
            <w:tcW w:w="382" w:type="pct"/>
            <w:vAlign w:val="center"/>
          </w:tcPr>
          <w:p>
            <w:pPr>
              <w:spacing w:line="240" w:lineRule="auto"/>
              <w:ind w:firstLine="0" w:firstLineChars="0"/>
              <w:jc w:val="center"/>
              <w:rPr>
                <w:sz w:val="21"/>
                <w:szCs w:val="21"/>
              </w:rPr>
            </w:pPr>
            <w:r>
              <w:rPr>
                <w:sz w:val="21"/>
                <w:szCs w:val="21"/>
              </w:rPr>
              <w:t>0.004L</w:t>
            </w:r>
          </w:p>
        </w:tc>
        <w:tc>
          <w:tcPr>
            <w:tcW w:w="252" w:type="pct"/>
          </w:tcPr>
          <w:p>
            <w:pPr>
              <w:spacing w:line="240" w:lineRule="auto"/>
              <w:ind w:firstLine="0" w:firstLineChars="0"/>
              <w:jc w:val="center"/>
              <w:rPr>
                <w:sz w:val="21"/>
                <w:szCs w:val="21"/>
              </w:rPr>
            </w:pPr>
            <w:r>
              <w:rPr>
                <w:rFonts w:hint="eastAsia"/>
                <w:sz w:val="21"/>
                <w:szCs w:val="21"/>
              </w:rPr>
              <w:t>0.04</w:t>
            </w:r>
          </w:p>
        </w:tc>
        <w:tc>
          <w:tcPr>
            <w:tcW w:w="313" w:type="pct"/>
            <w:vAlign w:val="center"/>
          </w:tcPr>
          <w:p>
            <w:pPr>
              <w:spacing w:line="240" w:lineRule="auto"/>
              <w:ind w:firstLine="0" w:firstLineChars="0"/>
              <w:jc w:val="center"/>
              <w:rPr>
                <w:sz w:val="21"/>
                <w:szCs w:val="21"/>
              </w:rPr>
            </w:pPr>
            <w:r>
              <w:rPr>
                <w:sz w:val="21"/>
                <w:szCs w:val="21"/>
              </w:rPr>
              <w:t>0</w:t>
            </w:r>
          </w:p>
        </w:tc>
        <w:tc>
          <w:tcPr>
            <w:tcW w:w="226" w:type="pct"/>
            <w:vAlign w:val="center"/>
          </w:tcPr>
          <w:p>
            <w:pPr>
              <w:spacing w:line="240" w:lineRule="auto"/>
              <w:ind w:firstLine="0" w:firstLineChars="0"/>
              <w:jc w:val="center"/>
              <w:rPr>
                <w:sz w:val="21"/>
                <w:szCs w:val="21"/>
              </w:rPr>
            </w:pPr>
            <w:r>
              <w:rPr>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4"/>
            <w:vAlign w:val="center"/>
          </w:tcPr>
          <w:p>
            <w:pPr>
              <w:spacing w:line="240" w:lineRule="auto"/>
              <w:ind w:firstLine="0" w:firstLineChars="0"/>
              <w:rPr>
                <w:sz w:val="21"/>
                <w:szCs w:val="21"/>
              </w:rPr>
            </w:pPr>
            <w:r>
              <w:rPr>
                <w:rFonts w:hint="eastAsia"/>
                <w:sz w:val="21"/>
                <w:szCs w:val="21"/>
              </w:rPr>
              <w:t>备注：“L”表示未检出，未检出按检出限的一半统计。</w:t>
            </w:r>
          </w:p>
        </w:tc>
      </w:tr>
    </w:tbl>
    <w:p>
      <w:pPr>
        <w:ind w:firstLine="482"/>
        <w:rPr>
          <w:b/>
          <w:bCs/>
        </w:rPr>
      </w:pPr>
      <w:r>
        <w:rPr>
          <w:rFonts w:hint="eastAsia"/>
          <w:b/>
          <w:bCs/>
        </w:rPr>
        <w:t>（9）地下水化学类型调查</w:t>
      </w:r>
    </w:p>
    <w:p>
      <w:pPr>
        <w:ind w:firstLine="480"/>
      </w:pPr>
      <w:r>
        <w:rPr>
          <w:rFonts w:hint="eastAsia"/>
        </w:rPr>
        <w:t>本次对评价区各监测点的地下水中K</w:t>
      </w:r>
      <w:r>
        <w:rPr>
          <w:rFonts w:hint="eastAsia"/>
          <w:vertAlign w:val="superscript"/>
        </w:rPr>
        <w:t>+</w:t>
      </w:r>
      <w:r>
        <w:rPr>
          <w:rFonts w:hint="eastAsia"/>
        </w:rPr>
        <w:t>、Na</w:t>
      </w:r>
      <w:r>
        <w:rPr>
          <w:rFonts w:hint="eastAsia"/>
          <w:vertAlign w:val="superscript"/>
        </w:rPr>
        <w:t>+</w:t>
      </w:r>
      <w:r>
        <w:rPr>
          <w:rFonts w:hint="eastAsia"/>
        </w:rPr>
        <w:t>、Ca</w:t>
      </w:r>
      <w:r>
        <w:rPr>
          <w:rFonts w:hint="eastAsia"/>
          <w:vertAlign w:val="superscript"/>
        </w:rPr>
        <w:t>2+</w:t>
      </w:r>
      <w:r>
        <w:rPr>
          <w:rFonts w:hint="eastAsia"/>
        </w:rPr>
        <w:t>、Mg</w:t>
      </w:r>
      <w:r>
        <w:rPr>
          <w:rFonts w:hint="eastAsia"/>
          <w:vertAlign w:val="superscript"/>
        </w:rPr>
        <w:t>2+</w:t>
      </w:r>
      <w:r>
        <w:rPr>
          <w:rFonts w:hint="eastAsia"/>
        </w:rPr>
        <w:t>、CO</w:t>
      </w:r>
      <w:r>
        <w:rPr>
          <w:rFonts w:hint="eastAsia"/>
          <w:vertAlign w:val="subscript"/>
        </w:rPr>
        <w:t>3</w:t>
      </w:r>
      <w:r>
        <w:rPr>
          <w:rFonts w:hint="eastAsia"/>
          <w:vertAlign w:val="superscript"/>
        </w:rPr>
        <w:t>2-</w:t>
      </w:r>
      <w:r>
        <w:rPr>
          <w:rFonts w:hint="eastAsia"/>
        </w:rPr>
        <w:t>、HCO</w:t>
      </w:r>
      <w:r>
        <w:rPr>
          <w:rFonts w:hint="eastAsia"/>
          <w:vertAlign w:val="subscript"/>
        </w:rPr>
        <w:t>3</w:t>
      </w:r>
      <w:r>
        <w:rPr>
          <w:rFonts w:hint="eastAsia"/>
          <w:vertAlign w:val="superscript"/>
        </w:rPr>
        <w:t>-</w:t>
      </w:r>
      <w:r>
        <w:rPr>
          <w:rFonts w:hint="eastAsia"/>
        </w:rPr>
        <w:t>、Cl</w:t>
      </w:r>
      <w:r>
        <w:rPr>
          <w:rFonts w:hint="eastAsia"/>
          <w:vertAlign w:val="superscript"/>
        </w:rPr>
        <w:t>-</w:t>
      </w:r>
      <w:r>
        <w:rPr>
          <w:rFonts w:hint="eastAsia"/>
        </w:rPr>
        <w:t>、SO</w:t>
      </w:r>
      <w:r>
        <w:rPr>
          <w:rFonts w:hint="eastAsia"/>
          <w:vertAlign w:val="subscript"/>
        </w:rPr>
        <w:t>4</w:t>
      </w:r>
      <w:r>
        <w:rPr>
          <w:rFonts w:hint="eastAsia"/>
          <w:vertAlign w:val="superscript"/>
        </w:rPr>
        <w:t>2-</w:t>
      </w:r>
      <w:r>
        <w:rPr>
          <w:rFonts w:hint="eastAsia"/>
        </w:rPr>
        <w:t>进行了监测，具体的监测结果表3.10。</w:t>
      </w:r>
    </w:p>
    <w:p>
      <w:pPr>
        <w:spacing w:line="240" w:lineRule="auto"/>
        <w:ind w:firstLine="482"/>
        <w:jc w:val="center"/>
        <w:rPr>
          <w:b/>
          <w:bCs/>
        </w:rPr>
      </w:pPr>
      <w:r>
        <w:rPr>
          <w:rFonts w:hint="eastAsia"/>
          <w:b/>
          <w:bCs/>
        </w:rPr>
        <w:t>表</w:t>
      </w:r>
      <w:r>
        <w:rPr>
          <w:rFonts w:hint="eastAsia"/>
          <w:b/>
          <w:bCs/>
          <w:lang w:val="en-US" w:eastAsia="zh-CN"/>
        </w:rPr>
        <w:t>4</w:t>
      </w:r>
      <w:r>
        <w:rPr>
          <w:rFonts w:hint="eastAsia"/>
          <w:b/>
          <w:bCs/>
        </w:rPr>
        <w:t>.10    地下水化学成分监测结果</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1272"/>
        <w:gridCol w:w="992"/>
        <w:gridCol w:w="1320"/>
        <w:gridCol w:w="1630"/>
        <w:gridCol w:w="2577"/>
        <w:gridCol w:w="3307"/>
        <w:gridCol w:w="2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467" w:type="pct"/>
            <w:tcBorders>
              <w:tl2br w:val="nil"/>
              <w:tr2bl w:val="nil"/>
            </w:tcBorders>
            <w:vAlign w:val="center"/>
          </w:tcPr>
          <w:p>
            <w:pPr>
              <w:adjustRightInd w:val="0"/>
              <w:snapToGrid w:val="0"/>
              <w:spacing w:line="240" w:lineRule="auto"/>
              <w:ind w:firstLine="0" w:firstLineChars="0"/>
              <w:jc w:val="center"/>
              <w:rPr>
                <w:b/>
                <w:sz w:val="21"/>
                <w:szCs w:val="21"/>
              </w:rPr>
            </w:pPr>
            <w:r>
              <w:rPr>
                <w:b/>
                <w:sz w:val="21"/>
                <w:szCs w:val="21"/>
              </w:rPr>
              <w:t>监测日期</w:t>
            </w:r>
          </w:p>
        </w:tc>
        <w:tc>
          <w:tcPr>
            <w:tcW w:w="427" w:type="pct"/>
            <w:tcBorders>
              <w:tl2br w:val="nil"/>
              <w:tr2bl w:val="nil"/>
            </w:tcBorders>
            <w:vAlign w:val="center"/>
          </w:tcPr>
          <w:p>
            <w:pPr>
              <w:spacing w:line="240" w:lineRule="auto"/>
              <w:ind w:firstLine="0" w:firstLineChars="0"/>
              <w:jc w:val="center"/>
              <w:rPr>
                <w:b/>
                <w:sz w:val="21"/>
                <w:szCs w:val="21"/>
              </w:rPr>
            </w:pPr>
            <w:r>
              <w:rPr>
                <w:b/>
                <w:sz w:val="21"/>
                <w:szCs w:val="21"/>
              </w:rPr>
              <w:t>监测点位</w:t>
            </w:r>
          </w:p>
        </w:tc>
        <w:tc>
          <w:tcPr>
            <w:tcW w:w="776" w:type="pct"/>
            <w:gridSpan w:val="2"/>
            <w:tcBorders>
              <w:tl2br w:val="nil"/>
              <w:tr2bl w:val="nil"/>
            </w:tcBorders>
            <w:vAlign w:val="center"/>
          </w:tcPr>
          <w:p>
            <w:pPr>
              <w:spacing w:line="240" w:lineRule="auto"/>
              <w:ind w:firstLine="0" w:firstLineChars="0"/>
              <w:jc w:val="center"/>
              <w:rPr>
                <w:b/>
                <w:sz w:val="21"/>
                <w:szCs w:val="21"/>
              </w:rPr>
            </w:pPr>
            <w:r>
              <w:rPr>
                <w:b/>
                <w:sz w:val="21"/>
                <w:szCs w:val="21"/>
              </w:rPr>
              <w:t>项目</w:t>
            </w:r>
          </w:p>
        </w:tc>
        <w:tc>
          <w:tcPr>
            <w:tcW w:w="547" w:type="pct"/>
            <w:tcBorders>
              <w:tl2br w:val="nil"/>
              <w:tr2bl w:val="nil"/>
            </w:tcBorders>
            <w:vAlign w:val="center"/>
          </w:tcPr>
          <w:p>
            <w:pPr>
              <w:spacing w:line="240" w:lineRule="auto"/>
              <w:ind w:firstLine="0" w:firstLineChars="0"/>
              <w:jc w:val="center"/>
              <w:rPr>
                <w:b/>
                <w:sz w:val="21"/>
                <w:szCs w:val="21"/>
              </w:rPr>
            </w:pPr>
            <w:r>
              <w:rPr>
                <w:b/>
                <w:sz w:val="21"/>
                <w:szCs w:val="21"/>
              </w:rPr>
              <w:t>ρ(B)(mg/L)</w:t>
            </w:r>
          </w:p>
        </w:tc>
        <w:tc>
          <w:tcPr>
            <w:tcW w:w="865" w:type="pct"/>
            <w:tcBorders>
              <w:tl2br w:val="nil"/>
              <w:tr2bl w:val="nil"/>
            </w:tcBorders>
            <w:vAlign w:val="center"/>
          </w:tcPr>
          <w:p>
            <w:pPr>
              <w:spacing w:line="240" w:lineRule="auto"/>
              <w:ind w:firstLine="0" w:firstLineChars="0"/>
              <w:jc w:val="center"/>
              <w:rPr>
                <w:b/>
                <w:sz w:val="21"/>
                <w:szCs w:val="21"/>
              </w:rPr>
            </w:pPr>
            <w:r>
              <w:rPr>
                <w:b/>
                <w:sz w:val="21"/>
                <w:szCs w:val="21"/>
              </w:rPr>
              <w:t>C（</w:t>
            </w:r>
            <w:r>
              <w:rPr>
                <w:b/>
                <w:sz w:val="21"/>
                <w:szCs w:val="21"/>
              </w:rPr>
              <w:object>
                <v:shape id="_x0000_i1045" o:spt="75" type="#_x0000_t75" style="height:18.7pt;width:10.95pt;" o:ole="t" filled="f" o:preferrelative="t" stroked="f" coordsize="21600,21600">
                  <v:path/>
                  <v:fill on="f" focussize="0,0"/>
                  <v:stroke on="f" joinstyle="miter"/>
                  <v:imagedata r:id="rId61" o:title=""/>
                  <o:lock v:ext="edit" aspectratio="t"/>
                  <w10:wrap type="none"/>
                  <w10:anchorlock/>
                </v:shape>
                <o:OLEObject Type="Embed" ProgID="Equations" ShapeID="_x0000_i1045" DrawAspect="Content" ObjectID="_1468075745" r:id="rId60">
                  <o:LockedField>false</o:LockedField>
                </o:OLEObject>
              </w:object>
            </w:r>
            <w:r>
              <w:rPr>
                <w:b/>
                <w:sz w:val="21"/>
                <w:szCs w:val="21"/>
              </w:rPr>
              <w:t>Bz±）(mmol/L)</w:t>
            </w:r>
          </w:p>
        </w:tc>
        <w:tc>
          <w:tcPr>
            <w:tcW w:w="1110" w:type="pct"/>
            <w:tcBorders>
              <w:tl2br w:val="nil"/>
              <w:tr2bl w:val="nil"/>
            </w:tcBorders>
            <w:vAlign w:val="center"/>
          </w:tcPr>
          <w:p>
            <w:pPr>
              <w:spacing w:line="240" w:lineRule="auto"/>
              <w:ind w:firstLine="0" w:firstLineChars="0"/>
              <w:jc w:val="center"/>
              <w:rPr>
                <w:b/>
                <w:sz w:val="21"/>
                <w:szCs w:val="21"/>
              </w:rPr>
            </w:pPr>
            <w:r>
              <w:rPr>
                <w:b/>
                <w:sz w:val="21"/>
                <w:szCs w:val="21"/>
              </w:rPr>
              <w:t>项目</w:t>
            </w:r>
          </w:p>
        </w:tc>
        <w:tc>
          <w:tcPr>
            <w:tcW w:w="804" w:type="pct"/>
            <w:tcBorders>
              <w:tl2br w:val="nil"/>
              <w:tr2bl w:val="nil"/>
            </w:tcBorders>
            <w:vAlign w:val="center"/>
          </w:tcPr>
          <w:p>
            <w:pPr>
              <w:spacing w:line="240" w:lineRule="auto"/>
              <w:ind w:firstLine="0" w:firstLineChars="0"/>
              <w:jc w:val="center"/>
              <w:rPr>
                <w:b/>
                <w:sz w:val="21"/>
                <w:szCs w:val="21"/>
              </w:rPr>
            </w:pPr>
            <w:r>
              <w:rPr>
                <w:b/>
                <w:sz w:val="21"/>
                <w:szCs w:val="21"/>
              </w:rPr>
              <w:t>ρ(B)(mg/L)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2022年</w:t>
            </w:r>
          </w:p>
          <w:p>
            <w:pPr>
              <w:adjustRightInd w:val="0"/>
              <w:snapToGrid w:val="0"/>
              <w:spacing w:line="240" w:lineRule="auto"/>
              <w:ind w:firstLine="0" w:firstLineChars="0"/>
              <w:jc w:val="center"/>
              <w:rPr>
                <w:bCs/>
                <w:sz w:val="21"/>
                <w:szCs w:val="21"/>
              </w:rPr>
            </w:pPr>
            <w:r>
              <w:rPr>
                <w:bCs/>
                <w:sz w:val="21"/>
                <w:szCs w:val="21"/>
              </w:rPr>
              <w:t>5月31日</w:t>
            </w:r>
          </w:p>
        </w:tc>
        <w:tc>
          <w:tcPr>
            <w:tcW w:w="42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1#</w:t>
            </w:r>
          </w:p>
        </w:tc>
        <w:tc>
          <w:tcPr>
            <w:tcW w:w="333"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阳离子</w:t>
            </w: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K</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0.12</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0.003</w:t>
            </w:r>
          </w:p>
        </w:tc>
        <w:tc>
          <w:tcPr>
            <w:tcW w:w="1110" w:type="pct"/>
            <w:tcBorders>
              <w:tl2br w:val="nil"/>
              <w:tr2bl w:val="nil"/>
            </w:tcBorders>
            <w:vAlign w:val="center"/>
          </w:tcPr>
          <w:p>
            <w:pPr>
              <w:spacing w:line="240" w:lineRule="auto"/>
              <w:ind w:firstLine="0" w:firstLineChars="0"/>
              <w:jc w:val="center"/>
              <w:rPr>
                <w:bCs/>
                <w:sz w:val="21"/>
                <w:szCs w:val="21"/>
              </w:rPr>
            </w:pPr>
            <w:r>
              <w:rPr>
                <w:sz w:val="21"/>
                <w:szCs w:val="21"/>
              </w:rPr>
              <w:t>可溶性总固体</w:t>
            </w:r>
          </w:p>
        </w:tc>
        <w:tc>
          <w:tcPr>
            <w:tcW w:w="804" w:type="pct"/>
            <w:tcBorders>
              <w:tl2br w:val="nil"/>
              <w:tr2bl w:val="nil"/>
            </w:tcBorders>
            <w:vAlign w:val="center"/>
          </w:tcPr>
          <w:p>
            <w:pPr>
              <w:spacing w:line="240" w:lineRule="auto"/>
              <w:ind w:firstLine="0" w:firstLineChars="0"/>
              <w:jc w:val="center"/>
              <w:rPr>
                <w:bCs/>
                <w:sz w:val="21"/>
                <w:szCs w:val="21"/>
              </w:rPr>
            </w:pPr>
            <w:r>
              <w:rPr>
                <w:bCs/>
                <w:sz w:val="21"/>
                <w:szCs w:val="21"/>
              </w:rPr>
              <w:t>811.65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Na</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108</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4.696</w:t>
            </w:r>
          </w:p>
        </w:tc>
        <w:tc>
          <w:tcPr>
            <w:tcW w:w="1110" w:type="pct"/>
            <w:tcBorders>
              <w:tl2br w:val="nil"/>
              <w:tr2bl w:val="nil"/>
            </w:tcBorders>
            <w:vAlign w:val="center"/>
          </w:tcPr>
          <w:p>
            <w:pPr>
              <w:spacing w:line="240" w:lineRule="auto"/>
              <w:ind w:firstLine="0" w:firstLineChars="0"/>
              <w:jc w:val="center"/>
              <w:rPr>
                <w:bCs/>
                <w:sz w:val="21"/>
                <w:szCs w:val="21"/>
              </w:rPr>
            </w:pPr>
            <w:r>
              <w:rPr>
                <w:sz w:val="21"/>
                <w:szCs w:val="21"/>
              </w:rPr>
              <w:t>总硬度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widowControl/>
              <w:spacing w:line="240" w:lineRule="auto"/>
              <w:ind w:firstLine="0" w:firstLineChars="0"/>
              <w:jc w:val="center"/>
              <w:textAlignment w:val="center"/>
              <w:rPr>
                <w:color w:val="000000"/>
                <w:sz w:val="21"/>
                <w:szCs w:val="21"/>
              </w:rPr>
            </w:pPr>
            <w:r>
              <w:rPr>
                <w:color w:val="000000"/>
                <w:sz w:val="21"/>
                <w:szCs w:val="21"/>
              </w:rPr>
              <w:t>340.25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Ca</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74.6</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3.730</w:t>
            </w:r>
          </w:p>
        </w:tc>
        <w:tc>
          <w:tcPr>
            <w:tcW w:w="1110" w:type="pct"/>
            <w:tcBorders>
              <w:tl2br w:val="nil"/>
              <w:tr2bl w:val="nil"/>
            </w:tcBorders>
            <w:vAlign w:val="center"/>
          </w:tcPr>
          <w:p>
            <w:pPr>
              <w:spacing w:line="240" w:lineRule="auto"/>
              <w:ind w:firstLine="0" w:firstLineChars="0"/>
              <w:jc w:val="center"/>
              <w:rPr>
                <w:bCs/>
                <w:sz w:val="21"/>
                <w:szCs w:val="21"/>
              </w:rPr>
            </w:pPr>
            <w:r>
              <w:rPr>
                <w:sz w:val="21"/>
                <w:szCs w:val="21"/>
              </w:rPr>
              <w:t>暂时硬度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ind w:firstLine="0" w:firstLineChars="0"/>
              <w:jc w:val="center"/>
              <w:rPr>
                <w:bCs/>
                <w:sz w:val="21"/>
                <w:szCs w:val="21"/>
              </w:rPr>
            </w:pPr>
            <w:r>
              <w:rPr>
                <w:bCs/>
                <w:sz w:val="21"/>
                <w:szCs w:val="21"/>
              </w:rPr>
              <w:t>248.36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Mg</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36.9</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3.075</w:t>
            </w:r>
          </w:p>
        </w:tc>
        <w:tc>
          <w:tcPr>
            <w:tcW w:w="1110" w:type="pct"/>
            <w:tcBorders>
              <w:tl2br w:val="nil"/>
              <w:tr2bl w:val="nil"/>
            </w:tcBorders>
            <w:vAlign w:val="center"/>
          </w:tcPr>
          <w:p>
            <w:pPr>
              <w:spacing w:line="240" w:lineRule="auto"/>
              <w:ind w:firstLine="0" w:firstLineChars="0"/>
              <w:jc w:val="center"/>
              <w:rPr>
                <w:bCs/>
                <w:sz w:val="21"/>
                <w:szCs w:val="21"/>
              </w:rPr>
            </w:pPr>
            <w:r>
              <w:rPr>
                <w:sz w:val="21"/>
                <w:szCs w:val="21"/>
              </w:rPr>
              <w:t>永久硬度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ind w:firstLine="0" w:firstLineChars="0"/>
              <w:jc w:val="center"/>
              <w:rPr>
                <w:bCs/>
                <w:sz w:val="21"/>
                <w:szCs w:val="21"/>
              </w:rPr>
            </w:pPr>
            <w:r>
              <w:rPr>
                <w:bCs/>
                <w:sz w:val="21"/>
                <w:szCs w:val="21"/>
              </w:rPr>
              <w:t>91.89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阴离子</w:t>
            </w: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CO</w:t>
            </w:r>
            <w:r>
              <w:rPr>
                <w:sz w:val="21"/>
                <w:szCs w:val="21"/>
                <w:vertAlign w:val="subscript"/>
              </w:rPr>
              <w:t>3</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w:t>
            </w:r>
          </w:p>
        </w:tc>
        <w:tc>
          <w:tcPr>
            <w:tcW w:w="1110" w:type="pct"/>
            <w:tcBorders>
              <w:tl2br w:val="nil"/>
              <w:tr2bl w:val="nil"/>
            </w:tcBorders>
            <w:vAlign w:val="center"/>
          </w:tcPr>
          <w:p>
            <w:pPr>
              <w:spacing w:line="240" w:lineRule="auto"/>
              <w:ind w:firstLine="0" w:firstLineChars="0"/>
              <w:jc w:val="center"/>
              <w:rPr>
                <w:bCs/>
                <w:sz w:val="21"/>
                <w:szCs w:val="21"/>
              </w:rPr>
            </w:pPr>
            <w:r>
              <w:rPr>
                <w:sz w:val="21"/>
                <w:szCs w:val="21"/>
              </w:rPr>
              <w:t>负硬度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ind w:firstLine="0" w:firstLineChars="0"/>
              <w:jc w:val="center"/>
              <w:rPr>
                <w:bCs/>
                <w:sz w:val="21"/>
                <w:szCs w:val="21"/>
              </w:rPr>
            </w:pPr>
            <w:r>
              <w:rPr>
                <w:bCs/>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HCO</w:t>
            </w:r>
            <w:r>
              <w:rPr>
                <w:sz w:val="21"/>
                <w:szCs w:val="21"/>
                <w:vertAlign w:val="subscript"/>
              </w:rPr>
              <w:t>3</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303</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4.967</w:t>
            </w:r>
          </w:p>
        </w:tc>
        <w:tc>
          <w:tcPr>
            <w:tcW w:w="1110" w:type="pct"/>
            <w:tcBorders>
              <w:tl2br w:val="nil"/>
              <w:tr2bl w:val="nil"/>
            </w:tcBorders>
            <w:vAlign w:val="center"/>
          </w:tcPr>
          <w:p>
            <w:pPr>
              <w:spacing w:line="240" w:lineRule="auto"/>
              <w:ind w:firstLine="0" w:firstLineChars="0"/>
              <w:jc w:val="center"/>
              <w:rPr>
                <w:bCs/>
                <w:sz w:val="21"/>
                <w:szCs w:val="21"/>
              </w:rPr>
            </w:pPr>
            <w:r>
              <w:rPr>
                <w:sz w:val="21"/>
                <w:szCs w:val="21"/>
              </w:rPr>
              <w:t>总碱度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ind w:firstLine="0" w:firstLineChars="0"/>
              <w:jc w:val="center"/>
              <w:rPr>
                <w:bCs/>
                <w:sz w:val="21"/>
                <w:szCs w:val="21"/>
              </w:rPr>
            </w:pPr>
            <w:r>
              <w:rPr>
                <w:bCs/>
                <w:sz w:val="21"/>
                <w:szCs w:val="21"/>
              </w:rPr>
              <w:t>248.36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Cl</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53.0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1.493</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SO</w:t>
            </w:r>
            <w:r>
              <w:rPr>
                <w:sz w:val="21"/>
                <w:szCs w:val="21"/>
                <w:vertAlign w:val="subscript"/>
              </w:rPr>
              <w:t>4</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179</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3.729</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776" w:type="pct"/>
            <w:gridSpan w:val="2"/>
            <w:tcBorders>
              <w:tl2br w:val="nil"/>
              <w:tr2bl w:val="nil"/>
            </w:tcBorders>
            <w:vAlign w:val="center"/>
          </w:tcPr>
          <w:p>
            <w:pPr>
              <w:spacing w:line="240" w:lineRule="auto"/>
              <w:ind w:firstLine="0" w:firstLineChars="0"/>
              <w:jc w:val="center"/>
              <w:rPr>
                <w:sz w:val="21"/>
                <w:szCs w:val="21"/>
              </w:rPr>
            </w:pPr>
            <w:r>
              <w:rPr>
                <w:sz w:val="21"/>
                <w:szCs w:val="21"/>
              </w:rPr>
              <w:t>水质类型</w:t>
            </w:r>
          </w:p>
        </w:tc>
        <w:tc>
          <w:tcPr>
            <w:tcW w:w="3327" w:type="pct"/>
            <w:gridSpan w:val="4"/>
            <w:tcBorders>
              <w:tl2br w:val="nil"/>
              <w:tr2bl w:val="nil"/>
            </w:tcBorders>
            <w:vAlign w:val="center"/>
          </w:tcPr>
          <w:p>
            <w:pPr>
              <w:adjustRightInd w:val="0"/>
              <w:snapToGrid w:val="0"/>
              <w:spacing w:line="240" w:lineRule="auto"/>
              <w:jc w:val="center"/>
              <w:rPr>
                <w:bCs/>
                <w:sz w:val="21"/>
                <w:szCs w:val="21"/>
              </w:rPr>
            </w:pPr>
            <w:r>
              <w:rPr>
                <w:sz w:val="21"/>
                <w:szCs w:val="21"/>
              </w:rPr>
              <w:t>HCO</w:t>
            </w:r>
            <w:r>
              <w:rPr>
                <w:sz w:val="21"/>
                <w:szCs w:val="21"/>
                <w:vertAlign w:val="subscript"/>
              </w:rPr>
              <w:t>3</w:t>
            </w:r>
            <w:r>
              <w:rPr>
                <w:sz w:val="21"/>
                <w:szCs w:val="21"/>
                <w:vertAlign w:val="superscript"/>
              </w:rPr>
              <w:t>-</w:t>
            </w:r>
            <w:r>
              <w:rPr>
                <w:sz w:val="21"/>
                <w:szCs w:val="21"/>
              </w:rPr>
              <w:t>—SO</w:t>
            </w:r>
            <w:r>
              <w:rPr>
                <w:sz w:val="21"/>
                <w:szCs w:val="21"/>
                <w:vertAlign w:val="subscript"/>
              </w:rPr>
              <w:t>4</w:t>
            </w:r>
            <w:r>
              <w:rPr>
                <w:sz w:val="21"/>
                <w:szCs w:val="21"/>
                <w:vertAlign w:val="superscript"/>
              </w:rPr>
              <w:t>2-</w:t>
            </w:r>
            <w:r>
              <w:rPr>
                <w:sz w:val="21"/>
                <w:szCs w:val="21"/>
              </w:rPr>
              <w:t>—Ca</w:t>
            </w:r>
            <w:r>
              <w:rPr>
                <w:sz w:val="21"/>
                <w:szCs w:val="21"/>
                <w:vertAlign w:val="superscript"/>
              </w:rPr>
              <w:t>2+</w:t>
            </w:r>
            <w:r>
              <w:rPr>
                <w:sz w:val="21"/>
                <w:szCs w:val="21"/>
              </w:rPr>
              <w:t>—Mg</w:t>
            </w:r>
            <w:r>
              <w:rPr>
                <w:sz w:val="21"/>
                <w:szCs w:val="21"/>
                <w:vertAlign w:val="superscript"/>
              </w:rPr>
              <w:t>2+</w:t>
            </w:r>
            <w:r>
              <w:rPr>
                <w:sz w:val="21"/>
                <w:szCs w:val="21"/>
              </w:rPr>
              <w:t>（其中pH为</w:t>
            </w:r>
            <w:r>
              <w:rPr>
                <w:kern w:val="0"/>
                <w:sz w:val="21"/>
                <w:szCs w:val="21"/>
                <w:lang w:bidi="ar"/>
              </w:rPr>
              <w:t>7.09</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p>
            <w:pPr>
              <w:pStyle w:val="2"/>
              <w:jc w:val="center"/>
              <w:rPr>
                <w:bCs/>
                <w:color w:val="auto"/>
                <w:sz w:val="21"/>
                <w:szCs w:val="21"/>
              </w:rPr>
            </w:pPr>
          </w:p>
        </w:tc>
        <w:tc>
          <w:tcPr>
            <w:tcW w:w="42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2#</w:t>
            </w:r>
          </w:p>
        </w:tc>
        <w:tc>
          <w:tcPr>
            <w:tcW w:w="333"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阳离子</w:t>
            </w: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K</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0.06</w:t>
            </w:r>
          </w:p>
        </w:tc>
        <w:tc>
          <w:tcPr>
            <w:tcW w:w="865"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0.002</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可溶性总固体</w:t>
            </w:r>
          </w:p>
        </w:tc>
        <w:tc>
          <w:tcPr>
            <w:tcW w:w="804" w:type="pct"/>
            <w:tcBorders>
              <w:tl2br w:val="nil"/>
              <w:tr2bl w:val="nil"/>
            </w:tcBorders>
            <w:vAlign w:val="center"/>
          </w:tcPr>
          <w:p>
            <w:pPr>
              <w:adjustRightInd w:val="0"/>
              <w:snapToGrid w:val="0"/>
              <w:spacing w:line="240" w:lineRule="auto"/>
              <w:jc w:val="center"/>
              <w:rPr>
                <w:bCs/>
                <w:sz w:val="21"/>
                <w:szCs w:val="21"/>
              </w:rPr>
            </w:pPr>
            <w:r>
              <w:rPr>
                <w:bCs/>
                <w:sz w:val="21"/>
                <w:szCs w:val="21"/>
              </w:rPr>
              <w:t>723.28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Na</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101</w:t>
            </w:r>
          </w:p>
        </w:tc>
        <w:tc>
          <w:tcPr>
            <w:tcW w:w="865"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4.391</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284.00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Ca</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60.6</w:t>
            </w:r>
          </w:p>
        </w:tc>
        <w:tc>
          <w:tcPr>
            <w:tcW w:w="865"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3.03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暂时硬度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adjustRightInd w:val="0"/>
              <w:snapToGrid w:val="0"/>
              <w:spacing w:line="240" w:lineRule="auto"/>
              <w:jc w:val="center"/>
              <w:rPr>
                <w:bCs/>
                <w:sz w:val="21"/>
                <w:szCs w:val="21"/>
              </w:rPr>
            </w:pPr>
            <w:r>
              <w:rPr>
                <w:bCs/>
                <w:sz w:val="21"/>
                <w:szCs w:val="21"/>
              </w:rPr>
              <w:t>260.65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Mg</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31.8</w:t>
            </w:r>
          </w:p>
        </w:tc>
        <w:tc>
          <w:tcPr>
            <w:tcW w:w="865"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2.65</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永久硬度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adjustRightInd w:val="0"/>
              <w:snapToGrid w:val="0"/>
              <w:spacing w:line="240" w:lineRule="auto"/>
              <w:jc w:val="center"/>
              <w:rPr>
                <w:bCs/>
                <w:sz w:val="21"/>
                <w:szCs w:val="21"/>
              </w:rPr>
            </w:pPr>
            <w:r>
              <w:rPr>
                <w:bCs/>
                <w:sz w:val="21"/>
                <w:szCs w:val="21"/>
              </w:rPr>
              <w:t>23.35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阴离子</w:t>
            </w: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CO</w:t>
            </w:r>
            <w:r>
              <w:rPr>
                <w:sz w:val="21"/>
                <w:szCs w:val="21"/>
                <w:vertAlign w:val="subscript"/>
              </w:rPr>
              <w:t>3</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0.00</w:t>
            </w:r>
          </w:p>
        </w:tc>
        <w:tc>
          <w:tcPr>
            <w:tcW w:w="865" w:type="pct"/>
            <w:tcBorders>
              <w:tl2br w:val="nil"/>
              <w:tr2bl w:val="nil"/>
            </w:tcBorders>
            <w:vAlign w:val="center"/>
          </w:tcPr>
          <w:p>
            <w:pPr>
              <w:spacing w:line="240" w:lineRule="auto"/>
              <w:jc w:val="center"/>
              <w:rPr>
                <w:sz w:val="21"/>
                <w:szCs w:val="21"/>
              </w:rPr>
            </w:pPr>
            <w:r>
              <w:rPr>
                <w:sz w:val="21"/>
                <w:szCs w:val="21"/>
              </w:rPr>
              <w:t>0</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负硬度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adjustRightInd w:val="0"/>
              <w:snapToGrid w:val="0"/>
              <w:spacing w:line="240" w:lineRule="auto"/>
              <w:jc w:val="center"/>
              <w:rPr>
                <w:bCs/>
                <w:sz w:val="21"/>
                <w:szCs w:val="21"/>
              </w:rPr>
            </w:pPr>
            <w:r>
              <w:rPr>
                <w:bCs/>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HCO</w:t>
            </w:r>
            <w:r>
              <w:rPr>
                <w:sz w:val="21"/>
                <w:szCs w:val="21"/>
                <w:vertAlign w:val="subscript"/>
              </w:rPr>
              <w:t>3</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318</w:t>
            </w:r>
          </w:p>
        </w:tc>
        <w:tc>
          <w:tcPr>
            <w:tcW w:w="865" w:type="pct"/>
            <w:tcBorders>
              <w:tl2br w:val="nil"/>
              <w:tr2bl w:val="nil"/>
            </w:tcBorders>
            <w:vAlign w:val="center"/>
          </w:tcPr>
          <w:p>
            <w:pPr>
              <w:spacing w:line="240" w:lineRule="auto"/>
              <w:jc w:val="center"/>
              <w:rPr>
                <w:sz w:val="21"/>
                <w:szCs w:val="21"/>
              </w:rPr>
            </w:pPr>
            <w:r>
              <w:rPr>
                <w:sz w:val="21"/>
                <w:szCs w:val="21"/>
              </w:rPr>
              <w:t>5.213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总碱度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adjustRightInd w:val="0"/>
              <w:snapToGrid w:val="0"/>
              <w:spacing w:line="240" w:lineRule="auto"/>
              <w:jc w:val="center"/>
              <w:rPr>
                <w:bCs/>
                <w:sz w:val="21"/>
                <w:szCs w:val="21"/>
              </w:rPr>
            </w:pPr>
            <w:r>
              <w:rPr>
                <w:bCs/>
                <w:sz w:val="21"/>
                <w:szCs w:val="21"/>
              </w:rPr>
              <w:t>260.65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Cl</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26.4</w:t>
            </w:r>
          </w:p>
        </w:tc>
        <w:tc>
          <w:tcPr>
            <w:tcW w:w="865" w:type="pct"/>
            <w:tcBorders>
              <w:tl2br w:val="nil"/>
              <w:tr2bl w:val="nil"/>
            </w:tcBorders>
            <w:vAlign w:val="center"/>
          </w:tcPr>
          <w:p>
            <w:pPr>
              <w:spacing w:line="240" w:lineRule="auto"/>
              <w:jc w:val="center"/>
              <w:rPr>
                <w:sz w:val="21"/>
                <w:szCs w:val="21"/>
              </w:rPr>
            </w:pPr>
            <w:r>
              <w:rPr>
                <w:sz w:val="21"/>
                <w:szCs w:val="21"/>
              </w:rPr>
              <w:t>0.744</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pStyle w:val="2"/>
              <w:jc w:val="center"/>
              <w:rPr>
                <w:bCs/>
                <w:color w:val="auto"/>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bCs/>
                <w:sz w:val="21"/>
                <w:szCs w:val="21"/>
              </w:rPr>
            </w:pPr>
          </w:p>
        </w:tc>
        <w:tc>
          <w:tcPr>
            <w:tcW w:w="442" w:type="pct"/>
            <w:tcBorders>
              <w:tl2br w:val="nil"/>
              <w:tr2bl w:val="nil"/>
            </w:tcBorders>
            <w:vAlign w:val="center"/>
          </w:tcPr>
          <w:p>
            <w:pPr>
              <w:spacing w:line="240" w:lineRule="auto"/>
              <w:ind w:firstLine="0" w:firstLineChars="0"/>
              <w:jc w:val="center"/>
              <w:rPr>
                <w:bCs/>
                <w:sz w:val="21"/>
                <w:szCs w:val="21"/>
              </w:rPr>
            </w:pPr>
            <w:r>
              <w:rPr>
                <w:sz w:val="21"/>
                <w:szCs w:val="21"/>
              </w:rPr>
              <w:t>SO</w:t>
            </w:r>
            <w:r>
              <w:rPr>
                <w:sz w:val="21"/>
                <w:szCs w:val="21"/>
                <w:vertAlign w:val="subscript"/>
              </w:rPr>
              <w:t>4</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138</w:t>
            </w:r>
          </w:p>
        </w:tc>
        <w:tc>
          <w:tcPr>
            <w:tcW w:w="865" w:type="pct"/>
            <w:tcBorders>
              <w:tl2br w:val="nil"/>
              <w:tr2bl w:val="nil"/>
            </w:tcBorders>
            <w:vAlign w:val="center"/>
          </w:tcPr>
          <w:p>
            <w:pPr>
              <w:spacing w:line="240" w:lineRule="auto"/>
              <w:jc w:val="center"/>
              <w:rPr>
                <w:sz w:val="21"/>
                <w:szCs w:val="21"/>
              </w:rPr>
            </w:pPr>
            <w:r>
              <w:rPr>
                <w:sz w:val="21"/>
                <w:szCs w:val="21"/>
              </w:rPr>
              <w:t>2.875</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spacing w:line="240" w:lineRule="auto"/>
              <w:jc w:val="center"/>
              <w:rPr>
                <w:sz w:val="21"/>
                <w:szCs w:val="21"/>
              </w:rPr>
            </w:pPr>
          </w:p>
        </w:tc>
        <w:tc>
          <w:tcPr>
            <w:tcW w:w="776" w:type="pct"/>
            <w:gridSpan w:val="2"/>
            <w:tcBorders>
              <w:tl2br w:val="nil"/>
              <w:tr2bl w:val="nil"/>
            </w:tcBorders>
            <w:vAlign w:val="center"/>
          </w:tcPr>
          <w:p>
            <w:pPr>
              <w:spacing w:line="240" w:lineRule="auto"/>
              <w:jc w:val="center"/>
              <w:rPr>
                <w:sz w:val="21"/>
                <w:szCs w:val="21"/>
              </w:rPr>
            </w:pPr>
            <w:r>
              <w:rPr>
                <w:sz w:val="21"/>
                <w:szCs w:val="21"/>
              </w:rPr>
              <w:t>水质类型</w:t>
            </w:r>
          </w:p>
        </w:tc>
        <w:tc>
          <w:tcPr>
            <w:tcW w:w="3327" w:type="pct"/>
            <w:gridSpan w:val="4"/>
            <w:tcBorders>
              <w:tl2br w:val="nil"/>
              <w:tr2bl w:val="nil"/>
            </w:tcBorders>
            <w:vAlign w:val="center"/>
          </w:tcPr>
          <w:p>
            <w:pPr>
              <w:adjustRightInd w:val="0"/>
              <w:snapToGrid w:val="0"/>
              <w:spacing w:line="240" w:lineRule="auto"/>
              <w:jc w:val="center"/>
              <w:rPr>
                <w:bCs/>
                <w:sz w:val="21"/>
                <w:szCs w:val="21"/>
              </w:rPr>
            </w:pPr>
            <w:r>
              <w:rPr>
                <w:sz w:val="21"/>
                <w:szCs w:val="21"/>
              </w:rPr>
              <w:t>HCO</w:t>
            </w:r>
            <w:r>
              <w:rPr>
                <w:sz w:val="21"/>
                <w:szCs w:val="21"/>
                <w:vertAlign w:val="subscript"/>
              </w:rPr>
              <w:t>3</w:t>
            </w:r>
            <w:r>
              <w:rPr>
                <w:sz w:val="21"/>
                <w:szCs w:val="21"/>
                <w:vertAlign w:val="superscript"/>
              </w:rPr>
              <w:t>-</w:t>
            </w:r>
            <w:r>
              <w:rPr>
                <w:sz w:val="21"/>
                <w:szCs w:val="21"/>
              </w:rPr>
              <w:t>—SO</w:t>
            </w:r>
            <w:r>
              <w:rPr>
                <w:sz w:val="21"/>
                <w:szCs w:val="21"/>
                <w:vertAlign w:val="subscript"/>
              </w:rPr>
              <w:t>4</w:t>
            </w:r>
            <w:r>
              <w:rPr>
                <w:sz w:val="21"/>
                <w:szCs w:val="21"/>
                <w:vertAlign w:val="superscript"/>
              </w:rPr>
              <w:t>2-</w:t>
            </w:r>
            <w:r>
              <w:rPr>
                <w:sz w:val="21"/>
                <w:szCs w:val="21"/>
              </w:rPr>
              <w:t>—Ca</w:t>
            </w:r>
            <w:r>
              <w:rPr>
                <w:sz w:val="21"/>
                <w:szCs w:val="21"/>
                <w:vertAlign w:val="superscript"/>
              </w:rPr>
              <w:t>2+</w:t>
            </w:r>
            <w:r>
              <w:rPr>
                <w:sz w:val="21"/>
                <w:szCs w:val="21"/>
              </w:rPr>
              <w:t>—Mg</w:t>
            </w:r>
            <w:r>
              <w:rPr>
                <w:sz w:val="21"/>
                <w:szCs w:val="21"/>
                <w:vertAlign w:val="superscript"/>
              </w:rPr>
              <w:t>2+</w:t>
            </w:r>
            <w:r>
              <w:rPr>
                <w:sz w:val="21"/>
                <w:szCs w:val="21"/>
              </w:rPr>
              <w:t>（其中pH为</w:t>
            </w:r>
            <w:r>
              <w:rPr>
                <w:kern w:val="0"/>
                <w:sz w:val="21"/>
                <w:szCs w:val="21"/>
                <w:lang w:bidi="ar"/>
              </w:rPr>
              <w:t>7.25</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3#</w:t>
            </w: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阳离子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K</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0.14</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0.003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可溶性总固体</w:t>
            </w:r>
          </w:p>
        </w:tc>
        <w:tc>
          <w:tcPr>
            <w:tcW w:w="804" w:type="pct"/>
            <w:tcBorders>
              <w:tl2br w:val="nil"/>
              <w:tr2bl w:val="nil"/>
            </w:tcBorders>
            <w:vAlign w:val="center"/>
          </w:tcPr>
          <w:p>
            <w:pPr>
              <w:widowControl/>
              <w:spacing w:line="240" w:lineRule="auto"/>
              <w:jc w:val="center"/>
              <w:textAlignment w:val="center"/>
              <w:rPr>
                <w:color w:val="000000"/>
                <w:sz w:val="21"/>
                <w:szCs w:val="21"/>
              </w:rPr>
            </w:pPr>
            <w:r>
              <w:rPr>
                <w:color w:val="000000"/>
                <w:sz w:val="21"/>
                <w:szCs w:val="21"/>
              </w:rPr>
              <w:t>798.67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Na</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108</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4.696</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328.75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Ca</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71.0</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3.55</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暂时硬度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257.38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Mg</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36.3</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3.025</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永久硬度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71.37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阴离子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CO</w:t>
            </w:r>
            <w:r>
              <w:rPr>
                <w:sz w:val="21"/>
                <w:szCs w:val="21"/>
                <w:vertAlign w:val="subscript"/>
              </w:rPr>
              <w:t>3</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0.00</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0</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负硬度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HCO</w:t>
            </w:r>
            <w:r>
              <w:rPr>
                <w:sz w:val="21"/>
                <w:szCs w:val="21"/>
                <w:vertAlign w:val="subscript"/>
              </w:rPr>
              <w:t>3</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314</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5.148</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总碱度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257.38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Cl</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51.5</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1.451</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SO</w:t>
            </w:r>
            <w:r>
              <w:rPr>
                <w:sz w:val="21"/>
                <w:szCs w:val="21"/>
                <w:vertAlign w:val="subscript"/>
              </w:rPr>
              <w:t>4</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164</w:t>
            </w:r>
          </w:p>
        </w:tc>
        <w:tc>
          <w:tcPr>
            <w:tcW w:w="865" w:type="pct"/>
            <w:tcBorders>
              <w:tl2br w:val="nil"/>
              <w:tr2bl w:val="nil"/>
            </w:tcBorders>
            <w:vAlign w:val="center"/>
          </w:tcPr>
          <w:p>
            <w:pPr>
              <w:widowControl/>
              <w:spacing w:line="240" w:lineRule="auto"/>
              <w:jc w:val="center"/>
              <w:textAlignment w:val="center"/>
              <w:rPr>
                <w:bCs/>
                <w:sz w:val="21"/>
                <w:szCs w:val="21"/>
              </w:rPr>
            </w:pPr>
            <w:r>
              <w:rPr>
                <w:color w:val="000000"/>
                <w:kern w:val="0"/>
                <w:sz w:val="21"/>
                <w:szCs w:val="21"/>
                <w:lang w:bidi="ar"/>
              </w:rPr>
              <w:t>3.417</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776" w:type="pct"/>
            <w:gridSpan w:val="2"/>
            <w:tcBorders>
              <w:tl2br w:val="nil"/>
              <w:tr2bl w:val="nil"/>
            </w:tcBorders>
            <w:vAlign w:val="center"/>
          </w:tcPr>
          <w:p>
            <w:pPr>
              <w:spacing w:line="240" w:lineRule="auto"/>
              <w:jc w:val="center"/>
              <w:rPr>
                <w:sz w:val="21"/>
                <w:szCs w:val="21"/>
              </w:rPr>
            </w:pPr>
            <w:r>
              <w:rPr>
                <w:sz w:val="21"/>
                <w:szCs w:val="21"/>
              </w:rPr>
              <w:t>水质类型</w:t>
            </w:r>
          </w:p>
        </w:tc>
        <w:tc>
          <w:tcPr>
            <w:tcW w:w="3327" w:type="pct"/>
            <w:gridSpan w:val="4"/>
            <w:tcBorders>
              <w:tl2br w:val="nil"/>
              <w:tr2bl w:val="nil"/>
            </w:tcBorders>
            <w:vAlign w:val="center"/>
          </w:tcPr>
          <w:p>
            <w:pPr>
              <w:adjustRightInd w:val="0"/>
              <w:snapToGrid w:val="0"/>
              <w:spacing w:line="240" w:lineRule="auto"/>
              <w:jc w:val="center"/>
              <w:rPr>
                <w:sz w:val="21"/>
                <w:szCs w:val="21"/>
              </w:rPr>
            </w:pPr>
            <w:r>
              <w:rPr>
                <w:sz w:val="21"/>
                <w:szCs w:val="21"/>
              </w:rPr>
              <w:t>HCO</w:t>
            </w:r>
            <w:r>
              <w:rPr>
                <w:sz w:val="21"/>
                <w:szCs w:val="21"/>
                <w:vertAlign w:val="subscript"/>
              </w:rPr>
              <w:t>3</w:t>
            </w:r>
            <w:r>
              <w:rPr>
                <w:sz w:val="21"/>
                <w:szCs w:val="21"/>
                <w:vertAlign w:val="superscript"/>
              </w:rPr>
              <w:t>-</w:t>
            </w:r>
            <w:r>
              <w:rPr>
                <w:sz w:val="21"/>
                <w:szCs w:val="21"/>
              </w:rPr>
              <w:t>—SO</w:t>
            </w:r>
            <w:r>
              <w:rPr>
                <w:sz w:val="21"/>
                <w:szCs w:val="21"/>
                <w:vertAlign w:val="subscript"/>
              </w:rPr>
              <w:t>4</w:t>
            </w:r>
            <w:r>
              <w:rPr>
                <w:sz w:val="21"/>
                <w:szCs w:val="21"/>
                <w:vertAlign w:val="superscript"/>
              </w:rPr>
              <w:t>2-</w:t>
            </w:r>
            <w:r>
              <w:rPr>
                <w:sz w:val="21"/>
                <w:szCs w:val="21"/>
              </w:rPr>
              <w:t>—Ca</w:t>
            </w:r>
            <w:r>
              <w:rPr>
                <w:sz w:val="21"/>
                <w:szCs w:val="21"/>
                <w:vertAlign w:val="superscript"/>
              </w:rPr>
              <w:t>2+</w:t>
            </w:r>
            <w:r>
              <w:rPr>
                <w:sz w:val="21"/>
                <w:szCs w:val="21"/>
              </w:rPr>
              <w:t>—Mg</w:t>
            </w:r>
            <w:r>
              <w:rPr>
                <w:sz w:val="21"/>
                <w:szCs w:val="21"/>
                <w:vertAlign w:val="superscript"/>
              </w:rPr>
              <w:t>2+</w:t>
            </w:r>
            <w:r>
              <w:rPr>
                <w:sz w:val="21"/>
                <w:szCs w:val="21"/>
              </w:rPr>
              <w:t>（其中pH为7.31）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2022年</w:t>
            </w:r>
          </w:p>
          <w:p>
            <w:pPr>
              <w:adjustRightInd w:val="0"/>
              <w:snapToGrid w:val="0"/>
              <w:spacing w:line="240" w:lineRule="auto"/>
              <w:ind w:firstLine="0" w:firstLineChars="0"/>
              <w:jc w:val="center"/>
              <w:rPr>
                <w:bCs/>
                <w:sz w:val="21"/>
                <w:szCs w:val="21"/>
              </w:rPr>
            </w:pPr>
            <w:r>
              <w:rPr>
                <w:bCs/>
                <w:sz w:val="21"/>
                <w:szCs w:val="21"/>
              </w:rPr>
              <w:t>6月1日</w:t>
            </w:r>
          </w:p>
        </w:tc>
        <w:tc>
          <w:tcPr>
            <w:tcW w:w="42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1#</w:t>
            </w: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阳离子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K</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0.09</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0.0027</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可溶性总固体</w:t>
            </w:r>
          </w:p>
        </w:tc>
        <w:tc>
          <w:tcPr>
            <w:tcW w:w="804" w:type="pct"/>
            <w:tcBorders>
              <w:tl2br w:val="nil"/>
              <w:tr2bl w:val="nil"/>
            </w:tcBorders>
            <w:vAlign w:val="center"/>
          </w:tcPr>
          <w:p>
            <w:pPr>
              <w:spacing w:line="240" w:lineRule="auto"/>
              <w:jc w:val="center"/>
              <w:rPr>
                <w:sz w:val="21"/>
                <w:szCs w:val="21"/>
              </w:rPr>
            </w:pPr>
            <w:r>
              <w:rPr>
                <w:sz w:val="21"/>
                <w:szCs w:val="21"/>
              </w:rPr>
              <w:t>821.91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Na</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110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4.783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343.42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Ca</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75.7</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3.785</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暂时硬度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249.90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Mg</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37.0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3.083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永久硬度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93.52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阴离子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CO</w:t>
            </w:r>
            <w:r>
              <w:rPr>
                <w:sz w:val="21"/>
                <w:szCs w:val="21"/>
                <w:vertAlign w:val="subscript"/>
              </w:rPr>
              <w:t>3</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负硬度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HCO</w:t>
            </w:r>
            <w:r>
              <w:rPr>
                <w:sz w:val="21"/>
                <w:szCs w:val="21"/>
                <w:vertAlign w:val="subscript"/>
              </w:rPr>
              <w:t>3</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300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4.918</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总碱度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249.90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Cl</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52.4</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1.476</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SO</w:t>
            </w:r>
            <w:r>
              <w:rPr>
                <w:sz w:val="21"/>
                <w:szCs w:val="21"/>
                <w:vertAlign w:val="subscript"/>
              </w:rPr>
              <w:t>4</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175</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3.646</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776" w:type="pct"/>
            <w:gridSpan w:val="2"/>
            <w:tcBorders>
              <w:tl2br w:val="nil"/>
              <w:tr2bl w:val="nil"/>
            </w:tcBorders>
            <w:vAlign w:val="center"/>
          </w:tcPr>
          <w:p>
            <w:pPr>
              <w:spacing w:line="240" w:lineRule="auto"/>
              <w:jc w:val="center"/>
              <w:rPr>
                <w:sz w:val="21"/>
                <w:szCs w:val="21"/>
              </w:rPr>
            </w:pPr>
            <w:r>
              <w:rPr>
                <w:sz w:val="21"/>
                <w:szCs w:val="21"/>
              </w:rPr>
              <w:t>水质类型</w:t>
            </w:r>
          </w:p>
        </w:tc>
        <w:tc>
          <w:tcPr>
            <w:tcW w:w="3327" w:type="pct"/>
            <w:gridSpan w:val="4"/>
            <w:tcBorders>
              <w:tl2br w:val="nil"/>
              <w:tr2bl w:val="nil"/>
            </w:tcBorders>
            <w:vAlign w:val="center"/>
          </w:tcPr>
          <w:p>
            <w:pPr>
              <w:adjustRightInd w:val="0"/>
              <w:snapToGrid w:val="0"/>
              <w:spacing w:line="240" w:lineRule="auto"/>
              <w:jc w:val="center"/>
              <w:rPr>
                <w:sz w:val="21"/>
                <w:szCs w:val="21"/>
              </w:rPr>
            </w:pPr>
            <w:r>
              <w:rPr>
                <w:sz w:val="21"/>
                <w:szCs w:val="21"/>
              </w:rPr>
              <w:t>HCO</w:t>
            </w:r>
            <w:r>
              <w:rPr>
                <w:sz w:val="21"/>
                <w:szCs w:val="21"/>
                <w:vertAlign w:val="subscript"/>
              </w:rPr>
              <w:t>3</w:t>
            </w:r>
            <w:r>
              <w:rPr>
                <w:sz w:val="21"/>
                <w:szCs w:val="21"/>
                <w:vertAlign w:val="superscript"/>
              </w:rPr>
              <w:t>-</w:t>
            </w:r>
            <w:r>
              <w:rPr>
                <w:sz w:val="21"/>
                <w:szCs w:val="21"/>
              </w:rPr>
              <w:t>—SO</w:t>
            </w:r>
            <w:r>
              <w:rPr>
                <w:sz w:val="21"/>
                <w:szCs w:val="21"/>
                <w:vertAlign w:val="subscript"/>
              </w:rPr>
              <w:t>4</w:t>
            </w:r>
            <w:r>
              <w:rPr>
                <w:sz w:val="21"/>
                <w:szCs w:val="21"/>
                <w:vertAlign w:val="superscript"/>
              </w:rPr>
              <w:t>2-</w:t>
            </w:r>
            <w:r>
              <w:rPr>
                <w:sz w:val="21"/>
                <w:szCs w:val="21"/>
              </w:rPr>
              <w:t>—Ca</w:t>
            </w:r>
            <w:r>
              <w:rPr>
                <w:sz w:val="21"/>
                <w:szCs w:val="21"/>
                <w:vertAlign w:val="superscript"/>
              </w:rPr>
              <w:t>2+</w:t>
            </w:r>
            <w:r>
              <w:rPr>
                <w:sz w:val="21"/>
                <w:szCs w:val="21"/>
              </w:rPr>
              <w:t>—Mg</w:t>
            </w:r>
            <w:r>
              <w:rPr>
                <w:sz w:val="21"/>
                <w:szCs w:val="21"/>
                <w:vertAlign w:val="superscript"/>
              </w:rPr>
              <w:t>2+</w:t>
            </w:r>
            <w:r>
              <w:rPr>
                <w:sz w:val="21"/>
                <w:szCs w:val="21"/>
              </w:rPr>
              <w:t>（其中pH为</w:t>
            </w:r>
            <w:r>
              <w:rPr>
                <w:kern w:val="0"/>
                <w:sz w:val="21"/>
                <w:szCs w:val="21"/>
                <w:lang w:bidi="ar"/>
              </w:rPr>
              <w:t>7.11</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2#</w:t>
            </w: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阳离子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K</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0.07</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0.002</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可溶性总固体</w:t>
            </w:r>
          </w:p>
        </w:tc>
        <w:tc>
          <w:tcPr>
            <w:tcW w:w="804" w:type="pct"/>
            <w:tcBorders>
              <w:tl2br w:val="nil"/>
              <w:tr2bl w:val="nil"/>
            </w:tcBorders>
            <w:vAlign w:val="center"/>
          </w:tcPr>
          <w:p>
            <w:pPr>
              <w:spacing w:line="240" w:lineRule="auto"/>
              <w:jc w:val="center"/>
              <w:rPr>
                <w:sz w:val="21"/>
                <w:szCs w:val="21"/>
              </w:rPr>
            </w:pPr>
            <w:r>
              <w:rPr>
                <w:sz w:val="21"/>
                <w:szCs w:val="21"/>
              </w:rPr>
              <w:t>717.13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Na</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100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4.348</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282.17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Ca</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60.2</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3.01</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暂时硬度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257.38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Mg</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31.6</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2.633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永久硬度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24.79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阴离子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CO</w:t>
            </w:r>
            <w:r>
              <w:rPr>
                <w:sz w:val="21"/>
                <w:szCs w:val="21"/>
                <w:vertAlign w:val="subscript"/>
              </w:rPr>
              <w:t>3</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负硬度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HCO</w:t>
            </w:r>
            <w:r>
              <w:rPr>
                <w:sz w:val="21"/>
                <w:szCs w:val="21"/>
                <w:vertAlign w:val="subscript"/>
              </w:rPr>
              <w:t>3</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314</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5.148</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总碱度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257.38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Cl</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25.7</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0.724</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SO</w:t>
            </w:r>
            <w:r>
              <w:rPr>
                <w:sz w:val="21"/>
                <w:szCs w:val="21"/>
                <w:vertAlign w:val="subscript"/>
              </w:rPr>
              <w:t>4</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132</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2.75</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776" w:type="pct"/>
            <w:gridSpan w:val="2"/>
            <w:tcBorders>
              <w:tl2br w:val="nil"/>
              <w:tr2bl w:val="nil"/>
            </w:tcBorders>
            <w:vAlign w:val="center"/>
          </w:tcPr>
          <w:p>
            <w:pPr>
              <w:spacing w:line="240" w:lineRule="auto"/>
              <w:jc w:val="center"/>
              <w:rPr>
                <w:sz w:val="21"/>
                <w:szCs w:val="21"/>
              </w:rPr>
            </w:pPr>
            <w:r>
              <w:rPr>
                <w:sz w:val="21"/>
                <w:szCs w:val="21"/>
              </w:rPr>
              <w:t>水质类型</w:t>
            </w:r>
          </w:p>
        </w:tc>
        <w:tc>
          <w:tcPr>
            <w:tcW w:w="3327" w:type="pct"/>
            <w:gridSpan w:val="4"/>
            <w:tcBorders>
              <w:tl2br w:val="nil"/>
              <w:tr2bl w:val="nil"/>
            </w:tcBorders>
            <w:vAlign w:val="center"/>
          </w:tcPr>
          <w:p>
            <w:pPr>
              <w:adjustRightInd w:val="0"/>
              <w:snapToGrid w:val="0"/>
              <w:spacing w:line="240" w:lineRule="auto"/>
              <w:jc w:val="center"/>
              <w:rPr>
                <w:sz w:val="21"/>
                <w:szCs w:val="21"/>
              </w:rPr>
            </w:pPr>
            <w:r>
              <w:rPr>
                <w:sz w:val="21"/>
                <w:szCs w:val="21"/>
              </w:rPr>
              <w:t>HCO</w:t>
            </w:r>
            <w:r>
              <w:rPr>
                <w:sz w:val="21"/>
                <w:szCs w:val="21"/>
                <w:vertAlign w:val="subscript"/>
              </w:rPr>
              <w:t>3</w:t>
            </w:r>
            <w:r>
              <w:rPr>
                <w:sz w:val="21"/>
                <w:szCs w:val="21"/>
                <w:vertAlign w:val="superscript"/>
              </w:rPr>
              <w:t>-</w:t>
            </w:r>
            <w:r>
              <w:rPr>
                <w:sz w:val="21"/>
                <w:szCs w:val="21"/>
              </w:rPr>
              <w:t>—SO</w:t>
            </w:r>
            <w:r>
              <w:rPr>
                <w:sz w:val="21"/>
                <w:szCs w:val="21"/>
                <w:vertAlign w:val="subscript"/>
              </w:rPr>
              <w:t>4</w:t>
            </w:r>
            <w:r>
              <w:rPr>
                <w:sz w:val="21"/>
                <w:szCs w:val="21"/>
                <w:vertAlign w:val="superscript"/>
              </w:rPr>
              <w:t>2-</w:t>
            </w:r>
            <w:r>
              <w:rPr>
                <w:sz w:val="21"/>
                <w:szCs w:val="21"/>
              </w:rPr>
              <w:t>—Ca</w:t>
            </w:r>
            <w:r>
              <w:rPr>
                <w:sz w:val="21"/>
                <w:szCs w:val="21"/>
                <w:vertAlign w:val="superscript"/>
              </w:rPr>
              <w:t>2+</w:t>
            </w:r>
            <w:r>
              <w:rPr>
                <w:sz w:val="21"/>
                <w:szCs w:val="21"/>
              </w:rPr>
              <w:t>—Mg</w:t>
            </w:r>
            <w:r>
              <w:rPr>
                <w:sz w:val="21"/>
                <w:szCs w:val="21"/>
                <w:vertAlign w:val="superscript"/>
              </w:rPr>
              <w:t>2+</w:t>
            </w:r>
            <w:r>
              <w:rPr>
                <w:sz w:val="21"/>
                <w:szCs w:val="21"/>
              </w:rPr>
              <w:t>（其中pH为7.27）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restar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3#</w:t>
            </w: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阳离子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K</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0.13</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0.003</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可溶性总固体</w:t>
            </w:r>
          </w:p>
        </w:tc>
        <w:tc>
          <w:tcPr>
            <w:tcW w:w="804" w:type="pct"/>
            <w:tcBorders>
              <w:tl2br w:val="nil"/>
              <w:tr2bl w:val="nil"/>
            </w:tcBorders>
            <w:vAlign w:val="center"/>
          </w:tcPr>
          <w:p>
            <w:pPr>
              <w:spacing w:line="240" w:lineRule="auto"/>
              <w:jc w:val="center"/>
              <w:rPr>
                <w:sz w:val="21"/>
                <w:szCs w:val="21"/>
              </w:rPr>
            </w:pPr>
            <w:r>
              <w:rPr>
                <w:sz w:val="21"/>
                <w:szCs w:val="21"/>
              </w:rPr>
              <w:t>814.19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Na</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111</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4.826</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widowControl/>
              <w:spacing w:line="240" w:lineRule="auto"/>
              <w:jc w:val="center"/>
              <w:textAlignment w:val="center"/>
              <w:rPr>
                <w:color w:val="000000"/>
                <w:sz w:val="21"/>
                <w:szCs w:val="21"/>
              </w:rPr>
            </w:pPr>
            <w:r>
              <w:rPr>
                <w:color w:val="000000"/>
                <w:kern w:val="0"/>
                <w:sz w:val="21"/>
                <w:szCs w:val="21"/>
                <w:lang w:bidi="ar"/>
              </w:rPr>
              <w:t>331.25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Ca</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71.5</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3.575</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暂时硬度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252.46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Mg</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36.6</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3.05</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永久硬度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78.79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bCs/>
                <w:sz w:val="21"/>
                <w:szCs w:val="21"/>
              </w:rPr>
              <w:t>阴离子</w:t>
            </w: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CO</w:t>
            </w:r>
            <w:r>
              <w:rPr>
                <w:sz w:val="21"/>
                <w:szCs w:val="21"/>
                <w:vertAlign w:val="subscript"/>
              </w:rPr>
              <w:t>3</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0.00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0</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负硬度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HCO</w:t>
            </w:r>
            <w:r>
              <w:rPr>
                <w:sz w:val="21"/>
                <w:szCs w:val="21"/>
                <w:vertAlign w:val="subscript"/>
              </w:rPr>
              <w:t>3</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308</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5.049</w:t>
            </w:r>
          </w:p>
        </w:tc>
        <w:tc>
          <w:tcPr>
            <w:tcW w:w="3147" w:type="dxa"/>
            <w:tcBorders>
              <w:tl2br w:val="nil"/>
              <w:tr2bl w:val="nil"/>
            </w:tcBorders>
            <w:vAlign w:val="center"/>
          </w:tcPr>
          <w:p>
            <w:pPr>
              <w:spacing w:line="240" w:lineRule="auto"/>
              <w:ind w:firstLine="0" w:firstLineChars="0"/>
              <w:jc w:val="center"/>
              <w:rPr>
                <w:bCs/>
                <w:sz w:val="21"/>
                <w:szCs w:val="21"/>
              </w:rPr>
            </w:pPr>
            <w:r>
              <w:rPr>
                <w:sz w:val="21"/>
                <w:szCs w:val="21"/>
              </w:rPr>
              <w:t>总碱度</w:t>
            </w:r>
            <w:r>
              <w:rPr>
                <w:rFonts w:hint="eastAsia"/>
                <w:sz w:val="21"/>
                <w:szCs w:val="21"/>
              </w:rPr>
              <w:t>（</w:t>
            </w:r>
            <w:r>
              <w:rPr>
                <w:sz w:val="21"/>
                <w:szCs w:val="21"/>
              </w:rPr>
              <w:t>CaCO</w:t>
            </w:r>
            <w:r>
              <w:rPr>
                <w:sz w:val="21"/>
                <w:szCs w:val="21"/>
                <w:vertAlign w:val="subscript"/>
              </w:rPr>
              <w:t>3</w:t>
            </w:r>
            <w:r>
              <w:rPr>
                <w:sz w:val="21"/>
                <w:szCs w:val="21"/>
              </w:rPr>
              <w:t>计</w:t>
            </w:r>
            <w:r>
              <w:rPr>
                <w:rFonts w:hint="eastAsia"/>
                <w:sz w:val="21"/>
                <w:szCs w:val="21"/>
              </w:rPr>
              <w:t>）</w:t>
            </w:r>
          </w:p>
        </w:tc>
        <w:tc>
          <w:tcPr>
            <w:tcW w:w="804" w:type="pct"/>
            <w:tcBorders>
              <w:tl2br w:val="nil"/>
              <w:tr2bl w:val="nil"/>
            </w:tcBorders>
            <w:vAlign w:val="center"/>
          </w:tcPr>
          <w:p>
            <w:pPr>
              <w:spacing w:line="240" w:lineRule="auto"/>
              <w:jc w:val="center"/>
              <w:rPr>
                <w:sz w:val="21"/>
                <w:szCs w:val="21"/>
              </w:rPr>
            </w:pPr>
            <w:r>
              <w:rPr>
                <w:sz w:val="21"/>
                <w:szCs w:val="21"/>
              </w:rPr>
              <w:t>252.46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Cl</w:t>
            </w:r>
            <w:r>
              <w:rPr>
                <w:sz w:val="21"/>
                <w:szCs w:val="21"/>
                <w:vertAlign w:val="superscript"/>
              </w:rPr>
              <w:t>-</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51.0</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1.437</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333" w:type="pct"/>
            <w:vMerge w:val="continue"/>
            <w:tcBorders>
              <w:tl2br w:val="nil"/>
              <w:tr2bl w:val="nil"/>
            </w:tcBorders>
            <w:vAlign w:val="center"/>
          </w:tcPr>
          <w:p>
            <w:pPr>
              <w:adjustRightInd w:val="0"/>
              <w:snapToGrid w:val="0"/>
              <w:spacing w:line="240" w:lineRule="auto"/>
              <w:jc w:val="center"/>
              <w:rPr>
                <w:sz w:val="21"/>
                <w:szCs w:val="21"/>
              </w:rPr>
            </w:pPr>
          </w:p>
        </w:tc>
        <w:tc>
          <w:tcPr>
            <w:tcW w:w="442" w:type="pct"/>
            <w:tcBorders>
              <w:tl2br w:val="nil"/>
              <w:tr2bl w:val="nil"/>
            </w:tcBorders>
            <w:vAlign w:val="center"/>
          </w:tcPr>
          <w:p>
            <w:pPr>
              <w:spacing w:line="240" w:lineRule="auto"/>
              <w:ind w:firstLine="0" w:firstLineChars="0"/>
              <w:jc w:val="center"/>
              <w:rPr>
                <w:sz w:val="21"/>
                <w:szCs w:val="21"/>
              </w:rPr>
            </w:pPr>
            <w:r>
              <w:rPr>
                <w:sz w:val="21"/>
                <w:szCs w:val="21"/>
              </w:rPr>
              <w:t>SO</w:t>
            </w:r>
            <w:r>
              <w:rPr>
                <w:sz w:val="21"/>
                <w:szCs w:val="21"/>
                <w:vertAlign w:val="subscript"/>
              </w:rPr>
              <w:t>4</w:t>
            </w:r>
            <w:r>
              <w:rPr>
                <w:sz w:val="21"/>
                <w:szCs w:val="21"/>
                <w:vertAlign w:val="superscript"/>
              </w:rPr>
              <w:t>2-</w:t>
            </w:r>
          </w:p>
        </w:tc>
        <w:tc>
          <w:tcPr>
            <w:tcW w:w="547" w:type="pct"/>
            <w:tcBorders>
              <w:tl2br w:val="nil"/>
              <w:tr2bl w:val="nil"/>
            </w:tcBorders>
            <w:vAlign w:val="center"/>
          </w:tcPr>
          <w:p>
            <w:pPr>
              <w:spacing w:line="240" w:lineRule="auto"/>
              <w:ind w:firstLine="0" w:firstLineChars="0"/>
              <w:jc w:val="center"/>
              <w:rPr>
                <w:sz w:val="21"/>
                <w:szCs w:val="21"/>
              </w:rPr>
            </w:pPr>
            <w:r>
              <w:rPr>
                <w:sz w:val="21"/>
                <w:szCs w:val="21"/>
              </w:rPr>
              <w:t>156</w:t>
            </w:r>
          </w:p>
        </w:tc>
        <w:tc>
          <w:tcPr>
            <w:tcW w:w="865" w:type="pct"/>
            <w:tcBorders>
              <w:tl2br w:val="nil"/>
              <w:tr2bl w:val="nil"/>
            </w:tcBorders>
            <w:vAlign w:val="center"/>
          </w:tcPr>
          <w:p>
            <w:pPr>
              <w:widowControl/>
              <w:spacing w:line="240" w:lineRule="auto"/>
              <w:jc w:val="center"/>
              <w:textAlignment w:val="center"/>
              <w:rPr>
                <w:sz w:val="21"/>
                <w:szCs w:val="21"/>
              </w:rPr>
            </w:pPr>
            <w:r>
              <w:rPr>
                <w:color w:val="000000"/>
                <w:kern w:val="0"/>
                <w:sz w:val="21"/>
                <w:szCs w:val="21"/>
                <w:lang w:bidi="ar"/>
              </w:rPr>
              <w:t>3.25</w:t>
            </w:r>
          </w:p>
        </w:tc>
        <w:tc>
          <w:tcPr>
            <w:tcW w:w="1110" w:type="pct"/>
            <w:tcBorders>
              <w:tl2br w:val="nil"/>
              <w:tr2bl w:val="nil"/>
            </w:tcBorders>
            <w:vAlign w:val="center"/>
          </w:tcPr>
          <w:p>
            <w:pPr>
              <w:adjustRightInd w:val="0"/>
              <w:snapToGrid w:val="0"/>
              <w:spacing w:line="240" w:lineRule="auto"/>
              <w:jc w:val="center"/>
              <w:rPr>
                <w:bCs/>
                <w:sz w:val="21"/>
                <w:szCs w:val="21"/>
              </w:rPr>
            </w:pPr>
          </w:p>
        </w:tc>
        <w:tc>
          <w:tcPr>
            <w:tcW w:w="804" w:type="pct"/>
            <w:tcBorders>
              <w:tl2br w:val="nil"/>
              <w:tr2bl w:val="nil"/>
            </w:tcBorders>
            <w:vAlign w:val="center"/>
          </w:tcPr>
          <w:p>
            <w:pPr>
              <w:adjustRightInd w:val="0"/>
              <w:snapToGrid w:val="0"/>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pct"/>
            <w:vMerge w:val="continue"/>
            <w:tcBorders>
              <w:tl2br w:val="nil"/>
              <w:tr2bl w:val="nil"/>
            </w:tcBorders>
            <w:vAlign w:val="center"/>
          </w:tcPr>
          <w:p>
            <w:pPr>
              <w:adjustRightInd w:val="0"/>
              <w:snapToGrid w:val="0"/>
              <w:spacing w:line="240" w:lineRule="auto"/>
              <w:jc w:val="center"/>
              <w:rPr>
                <w:bCs/>
                <w:sz w:val="21"/>
                <w:szCs w:val="21"/>
              </w:rPr>
            </w:pPr>
          </w:p>
        </w:tc>
        <w:tc>
          <w:tcPr>
            <w:tcW w:w="427" w:type="pct"/>
            <w:vMerge w:val="continue"/>
            <w:tcBorders>
              <w:tl2br w:val="nil"/>
              <w:tr2bl w:val="nil"/>
            </w:tcBorders>
            <w:vAlign w:val="center"/>
          </w:tcPr>
          <w:p>
            <w:pPr>
              <w:adjustRightInd w:val="0"/>
              <w:snapToGrid w:val="0"/>
              <w:spacing w:line="240" w:lineRule="auto"/>
              <w:jc w:val="center"/>
              <w:rPr>
                <w:bCs/>
                <w:sz w:val="21"/>
                <w:szCs w:val="21"/>
              </w:rPr>
            </w:pPr>
          </w:p>
        </w:tc>
        <w:tc>
          <w:tcPr>
            <w:tcW w:w="776" w:type="pct"/>
            <w:gridSpan w:val="2"/>
            <w:tcBorders>
              <w:tl2br w:val="nil"/>
              <w:tr2bl w:val="nil"/>
            </w:tcBorders>
            <w:vAlign w:val="center"/>
          </w:tcPr>
          <w:p>
            <w:pPr>
              <w:spacing w:line="240" w:lineRule="auto"/>
              <w:jc w:val="center"/>
              <w:rPr>
                <w:sz w:val="21"/>
                <w:szCs w:val="21"/>
              </w:rPr>
            </w:pPr>
            <w:r>
              <w:rPr>
                <w:sz w:val="21"/>
                <w:szCs w:val="21"/>
              </w:rPr>
              <w:t>水质类型</w:t>
            </w:r>
          </w:p>
        </w:tc>
        <w:tc>
          <w:tcPr>
            <w:tcW w:w="3327" w:type="pct"/>
            <w:gridSpan w:val="4"/>
            <w:tcBorders>
              <w:tl2br w:val="nil"/>
              <w:tr2bl w:val="nil"/>
            </w:tcBorders>
            <w:vAlign w:val="center"/>
          </w:tcPr>
          <w:p>
            <w:pPr>
              <w:adjustRightInd w:val="0"/>
              <w:snapToGrid w:val="0"/>
              <w:spacing w:line="240" w:lineRule="auto"/>
              <w:jc w:val="center"/>
              <w:rPr>
                <w:sz w:val="21"/>
                <w:szCs w:val="21"/>
              </w:rPr>
            </w:pPr>
            <w:r>
              <w:rPr>
                <w:sz w:val="21"/>
                <w:szCs w:val="21"/>
              </w:rPr>
              <w:t>HCO</w:t>
            </w:r>
            <w:r>
              <w:rPr>
                <w:sz w:val="21"/>
                <w:szCs w:val="21"/>
                <w:vertAlign w:val="subscript"/>
              </w:rPr>
              <w:t>3</w:t>
            </w:r>
            <w:r>
              <w:rPr>
                <w:sz w:val="21"/>
                <w:szCs w:val="21"/>
                <w:vertAlign w:val="superscript"/>
              </w:rPr>
              <w:t>-</w:t>
            </w:r>
            <w:r>
              <w:rPr>
                <w:sz w:val="21"/>
                <w:szCs w:val="21"/>
              </w:rPr>
              <w:t>—SO</w:t>
            </w:r>
            <w:r>
              <w:rPr>
                <w:sz w:val="21"/>
                <w:szCs w:val="21"/>
                <w:vertAlign w:val="subscript"/>
              </w:rPr>
              <w:t>4</w:t>
            </w:r>
            <w:r>
              <w:rPr>
                <w:sz w:val="21"/>
                <w:szCs w:val="21"/>
                <w:vertAlign w:val="superscript"/>
              </w:rPr>
              <w:t>2-</w:t>
            </w:r>
            <w:r>
              <w:rPr>
                <w:sz w:val="21"/>
                <w:szCs w:val="21"/>
              </w:rPr>
              <w:t>—Ca</w:t>
            </w:r>
            <w:r>
              <w:rPr>
                <w:sz w:val="21"/>
                <w:szCs w:val="21"/>
                <w:vertAlign w:val="superscript"/>
              </w:rPr>
              <w:t>2+</w:t>
            </w:r>
            <w:r>
              <w:rPr>
                <w:sz w:val="21"/>
                <w:szCs w:val="21"/>
              </w:rPr>
              <w:t>—Mg</w:t>
            </w:r>
            <w:r>
              <w:rPr>
                <w:sz w:val="21"/>
                <w:szCs w:val="21"/>
                <w:vertAlign w:val="superscript"/>
              </w:rPr>
              <w:t>2+</w:t>
            </w:r>
            <w:r>
              <w:rPr>
                <w:sz w:val="21"/>
                <w:szCs w:val="21"/>
              </w:rPr>
              <w:t>（其中pH为</w:t>
            </w:r>
            <w:r>
              <w:rPr>
                <w:kern w:val="0"/>
                <w:sz w:val="21"/>
                <w:szCs w:val="21"/>
                <w:lang w:bidi="ar"/>
              </w:rPr>
              <w:t>7.30</w:t>
            </w:r>
            <w:r>
              <w:rPr>
                <w:sz w:val="21"/>
                <w:szCs w:val="21"/>
              </w:rPr>
              <w:t>）</w:t>
            </w:r>
          </w:p>
        </w:tc>
      </w:tr>
    </w:tbl>
    <w:p>
      <w:pPr>
        <w:ind w:firstLine="480"/>
      </w:pPr>
    </w:p>
    <w:p>
      <w:pPr>
        <w:ind w:firstLine="0" w:firstLineChars="0"/>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adjustRightInd w:val="0"/>
        <w:snapToGrid w:val="0"/>
        <w:spacing w:line="500" w:lineRule="exact"/>
        <w:ind w:firstLine="482"/>
        <w:rPr>
          <w:b/>
          <w:bCs/>
        </w:rPr>
      </w:pPr>
      <w:r>
        <w:rPr>
          <w:rFonts w:hint="eastAsia"/>
          <w:b/>
          <w:bCs/>
        </w:rPr>
        <w:t>（10）评价结果</w:t>
      </w:r>
    </w:p>
    <w:p>
      <w:pPr>
        <w:adjustRightInd w:val="0"/>
        <w:snapToGrid w:val="0"/>
        <w:spacing w:line="500" w:lineRule="exact"/>
        <w:ind w:firstLine="480"/>
      </w:pPr>
      <w:r>
        <w:rPr>
          <w:rFonts w:hint="eastAsia"/>
        </w:rPr>
        <w:t>由表</w:t>
      </w:r>
      <w:r>
        <w:rPr>
          <w:rFonts w:hint="eastAsia"/>
          <w:lang w:val="en-US" w:eastAsia="zh-CN"/>
        </w:rPr>
        <w:t>4</w:t>
      </w:r>
      <w:r>
        <w:rPr>
          <w:rFonts w:hint="eastAsia"/>
        </w:rPr>
        <w:t>.9及</w:t>
      </w:r>
      <w:r>
        <w:rPr>
          <w:rFonts w:hint="eastAsia"/>
          <w:lang w:val="en-US" w:eastAsia="zh-CN"/>
        </w:rPr>
        <w:t>4</w:t>
      </w:r>
      <w:r>
        <w:rPr>
          <w:rFonts w:hint="eastAsia"/>
        </w:rPr>
        <w:t>.10</w:t>
      </w:r>
      <w:r>
        <w:t>可见，地下水pH变化范围为</w:t>
      </w:r>
      <w:r>
        <w:rPr>
          <w:rFonts w:hint="eastAsia"/>
        </w:rPr>
        <w:t>7.09</w:t>
      </w:r>
      <w:r>
        <w:t>~</w:t>
      </w:r>
      <w:r>
        <w:rPr>
          <w:rFonts w:hint="eastAsia"/>
        </w:rPr>
        <w:t>7.31</w:t>
      </w:r>
      <w:r>
        <w:t>，呈弱碱性，地下水</w:t>
      </w:r>
      <w:r>
        <w:rPr>
          <w:rFonts w:hint="eastAsia"/>
        </w:rPr>
        <w:t>水质因子</w:t>
      </w:r>
      <w:r>
        <w:t>浓度均未出现超标排放情况，符合《地下水质量标准》（GB/T14848-2017）中的Ⅲ类水质标准，说明拟建项目区及周边现状地下水水质相对较好。</w:t>
      </w:r>
    </w:p>
    <w:p>
      <w:pPr>
        <w:pStyle w:val="6"/>
        <w:ind w:firstLine="482"/>
      </w:pPr>
      <w:bookmarkStart w:id="635" w:name="_Toc2103_WPSOffice_Level2"/>
      <w:bookmarkStart w:id="636" w:name="_Toc15894_WPSOffice_Level2"/>
      <w:bookmarkStart w:id="637" w:name="_Toc14923"/>
      <w:bookmarkStart w:id="638" w:name="_Toc16920"/>
      <w:bookmarkStart w:id="639" w:name="_Toc23052"/>
      <w:r>
        <w:rPr>
          <w:rFonts w:hint="eastAsia"/>
          <w:lang w:val="en-US" w:eastAsia="zh-CN"/>
        </w:rPr>
        <w:t>4</w:t>
      </w:r>
      <w:r>
        <w:t>.2.3</w:t>
      </w:r>
      <w:r>
        <w:rPr>
          <w:rFonts w:hint="eastAsia"/>
        </w:rPr>
        <w:t>、</w:t>
      </w:r>
      <w:r>
        <w:t>地表水环境质量现状</w:t>
      </w:r>
      <w:bookmarkEnd w:id="635"/>
      <w:bookmarkEnd w:id="636"/>
      <w:bookmarkEnd w:id="637"/>
    </w:p>
    <w:p>
      <w:pPr>
        <w:ind w:firstLine="480"/>
      </w:pPr>
      <w:r>
        <w:t>项目地表水环境质量现状评价数据引用《张掖市生态环境局关于202</w:t>
      </w:r>
      <w:r>
        <w:rPr>
          <w:rFonts w:hint="eastAsia"/>
          <w:lang w:val="en-US" w:eastAsia="zh-CN"/>
        </w:rPr>
        <w:t>3</w:t>
      </w:r>
      <w:r>
        <w:t>年</w:t>
      </w:r>
      <w:r>
        <w:rPr>
          <w:rFonts w:hint="eastAsia"/>
          <w:lang w:val="en-US" w:eastAsia="zh-CN"/>
        </w:rPr>
        <w:t>2</w:t>
      </w:r>
      <w:r>
        <w:t>月份地表水环境质量和城市集中式饮用水水源地水质监测结果的公告》中的监测数据。本项目位于</w:t>
      </w:r>
      <w:r>
        <w:rPr>
          <w:rFonts w:hint="eastAsia"/>
          <w:lang w:eastAsia="zh-CN"/>
        </w:rPr>
        <w:t>张掖市甘州区巴吉滩农产品产业园</w:t>
      </w:r>
      <w:r>
        <w:rPr>
          <w:rFonts w:hint="eastAsia"/>
        </w:rPr>
        <w:t>（</w:t>
      </w:r>
      <w:r>
        <w:rPr>
          <w:rFonts w:hint="eastAsia"/>
          <w:lang w:val="en-US" w:eastAsia="zh-CN"/>
        </w:rPr>
        <w:t>张掖市沅博农牧产业开发有限公司</w:t>
      </w:r>
      <w:r>
        <w:rPr>
          <w:rFonts w:hint="eastAsia"/>
        </w:rPr>
        <w:t>内）</w:t>
      </w:r>
      <w:r>
        <w:t>，</w:t>
      </w:r>
      <w:r>
        <w:rPr>
          <w:rFonts w:hint="eastAsia"/>
        </w:rPr>
        <w:t>距离本项目最近的地表水体为黑河（直线距离约7.2km），查阅《甘肃省内陆河流黑河水系二级水工能区划图》（详见附图1）可知，黑河流经甘州区段为：莺落峡~黑河大桥，莺落峡~黑河大桥段执行</w:t>
      </w:r>
      <w:r>
        <w:t>《地表水环境质量标准》（GB3838－2002）中</w:t>
      </w:r>
      <w:r>
        <w:rPr>
          <w:rFonts w:eastAsia="微软雅黑"/>
        </w:rPr>
        <w:t>Ⅲ</w:t>
      </w:r>
      <w:r>
        <w:t>类水质标准</w:t>
      </w:r>
      <w:r>
        <w:rPr>
          <w:rFonts w:hint="eastAsia"/>
        </w:rPr>
        <w:t>。</w:t>
      </w:r>
      <w:r>
        <w:t>根据公告中的监测数据可知</w:t>
      </w:r>
      <w:r>
        <w:rPr>
          <w:rFonts w:hint="eastAsia"/>
        </w:rPr>
        <w:t>甘州区境内黑河~莺落峡</w:t>
      </w:r>
      <w:r>
        <w:t>监测断面水质能够满足《地表水环境质量标准》（GB3838－2002）中Ⅰ类水质标准，因此该项目区地表水环境质量良好。</w:t>
      </w:r>
    </w:p>
    <w:p>
      <w:pPr>
        <w:spacing w:line="240" w:lineRule="auto"/>
        <w:ind w:firstLine="482"/>
        <w:jc w:val="center"/>
        <w:rPr>
          <w:b/>
          <w:bCs/>
        </w:rPr>
      </w:pPr>
      <w:r>
        <w:rPr>
          <w:b/>
          <w:bCs/>
        </w:rPr>
        <w:t>表</w:t>
      </w:r>
      <w:r>
        <w:rPr>
          <w:rFonts w:hint="eastAsia"/>
          <w:b/>
          <w:bCs/>
          <w:lang w:val="en-US" w:eastAsia="zh-CN"/>
        </w:rPr>
        <w:t>4</w:t>
      </w:r>
      <w:r>
        <w:rPr>
          <w:rFonts w:hint="eastAsia"/>
          <w:b/>
          <w:bCs/>
        </w:rPr>
        <w:t>.11</w:t>
      </w:r>
      <w:r>
        <w:rPr>
          <w:b/>
          <w:bCs/>
        </w:rPr>
        <w:t xml:space="preserve">    张掖市地表水环境质量监测结果（202</w:t>
      </w:r>
      <w:r>
        <w:rPr>
          <w:rFonts w:hint="eastAsia"/>
          <w:b/>
          <w:bCs/>
        </w:rPr>
        <w:t>2</w:t>
      </w:r>
      <w:r>
        <w:rPr>
          <w:b/>
          <w:bCs/>
        </w:rPr>
        <w:t>年</w:t>
      </w:r>
      <w:r>
        <w:rPr>
          <w:rFonts w:hint="eastAsia"/>
          <w:b/>
          <w:bCs/>
        </w:rPr>
        <w:t>4</w:t>
      </w:r>
      <w:r>
        <w:rPr>
          <w:b/>
          <w:bCs/>
        </w:rPr>
        <w:t>月）</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1390"/>
        <w:gridCol w:w="1295"/>
        <w:gridCol w:w="1391"/>
        <w:gridCol w:w="1255"/>
        <w:gridCol w:w="1062"/>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3" w:type="pct"/>
            <w:tcBorders>
              <w:tl2br w:val="nil"/>
              <w:tr2bl w:val="nil"/>
            </w:tcBorders>
            <w:vAlign w:val="center"/>
          </w:tcPr>
          <w:p>
            <w:pPr>
              <w:spacing w:line="240" w:lineRule="auto"/>
              <w:ind w:firstLine="0" w:firstLineChars="0"/>
              <w:jc w:val="center"/>
              <w:rPr>
                <w:b/>
                <w:bCs/>
                <w:sz w:val="21"/>
                <w:szCs w:val="21"/>
              </w:rPr>
            </w:pPr>
            <w:r>
              <w:rPr>
                <w:b/>
                <w:bCs/>
                <w:sz w:val="21"/>
                <w:szCs w:val="21"/>
              </w:rPr>
              <w:t>河流、断面名称</w:t>
            </w:r>
          </w:p>
        </w:tc>
        <w:tc>
          <w:tcPr>
            <w:tcW w:w="697" w:type="pct"/>
            <w:tcBorders>
              <w:tl2br w:val="nil"/>
              <w:tr2bl w:val="nil"/>
            </w:tcBorders>
            <w:vAlign w:val="center"/>
          </w:tcPr>
          <w:p>
            <w:pPr>
              <w:spacing w:line="240" w:lineRule="auto"/>
              <w:ind w:firstLine="0" w:firstLineChars="0"/>
              <w:jc w:val="center"/>
              <w:rPr>
                <w:b/>
                <w:bCs/>
                <w:sz w:val="21"/>
                <w:szCs w:val="21"/>
              </w:rPr>
            </w:pPr>
            <w:r>
              <w:rPr>
                <w:b/>
                <w:bCs/>
                <w:sz w:val="21"/>
                <w:szCs w:val="21"/>
              </w:rPr>
              <w:t>所在区域</w:t>
            </w:r>
          </w:p>
        </w:tc>
        <w:tc>
          <w:tcPr>
            <w:tcW w:w="649" w:type="pct"/>
            <w:tcBorders>
              <w:tl2br w:val="nil"/>
              <w:tr2bl w:val="nil"/>
            </w:tcBorders>
            <w:vAlign w:val="center"/>
          </w:tcPr>
          <w:p>
            <w:pPr>
              <w:spacing w:line="240" w:lineRule="auto"/>
              <w:ind w:firstLine="0" w:firstLineChars="0"/>
              <w:jc w:val="center"/>
              <w:rPr>
                <w:b/>
                <w:bCs/>
                <w:sz w:val="21"/>
                <w:szCs w:val="21"/>
              </w:rPr>
            </w:pPr>
            <w:r>
              <w:rPr>
                <w:b/>
                <w:bCs/>
                <w:sz w:val="21"/>
                <w:szCs w:val="21"/>
              </w:rPr>
              <w:t>断面级别</w:t>
            </w:r>
          </w:p>
        </w:tc>
        <w:tc>
          <w:tcPr>
            <w:tcW w:w="698" w:type="pct"/>
            <w:tcBorders>
              <w:tl2br w:val="nil"/>
              <w:tr2bl w:val="nil"/>
            </w:tcBorders>
            <w:vAlign w:val="center"/>
          </w:tcPr>
          <w:p>
            <w:pPr>
              <w:spacing w:line="240" w:lineRule="auto"/>
              <w:ind w:firstLine="0" w:firstLineChars="0"/>
              <w:jc w:val="center"/>
              <w:rPr>
                <w:b/>
                <w:bCs/>
                <w:sz w:val="21"/>
                <w:szCs w:val="21"/>
              </w:rPr>
            </w:pPr>
            <w:r>
              <w:rPr>
                <w:b/>
                <w:bCs/>
                <w:sz w:val="21"/>
                <w:szCs w:val="21"/>
              </w:rPr>
              <w:t>断面功能</w:t>
            </w:r>
          </w:p>
        </w:tc>
        <w:tc>
          <w:tcPr>
            <w:tcW w:w="629" w:type="pct"/>
            <w:tcBorders>
              <w:tl2br w:val="nil"/>
              <w:tr2bl w:val="nil"/>
            </w:tcBorders>
            <w:vAlign w:val="center"/>
          </w:tcPr>
          <w:p>
            <w:pPr>
              <w:spacing w:line="240" w:lineRule="auto"/>
              <w:ind w:firstLine="0" w:firstLineChars="0"/>
              <w:jc w:val="center"/>
              <w:rPr>
                <w:b/>
                <w:bCs/>
                <w:sz w:val="21"/>
                <w:szCs w:val="21"/>
              </w:rPr>
            </w:pPr>
            <w:r>
              <w:rPr>
                <w:b/>
                <w:bCs/>
                <w:sz w:val="21"/>
                <w:szCs w:val="21"/>
              </w:rPr>
              <w:t>实测水域功能类别</w:t>
            </w:r>
          </w:p>
        </w:tc>
        <w:tc>
          <w:tcPr>
            <w:tcW w:w="533" w:type="pct"/>
            <w:tcBorders>
              <w:tl2br w:val="nil"/>
              <w:tr2bl w:val="nil"/>
            </w:tcBorders>
            <w:vAlign w:val="center"/>
          </w:tcPr>
          <w:p>
            <w:pPr>
              <w:spacing w:line="240" w:lineRule="auto"/>
              <w:ind w:firstLine="0" w:firstLineChars="0"/>
              <w:jc w:val="center"/>
              <w:rPr>
                <w:b/>
                <w:bCs/>
                <w:sz w:val="21"/>
                <w:szCs w:val="21"/>
              </w:rPr>
            </w:pPr>
            <w:r>
              <w:rPr>
                <w:b/>
                <w:bCs/>
                <w:sz w:val="21"/>
                <w:szCs w:val="21"/>
              </w:rPr>
              <w:t>达标情况</w:t>
            </w:r>
          </w:p>
        </w:tc>
        <w:tc>
          <w:tcPr>
            <w:tcW w:w="808" w:type="pct"/>
            <w:tcBorders>
              <w:tl2br w:val="nil"/>
              <w:tr2bl w:val="nil"/>
            </w:tcBorders>
            <w:vAlign w:val="center"/>
          </w:tcPr>
          <w:p>
            <w:pPr>
              <w:spacing w:line="240" w:lineRule="auto"/>
              <w:ind w:firstLine="0" w:firstLineChars="0"/>
              <w:jc w:val="center"/>
              <w:rPr>
                <w:b/>
                <w:bCs/>
                <w:sz w:val="21"/>
                <w:szCs w:val="21"/>
              </w:rPr>
            </w:pPr>
            <w:r>
              <w:rPr>
                <w:b/>
                <w:bCs/>
                <w:sz w:val="21"/>
                <w:szCs w:val="21"/>
              </w:rPr>
              <w:t>超标污染物及超标倍数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3" w:type="pct"/>
            <w:tcBorders>
              <w:tl2br w:val="nil"/>
              <w:tr2bl w:val="nil"/>
            </w:tcBorders>
            <w:vAlign w:val="center"/>
          </w:tcPr>
          <w:p>
            <w:pPr>
              <w:spacing w:line="240" w:lineRule="auto"/>
              <w:ind w:firstLine="0" w:firstLineChars="0"/>
              <w:jc w:val="center"/>
              <w:rPr>
                <w:sz w:val="21"/>
                <w:szCs w:val="21"/>
              </w:rPr>
            </w:pPr>
            <w:r>
              <w:rPr>
                <w:rFonts w:hint="eastAsia"/>
                <w:sz w:val="21"/>
                <w:szCs w:val="21"/>
              </w:rPr>
              <w:t>黑河莺落峡</w:t>
            </w:r>
          </w:p>
        </w:tc>
        <w:tc>
          <w:tcPr>
            <w:tcW w:w="697" w:type="pct"/>
            <w:tcBorders>
              <w:tl2br w:val="nil"/>
              <w:tr2bl w:val="nil"/>
            </w:tcBorders>
            <w:vAlign w:val="center"/>
          </w:tcPr>
          <w:p>
            <w:pPr>
              <w:spacing w:line="240" w:lineRule="auto"/>
              <w:ind w:firstLine="0" w:firstLineChars="0"/>
              <w:jc w:val="center"/>
              <w:rPr>
                <w:sz w:val="21"/>
                <w:szCs w:val="21"/>
              </w:rPr>
            </w:pPr>
            <w:r>
              <w:rPr>
                <w:rFonts w:hint="eastAsia"/>
                <w:sz w:val="21"/>
                <w:szCs w:val="21"/>
              </w:rPr>
              <w:t>甘州区</w:t>
            </w:r>
          </w:p>
        </w:tc>
        <w:tc>
          <w:tcPr>
            <w:tcW w:w="649" w:type="pct"/>
            <w:tcBorders>
              <w:tl2br w:val="nil"/>
              <w:tr2bl w:val="nil"/>
            </w:tcBorders>
            <w:vAlign w:val="center"/>
          </w:tcPr>
          <w:p>
            <w:pPr>
              <w:spacing w:line="240" w:lineRule="auto"/>
              <w:ind w:firstLine="0" w:firstLineChars="0"/>
              <w:jc w:val="center"/>
              <w:rPr>
                <w:sz w:val="21"/>
                <w:szCs w:val="21"/>
              </w:rPr>
            </w:pPr>
            <w:r>
              <w:rPr>
                <w:rFonts w:hint="eastAsia"/>
                <w:sz w:val="21"/>
                <w:szCs w:val="21"/>
              </w:rPr>
              <w:t>国</w:t>
            </w:r>
            <w:r>
              <w:rPr>
                <w:sz w:val="21"/>
                <w:szCs w:val="21"/>
              </w:rPr>
              <w:t>控</w:t>
            </w:r>
          </w:p>
        </w:tc>
        <w:tc>
          <w:tcPr>
            <w:tcW w:w="698" w:type="pct"/>
            <w:tcBorders>
              <w:tl2br w:val="nil"/>
              <w:tr2bl w:val="nil"/>
            </w:tcBorders>
            <w:vAlign w:val="center"/>
          </w:tcPr>
          <w:p>
            <w:pPr>
              <w:spacing w:line="240" w:lineRule="auto"/>
              <w:ind w:firstLine="0" w:firstLineChars="0"/>
              <w:jc w:val="center"/>
              <w:rPr>
                <w:sz w:val="21"/>
                <w:szCs w:val="21"/>
              </w:rPr>
            </w:pPr>
            <w:r>
              <w:rPr>
                <w:sz w:val="21"/>
                <w:szCs w:val="21"/>
              </w:rPr>
              <w:t>评价、考核、排名</w:t>
            </w:r>
          </w:p>
        </w:tc>
        <w:tc>
          <w:tcPr>
            <w:tcW w:w="629" w:type="pct"/>
            <w:tcBorders>
              <w:tl2br w:val="nil"/>
              <w:tr2bl w:val="nil"/>
            </w:tcBorders>
            <w:vAlign w:val="center"/>
          </w:tcPr>
          <w:p>
            <w:pPr>
              <w:spacing w:line="240" w:lineRule="auto"/>
              <w:ind w:firstLine="0" w:firstLineChars="0"/>
              <w:jc w:val="center"/>
              <w:rPr>
                <w:sz w:val="21"/>
                <w:szCs w:val="21"/>
              </w:rPr>
            </w:pPr>
            <w:r>
              <w:rPr>
                <w:sz w:val="21"/>
                <w:szCs w:val="21"/>
              </w:rPr>
              <w:t>Ⅰ类</w:t>
            </w:r>
          </w:p>
        </w:tc>
        <w:tc>
          <w:tcPr>
            <w:tcW w:w="533" w:type="pct"/>
            <w:tcBorders>
              <w:tl2br w:val="nil"/>
              <w:tr2bl w:val="nil"/>
            </w:tcBorders>
            <w:vAlign w:val="center"/>
          </w:tcPr>
          <w:p>
            <w:pPr>
              <w:spacing w:line="240" w:lineRule="auto"/>
              <w:ind w:firstLine="0" w:firstLineChars="0"/>
              <w:jc w:val="center"/>
              <w:rPr>
                <w:sz w:val="21"/>
                <w:szCs w:val="21"/>
              </w:rPr>
            </w:pPr>
            <w:r>
              <w:rPr>
                <w:sz w:val="21"/>
                <w:szCs w:val="21"/>
              </w:rPr>
              <w:t>达标</w:t>
            </w:r>
          </w:p>
        </w:tc>
        <w:tc>
          <w:tcPr>
            <w:tcW w:w="808" w:type="pct"/>
            <w:tcBorders>
              <w:tl2br w:val="nil"/>
              <w:tr2bl w:val="nil"/>
            </w:tcBorders>
            <w:vAlign w:val="center"/>
          </w:tcPr>
          <w:p>
            <w:pPr>
              <w:spacing w:line="240" w:lineRule="auto"/>
              <w:ind w:firstLine="0" w:firstLineChars="0"/>
              <w:jc w:val="center"/>
              <w:rPr>
                <w:sz w:val="21"/>
                <w:szCs w:val="21"/>
              </w:rPr>
            </w:pPr>
            <w:r>
              <w:rPr>
                <w:sz w:val="21"/>
                <w:szCs w:val="21"/>
              </w:rPr>
              <w:t>/</w:t>
            </w:r>
          </w:p>
        </w:tc>
      </w:tr>
    </w:tbl>
    <w:p>
      <w:pPr>
        <w:pStyle w:val="6"/>
        <w:ind w:firstLine="482"/>
      </w:pPr>
      <w:bookmarkStart w:id="640" w:name="_Toc26298_WPSOffice_Level2"/>
      <w:bookmarkStart w:id="641" w:name="_Toc3697_WPSOffice_Level2"/>
      <w:bookmarkStart w:id="642" w:name="_Toc15866"/>
      <w:bookmarkStart w:id="643" w:name="_Toc16527_WPSOffice_Level2"/>
      <w:r>
        <w:rPr>
          <w:rFonts w:hint="eastAsia"/>
          <w:lang w:val="en-US" w:eastAsia="zh-CN"/>
        </w:rPr>
        <w:t>4</w:t>
      </w:r>
      <w:r>
        <w:t>.2.4</w:t>
      </w:r>
      <w:r>
        <w:rPr>
          <w:rFonts w:hint="eastAsia"/>
        </w:rPr>
        <w:t>、</w:t>
      </w:r>
      <w:r>
        <w:t>声环境质量现状</w:t>
      </w:r>
      <w:bookmarkEnd w:id="638"/>
      <w:bookmarkEnd w:id="639"/>
      <w:bookmarkEnd w:id="640"/>
      <w:bookmarkEnd w:id="641"/>
      <w:bookmarkEnd w:id="642"/>
      <w:bookmarkEnd w:id="643"/>
    </w:p>
    <w:p>
      <w:pPr>
        <w:ind w:firstLine="480"/>
      </w:pPr>
      <w:r>
        <w:rPr>
          <w:rFonts w:hint="eastAsia"/>
        </w:rPr>
        <w:t>为了解拟建项目区域声环境质量现状，</w:t>
      </w:r>
      <w:r>
        <w:rPr>
          <w:rFonts w:hint="eastAsia"/>
          <w:lang w:val="en-US" w:eastAsia="zh-CN"/>
        </w:rPr>
        <w:t>张掖市沅博农牧产业开发有限公司</w:t>
      </w:r>
      <w:r>
        <w:t>委托甘肃</w:t>
      </w:r>
      <w:r>
        <w:rPr>
          <w:rFonts w:hint="eastAsia"/>
          <w:lang w:val="en-US" w:eastAsia="zh-CN"/>
        </w:rPr>
        <w:t>沁园</w:t>
      </w:r>
      <w:r>
        <w:t>环保</w:t>
      </w:r>
      <w:r>
        <w:rPr>
          <w:rFonts w:hint="eastAsia"/>
          <w:lang w:val="en-US" w:eastAsia="zh-CN"/>
        </w:rPr>
        <w:t>科技</w:t>
      </w:r>
      <w:r>
        <w:t>有限公司于20</w:t>
      </w:r>
      <w:r>
        <w:rPr>
          <w:rFonts w:hint="eastAsia"/>
        </w:rPr>
        <w:t>22</w:t>
      </w:r>
      <w:r>
        <w:t>年</w:t>
      </w:r>
      <w:r>
        <w:rPr>
          <w:rFonts w:hint="eastAsia"/>
        </w:rPr>
        <w:t>5</w:t>
      </w:r>
      <w:r>
        <w:t>月</w:t>
      </w:r>
      <w:r>
        <w:rPr>
          <w:rFonts w:hint="eastAsia"/>
        </w:rPr>
        <w:t>31</w:t>
      </w:r>
      <w:r>
        <w:t>日~</w:t>
      </w:r>
      <w:r>
        <w:rPr>
          <w:rFonts w:hint="eastAsia"/>
        </w:rPr>
        <w:t>2022年6</w:t>
      </w:r>
      <w:r>
        <w:t>月</w:t>
      </w:r>
      <w:r>
        <w:rPr>
          <w:rFonts w:hint="eastAsia"/>
        </w:rPr>
        <w:t>1</w:t>
      </w:r>
      <w:r>
        <w:t>日对项目建设地噪声进行了监测。</w:t>
      </w:r>
    </w:p>
    <w:p>
      <w:pPr>
        <w:ind w:firstLine="482"/>
      </w:pPr>
      <w:r>
        <w:rPr>
          <w:rFonts w:hint="eastAsia"/>
          <w:b/>
          <w:bCs/>
        </w:rPr>
        <w:t>（1）</w:t>
      </w:r>
      <w:r>
        <w:rPr>
          <w:b/>
          <w:bCs/>
        </w:rPr>
        <w:t>监测点位</w:t>
      </w:r>
    </w:p>
    <w:p>
      <w:pPr>
        <w:ind w:firstLine="480"/>
      </w:pPr>
      <w:r>
        <w:t>本项目共设置4个监测点位，分别位于</w:t>
      </w:r>
      <w:r>
        <w:rPr>
          <w:rFonts w:hint="eastAsia"/>
        </w:rPr>
        <w:t>总</w:t>
      </w:r>
      <w:r>
        <w:t>厂区东、南、西、北侧，具体点位布设见表</w:t>
      </w:r>
      <w:r>
        <w:rPr>
          <w:rFonts w:hint="eastAsia"/>
          <w:lang w:val="en-US" w:eastAsia="zh-CN"/>
        </w:rPr>
        <w:t>4</w:t>
      </w:r>
      <w:r>
        <w:rPr>
          <w:rFonts w:hint="eastAsia"/>
        </w:rPr>
        <w:t>.12</w:t>
      </w:r>
      <w:r>
        <w:t>及</w:t>
      </w:r>
      <w:r>
        <w:rPr>
          <w:rFonts w:hint="eastAsia"/>
        </w:rPr>
        <w:t>附</w:t>
      </w:r>
      <w:r>
        <w:t>图</w:t>
      </w:r>
      <w:r>
        <w:rPr>
          <w:rFonts w:hint="eastAsia"/>
        </w:rPr>
        <w:t>10</w:t>
      </w:r>
      <w:r>
        <w:t>。</w:t>
      </w:r>
    </w:p>
    <w:p>
      <w:pPr>
        <w:spacing w:line="240" w:lineRule="auto"/>
        <w:ind w:firstLine="482"/>
        <w:jc w:val="center"/>
        <w:rPr>
          <w:b/>
          <w:bCs/>
        </w:rPr>
      </w:pPr>
      <w:r>
        <w:rPr>
          <w:rFonts w:hint="eastAsia"/>
          <w:b/>
          <w:bCs/>
        </w:rPr>
        <w:t>表</w:t>
      </w:r>
      <w:r>
        <w:rPr>
          <w:rFonts w:hint="eastAsia"/>
          <w:b/>
          <w:bCs/>
          <w:lang w:val="en-US" w:eastAsia="zh-CN"/>
        </w:rPr>
        <w:t>4</w:t>
      </w:r>
      <w:r>
        <w:rPr>
          <w:rFonts w:hint="eastAsia"/>
          <w:b/>
          <w:bCs/>
        </w:rPr>
        <w:t>.12    检测位置及信息</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4"/>
        <w:gridCol w:w="4057"/>
        <w:gridCol w:w="4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pct"/>
            <w:tcBorders>
              <w:tl2br w:val="nil"/>
              <w:tr2bl w:val="nil"/>
            </w:tcBorders>
            <w:vAlign w:val="center"/>
          </w:tcPr>
          <w:p>
            <w:pPr>
              <w:spacing w:line="240" w:lineRule="auto"/>
              <w:ind w:firstLine="0" w:firstLineChars="0"/>
              <w:jc w:val="center"/>
              <w:rPr>
                <w:b/>
                <w:bCs/>
                <w:sz w:val="21"/>
                <w:szCs w:val="21"/>
              </w:rPr>
            </w:pPr>
            <w:r>
              <w:rPr>
                <w:b/>
                <w:bCs/>
                <w:sz w:val="21"/>
                <w:szCs w:val="21"/>
              </w:rPr>
              <w:t>点位编号</w:t>
            </w:r>
          </w:p>
        </w:tc>
        <w:tc>
          <w:tcPr>
            <w:tcW w:w="2036" w:type="pct"/>
            <w:tcBorders>
              <w:tl2br w:val="nil"/>
              <w:tr2bl w:val="nil"/>
            </w:tcBorders>
            <w:vAlign w:val="center"/>
          </w:tcPr>
          <w:p>
            <w:pPr>
              <w:spacing w:line="240" w:lineRule="auto"/>
              <w:ind w:firstLine="0" w:firstLineChars="0"/>
              <w:jc w:val="center"/>
              <w:rPr>
                <w:b/>
                <w:bCs/>
                <w:sz w:val="21"/>
                <w:szCs w:val="21"/>
              </w:rPr>
            </w:pPr>
            <w:r>
              <w:rPr>
                <w:b/>
                <w:bCs/>
                <w:sz w:val="21"/>
                <w:szCs w:val="21"/>
              </w:rPr>
              <w:t>位置</w:t>
            </w:r>
          </w:p>
        </w:tc>
        <w:tc>
          <w:tcPr>
            <w:tcW w:w="2233" w:type="pct"/>
            <w:tcBorders>
              <w:tl2br w:val="nil"/>
              <w:tr2bl w:val="nil"/>
            </w:tcBorders>
            <w:vAlign w:val="center"/>
          </w:tcPr>
          <w:p>
            <w:pPr>
              <w:spacing w:line="240" w:lineRule="auto"/>
              <w:ind w:firstLine="0" w:firstLineChars="0"/>
              <w:jc w:val="center"/>
              <w:rPr>
                <w:b/>
                <w:bCs/>
                <w:sz w:val="21"/>
                <w:szCs w:val="21"/>
              </w:rPr>
            </w:pPr>
            <w:r>
              <w:rPr>
                <w:b/>
                <w:bCs/>
                <w:sz w:val="21"/>
                <w:szCs w:val="21"/>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0"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2036" w:type="pct"/>
            <w:tcBorders>
              <w:tl2br w:val="nil"/>
              <w:tr2bl w:val="nil"/>
            </w:tcBorders>
            <w:vAlign w:val="center"/>
          </w:tcPr>
          <w:p>
            <w:pPr>
              <w:spacing w:line="240" w:lineRule="auto"/>
              <w:ind w:firstLine="0" w:firstLineChars="0"/>
              <w:jc w:val="center"/>
              <w:rPr>
                <w:sz w:val="21"/>
                <w:szCs w:val="21"/>
              </w:rPr>
            </w:pPr>
            <w:r>
              <w:rPr>
                <w:sz w:val="21"/>
                <w:szCs w:val="21"/>
              </w:rPr>
              <w:t>厂界东侧边界外，高于地面1.2米处</w:t>
            </w:r>
          </w:p>
        </w:tc>
        <w:tc>
          <w:tcPr>
            <w:tcW w:w="2233" w:type="pct"/>
            <w:tcBorders>
              <w:tl2br w:val="nil"/>
              <w:tr2bl w:val="nil"/>
            </w:tcBorders>
            <w:vAlign w:val="center"/>
          </w:tcPr>
          <w:p>
            <w:pPr>
              <w:spacing w:line="240" w:lineRule="auto"/>
              <w:ind w:firstLine="0" w:firstLineChars="0"/>
              <w:jc w:val="center"/>
              <w:rPr>
                <w:sz w:val="21"/>
                <w:szCs w:val="21"/>
              </w:rPr>
            </w:pPr>
            <w:r>
              <w:rPr>
                <w:sz w:val="21"/>
                <w:szCs w:val="21"/>
              </w:rPr>
              <w:t>N:38°57′25.00″  E:100°16′12.33″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0"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2036" w:type="pct"/>
            <w:tcBorders>
              <w:tl2br w:val="nil"/>
              <w:tr2bl w:val="nil"/>
            </w:tcBorders>
            <w:vAlign w:val="center"/>
          </w:tcPr>
          <w:p>
            <w:pPr>
              <w:spacing w:line="240" w:lineRule="auto"/>
              <w:ind w:firstLine="0" w:firstLineChars="0"/>
              <w:jc w:val="center"/>
              <w:rPr>
                <w:sz w:val="21"/>
                <w:szCs w:val="21"/>
              </w:rPr>
            </w:pPr>
            <w:r>
              <w:rPr>
                <w:sz w:val="21"/>
                <w:szCs w:val="21"/>
              </w:rPr>
              <w:t>厂界南侧边界外，高于地面1.2米处</w:t>
            </w:r>
          </w:p>
        </w:tc>
        <w:tc>
          <w:tcPr>
            <w:tcW w:w="2233" w:type="pct"/>
            <w:tcBorders>
              <w:tl2br w:val="nil"/>
              <w:tr2bl w:val="nil"/>
            </w:tcBorders>
            <w:vAlign w:val="center"/>
          </w:tcPr>
          <w:p>
            <w:pPr>
              <w:spacing w:line="240" w:lineRule="auto"/>
              <w:ind w:firstLine="0" w:firstLineChars="0"/>
              <w:jc w:val="center"/>
              <w:rPr>
                <w:sz w:val="21"/>
                <w:szCs w:val="21"/>
              </w:rPr>
            </w:pPr>
            <w:r>
              <w:rPr>
                <w:sz w:val="21"/>
                <w:szCs w:val="21"/>
              </w:rPr>
              <w:t>N:38°57′14.94″  E:100°15′27.65″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0"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2036" w:type="pct"/>
            <w:tcBorders>
              <w:tl2br w:val="nil"/>
              <w:tr2bl w:val="nil"/>
            </w:tcBorders>
            <w:vAlign w:val="center"/>
          </w:tcPr>
          <w:p>
            <w:pPr>
              <w:spacing w:line="240" w:lineRule="auto"/>
              <w:ind w:firstLine="0" w:firstLineChars="0"/>
              <w:jc w:val="center"/>
              <w:rPr>
                <w:sz w:val="21"/>
                <w:szCs w:val="21"/>
              </w:rPr>
            </w:pPr>
            <w:r>
              <w:rPr>
                <w:sz w:val="21"/>
                <w:szCs w:val="21"/>
              </w:rPr>
              <w:t>厂界西侧边界外，高于地面1.2米处</w:t>
            </w:r>
          </w:p>
        </w:tc>
        <w:tc>
          <w:tcPr>
            <w:tcW w:w="2233" w:type="pct"/>
            <w:tcBorders>
              <w:tl2br w:val="nil"/>
              <w:tr2bl w:val="nil"/>
            </w:tcBorders>
            <w:vAlign w:val="center"/>
          </w:tcPr>
          <w:p>
            <w:pPr>
              <w:spacing w:line="240" w:lineRule="auto"/>
              <w:ind w:firstLine="0" w:firstLineChars="0"/>
              <w:jc w:val="center"/>
              <w:rPr>
                <w:sz w:val="21"/>
                <w:szCs w:val="21"/>
              </w:rPr>
            </w:pPr>
            <w:r>
              <w:rPr>
                <w:sz w:val="21"/>
                <w:szCs w:val="21"/>
              </w:rPr>
              <w:t>N:38°57′38.74″  E:100°15′08.02″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30" w:type="pct"/>
            <w:tcBorders>
              <w:tl2br w:val="nil"/>
              <w:tr2bl w:val="nil"/>
            </w:tcBorders>
            <w:vAlign w:val="center"/>
          </w:tcPr>
          <w:p>
            <w:pPr>
              <w:spacing w:line="240" w:lineRule="auto"/>
              <w:ind w:firstLine="0" w:firstLineChars="0"/>
              <w:jc w:val="center"/>
              <w:rPr>
                <w:sz w:val="21"/>
                <w:szCs w:val="21"/>
              </w:rPr>
            </w:pPr>
            <w:r>
              <w:rPr>
                <w:sz w:val="21"/>
                <w:szCs w:val="21"/>
              </w:rPr>
              <w:t>5</w:t>
            </w:r>
          </w:p>
        </w:tc>
        <w:tc>
          <w:tcPr>
            <w:tcW w:w="2036" w:type="pct"/>
            <w:tcBorders>
              <w:tl2br w:val="nil"/>
              <w:tr2bl w:val="nil"/>
            </w:tcBorders>
            <w:vAlign w:val="center"/>
          </w:tcPr>
          <w:p>
            <w:pPr>
              <w:spacing w:line="240" w:lineRule="auto"/>
              <w:ind w:firstLine="0" w:firstLineChars="0"/>
              <w:jc w:val="center"/>
              <w:rPr>
                <w:sz w:val="21"/>
                <w:szCs w:val="21"/>
              </w:rPr>
            </w:pPr>
            <w:r>
              <w:rPr>
                <w:sz w:val="21"/>
                <w:szCs w:val="21"/>
              </w:rPr>
              <w:t>厂界北侧边界外，高于地面1.2米处</w:t>
            </w:r>
          </w:p>
        </w:tc>
        <w:tc>
          <w:tcPr>
            <w:tcW w:w="2233" w:type="pct"/>
            <w:tcBorders>
              <w:tl2br w:val="nil"/>
              <w:tr2bl w:val="nil"/>
            </w:tcBorders>
            <w:vAlign w:val="center"/>
          </w:tcPr>
          <w:p>
            <w:pPr>
              <w:spacing w:line="240" w:lineRule="auto"/>
              <w:ind w:firstLine="0" w:firstLineChars="0"/>
              <w:jc w:val="center"/>
              <w:rPr>
                <w:sz w:val="21"/>
                <w:szCs w:val="21"/>
              </w:rPr>
            </w:pPr>
            <w:r>
              <w:rPr>
                <w:sz w:val="21"/>
                <w:szCs w:val="21"/>
              </w:rPr>
              <w:t>N:38°57′40.84″  E:100°16′32.09″</w:t>
            </w:r>
          </w:p>
        </w:tc>
      </w:tr>
    </w:tbl>
    <w:p>
      <w:pPr>
        <w:ind w:firstLine="482"/>
        <w:rPr>
          <w:b/>
          <w:bCs/>
        </w:rPr>
      </w:pPr>
      <w:r>
        <w:rPr>
          <w:rFonts w:hint="eastAsia"/>
          <w:b/>
          <w:bCs/>
        </w:rPr>
        <w:t>（2）</w:t>
      </w:r>
      <w:r>
        <w:rPr>
          <w:b/>
          <w:bCs/>
        </w:rPr>
        <w:t>监测项目</w:t>
      </w:r>
    </w:p>
    <w:p>
      <w:pPr>
        <w:ind w:firstLine="480"/>
      </w:pPr>
      <w:r>
        <w:t>等效连续A声级。</w:t>
      </w:r>
    </w:p>
    <w:p>
      <w:pPr>
        <w:ind w:firstLine="482"/>
        <w:rPr>
          <w:b/>
          <w:bCs/>
        </w:rPr>
      </w:pPr>
      <w:r>
        <w:rPr>
          <w:rFonts w:hint="eastAsia"/>
          <w:b/>
          <w:bCs/>
        </w:rPr>
        <w:t>（3）</w:t>
      </w:r>
      <w:r>
        <w:rPr>
          <w:b/>
          <w:bCs/>
        </w:rPr>
        <w:t>监测时间及频次</w:t>
      </w:r>
    </w:p>
    <w:p>
      <w:pPr>
        <w:ind w:firstLine="480"/>
      </w:pPr>
      <w:r>
        <w:t>噪声监测时间为</w:t>
      </w:r>
      <w:r>
        <w:rPr>
          <w:rFonts w:hint="eastAsia"/>
        </w:rPr>
        <w:t>2022</w:t>
      </w:r>
      <w:r>
        <w:t>年</w:t>
      </w:r>
      <w:r>
        <w:rPr>
          <w:rFonts w:hint="eastAsia"/>
        </w:rPr>
        <w:t>5</w:t>
      </w:r>
      <w:r>
        <w:t>月</w:t>
      </w:r>
      <w:r>
        <w:rPr>
          <w:rFonts w:hint="eastAsia"/>
        </w:rPr>
        <w:t>31</w:t>
      </w:r>
      <w:r>
        <w:t>日~</w:t>
      </w:r>
      <w:r>
        <w:rPr>
          <w:rFonts w:hint="eastAsia"/>
        </w:rPr>
        <w:t>2022年6</w:t>
      </w:r>
      <w:r>
        <w:t>月</w:t>
      </w:r>
      <w:r>
        <w:rPr>
          <w:rFonts w:hint="eastAsia"/>
        </w:rPr>
        <w:t>1</w:t>
      </w:r>
      <w:r>
        <w:t>日。连续监测2天，每日昼、夜各监测一次，其中昼间为6：00~22：00，夜间为22：00~次日6：00。</w:t>
      </w:r>
    </w:p>
    <w:p>
      <w:pPr>
        <w:ind w:firstLine="482"/>
        <w:rPr>
          <w:b/>
          <w:bCs/>
        </w:rPr>
      </w:pPr>
      <w:r>
        <w:rPr>
          <w:rFonts w:hint="eastAsia"/>
          <w:b/>
          <w:bCs/>
        </w:rPr>
        <w:t>（4）</w:t>
      </w:r>
      <w:r>
        <w:rPr>
          <w:b/>
          <w:bCs/>
        </w:rPr>
        <w:t>噪声评价标准</w:t>
      </w:r>
    </w:p>
    <w:p>
      <w:pPr>
        <w:ind w:firstLine="480"/>
      </w:pPr>
      <w:r>
        <w:t>本项目厂区噪声评价执行《声环境质量标准》GB 3096-2008）3类标准。</w:t>
      </w:r>
    </w:p>
    <w:p>
      <w:pPr>
        <w:ind w:firstLine="482"/>
      </w:pPr>
      <w:r>
        <w:rPr>
          <w:rFonts w:hint="eastAsia"/>
          <w:b/>
          <w:bCs/>
        </w:rPr>
        <w:t>（5）</w:t>
      </w:r>
      <w:r>
        <w:rPr>
          <w:b/>
          <w:bCs/>
        </w:rPr>
        <w:t>监测结果</w:t>
      </w:r>
    </w:p>
    <w:p>
      <w:pPr>
        <w:ind w:firstLine="480"/>
      </w:pPr>
      <w:r>
        <w:t>本项目噪声现状监测结果见表</w:t>
      </w:r>
      <w:r>
        <w:rPr>
          <w:rFonts w:hint="eastAsia"/>
          <w:lang w:val="en-US" w:eastAsia="zh-CN"/>
        </w:rPr>
        <w:t>4</w:t>
      </w:r>
      <w:r>
        <w:rPr>
          <w:rFonts w:hint="eastAsia"/>
        </w:rPr>
        <w:t>.13</w:t>
      </w:r>
      <w:r>
        <w:t>。</w:t>
      </w:r>
    </w:p>
    <w:p>
      <w:pPr>
        <w:spacing w:line="240" w:lineRule="auto"/>
        <w:ind w:firstLine="482"/>
        <w:jc w:val="center"/>
        <w:rPr>
          <w:b/>
          <w:bCs/>
        </w:rPr>
      </w:pPr>
      <w:r>
        <w:rPr>
          <w:rFonts w:hint="eastAsia"/>
          <w:b/>
          <w:bCs/>
        </w:rPr>
        <w:t>表</w:t>
      </w:r>
      <w:r>
        <w:rPr>
          <w:rFonts w:hint="eastAsia"/>
          <w:b/>
          <w:bCs/>
          <w:lang w:val="en-US" w:eastAsia="zh-CN"/>
        </w:rPr>
        <w:t>4</w:t>
      </w:r>
      <w:r>
        <w:rPr>
          <w:rFonts w:hint="eastAsia"/>
          <w:b/>
          <w:bCs/>
        </w:rPr>
        <w:t>.13    噪声检测分析结果汇总表  单位：dB（A）</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992"/>
        <w:gridCol w:w="1149"/>
        <w:gridCol w:w="1149"/>
        <w:gridCol w:w="1153"/>
        <w:gridCol w:w="1149"/>
        <w:gridCol w:w="1150"/>
        <w:gridCol w:w="1150"/>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vMerge w:val="restar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点位</w:t>
            </w:r>
          </w:p>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编号</w:t>
            </w:r>
          </w:p>
        </w:tc>
        <w:tc>
          <w:tcPr>
            <w:tcW w:w="4544" w:type="pct"/>
            <w:gridSpan w:val="8"/>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检测时间：2022年5月31日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vMerge w:val="continue"/>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p>
        </w:tc>
        <w:tc>
          <w:tcPr>
            <w:tcW w:w="498" w:type="pct"/>
            <w:vMerge w:val="restar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功能区类型</w:t>
            </w:r>
          </w:p>
        </w:tc>
        <w:tc>
          <w:tcPr>
            <w:tcW w:w="1733" w:type="pct"/>
            <w:gridSpan w:val="3"/>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昼间（6:00-22:00）</w:t>
            </w:r>
          </w:p>
        </w:tc>
        <w:tc>
          <w:tcPr>
            <w:tcW w:w="2313" w:type="pct"/>
            <w:gridSpan w:val="4"/>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夜间（22:00-次日6:00）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vMerge w:val="continue"/>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p>
        </w:tc>
        <w:tc>
          <w:tcPr>
            <w:tcW w:w="498" w:type="pct"/>
            <w:vMerge w:val="continue"/>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时间</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测定值</w:t>
            </w:r>
          </w:p>
        </w:tc>
        <w:tc>
          <w:tcPr>
            <w:tcW w:w="578"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标准</w:t>
            </w:r>
          </w:p>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限值</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时间</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测定值</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标准</w:t>
            </w:r>
          </w:p>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限值</w:t>
            </w:r>
          </w:p>
        </w:tc>
        <w:tc>
          <w:tcPr>
            <w:tcW w:w="580"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15:22</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50.4</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22:10</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44.2</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15:38</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53.6</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22:27</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47.6</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15:53</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51.8</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22:44</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44.7</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16:17</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49.1</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22:59</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备注</w:t>
            </w:r>
          </w:p>
        </w:tc>
        <w:tc>
          <w:tcPr>
            <w:tcW w:w="4544" w:type="pct"/>
            <w:gridSpan w:val="8"/>
            <w:tcBorders>
              <w:tl2br w:val="nil"/>
              <w:tr2bl w:val="nil"/>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检测时昼间晴，风速2.1m/s，夜间晴，风速2.3m/s。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vMerge w:val="restar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点位</w:t>
            </w:r>
          </w:p>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编号</w:t>
            </w:r>
          </w:p>
        </w:tc>
        <w:tc>
          <w:tcPr>
            <w:tcW w:w="4544" w:type="pct"/>
            <w:gridSpan w:val="8"/>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检测时间：2022年6月1日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vMerge w:val="continue"/>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p>
        </w:tc>
        <w:tc>
          <w:tcPr>
            <w:tcW w:w="498" w:type="pct"/>
            <w:vMerge w:val="restar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功能区类型</w:t>
            </w:r>
          </w:p>
        </w:tc>
        <w:tc>
          <w:tcPr>
            <w:tcW w:w="1733" w:type="pct"/>
            <w:gridSpan w:val="3"/>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昼间（6:00-22:00）</w:t>
            </w:r>
          </w:p>
        </w:tc>
        <w:tc>
          <w:tcPr>
            <w:tcW w:w="2313" w:type="pct"/>
            <w:gridSpan w:val="4"/>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夜间（22:00-次日6:00）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vMerge w:val="continue"/>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p>
        </w:tc>
        <w:tc>
          <w:tcPr>
            <w:tcW w:w="498" w:type="pct"/>
            <w:vMerge w:val="continue"/>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时间</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测定值</w:t>
            </w:r>
          </w:p>
        </w:tc>
        <w:tc>
          <w:tcPr>
            <w:tcW w:w="578"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标准</w:t>
            </w:r>
          </w:p>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限值</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时间</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测定值</w:t>
            </w:r>
          </w:p>
        </w:tc>
        <w:tc>
          <w:tcPr>
            <w:tcW w:w="577"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标准</w:t>
            </w:r>
          </w:p>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限值</w:t>
            </w:r>
          </w:p>
        </w:tc>
        <w:tc>
          <w:tcPr>
            <w:tcW w:w="580"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14:15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50.8</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22:08</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44.0</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14:34</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53.2</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22:27</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47.3</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14:55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51.3</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22:44</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44.1</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49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3类</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15:21</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49.3</w:t>
            </w:r>
          </w:p>
        </w:tc>
        <w:tc>
          <w:tcPr>
            <w:tcW w:w="578"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65</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23:03</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40.9</w:t>
            </w:r>
          </w:p>
        </w:tc>
        <w:tc>
          <w:tcPr>
            <w:tcW w:w="577"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w:t>
            </w:r>
          </w:p>
        </w:tc>
        <w:tc>
          <w:tcPr>
            <w:tcW w:w="58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5"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备注</w:t>
            </w:r>
          </w:p>
        </w:tc>
        <w:tc>
          <w:tcPr>
            <w:tcW w:w="4544" w:type="pct"/>
            <w:gridSpan w:val="8"/>
            <w:tcBorders>
              <w:tl2br w:val="nil"/>
              <w:tr2bl w:val="nil"/>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检测时昼间晴，风速1.7m/s，夜间晴，风速1.9m/s。</w:t>
            </w:r>
          </w:p>
        </w:tc>
      </w:tr>
    </w:tbl>
    <w:p>
      <w:pPr>
        <w:adjustRightInd w:val="0"/>
        <w:snapToGrid w:val="0"/>
        <w:spacing w:line="500" w:lineRule="exact"/>
        <w:ind w:firstLine="480"/>
      </w:pPr>
      <w:r>
        <w:t>根据表3-</w:t>
      </w:r>
      <w:r>
        <w:rPr>
          <w:rFonts w:hint="eastAsia"/>
        </w:rPr>
        <w:t>21</w:t>
      </w:r>
      <w:r>
        <w:t>可见，拟建</w:t>
      </w:r>
      <w:r>
        <w:rPr>
          <w:rFonts w:hint="eastAsia"/>
        </w:rPr>
        <w:t>区域边界</w:t>
      </w:r>
      <w:r>
        <w:t>声环境昼间最高为</w:t>
      </w:r>
      <w:r>
        <w:rPr>
          <w:rFonts w:hint="eastAsia"/>
        </w:rPr>
        <w:t>53.6</w:t>
      </w:r>
      <w:r>
        <w:rPr>
          <w:bCs/>
        </w:rPr>
        <w:t>dB（A）</w:t>
      </w:r>
      <w:r>
        <w:t>，夜间最高为</w:t>
      </w:r>
      <w:r>
        <w:rPr>
          <w:rFonts w:hint="eastAsia"/>
        </w:rPr>
        <w:t>47.6</w:t>
      </w:r>
      <w:r>
        <w:rPr>
          <w:bCs/>
        </w:rPr>
        <w:t>dB（A）</w:t>
      </w:r>
      <w:r>
        <w:t>，均可满足</w:t>
      </w:r>
      <w:r>
        <w:rPr>
          <w:bCs/>
        </w:rPr>
        <w:t>《声环境质量标准》GB3096-2008）3类标准，厂区现状声环境质量较好</w:t>
      </w:r>
      <w:r>
        <w:t>。</w:t>
      </w:r>
      <w:bookmarkStart w:id="644" w:name="_Toc10361"/>
      <w:bookmarkStart w:id="645" w:name="_Toc17203"/>
      <w:bookmarkStart w:id="646" w:name="_Toc10070"/>
      <w:bookmarkStart w:id="647" w:name="_Toc2049"/>
    </w:p>
    <w:p>
      <w:pPr>
        <w:pStyle w:val="6"/>
        <w:ind w:firstLine="482"/>
      </w:pPr>
      <w:r>
        <w:rPr>
          <w:rFonts w:hint="eastAsia"/>
          <w:lang w:val="en-US" w:eastAsia="zh-CN"/>
        </w:rPr>
        <w:t>4</w:t>
      </w:r>
      <w:r>
        <w:rPr>
          <w:rFonts w:hint="eastAsia"/>
        </w:rPr>
        <w:t>.2.5、生态环境质量现状</w:t>
      </w:r>
    </w:p>
    <w:p>
      <w:pPr>
        <w:adjustRightInd w:val="0"/>
        <w:ind w:firstLine="480"/>
      </w:pPr>
      <w:r>
        <w:t>本项目建设地点位于</w:t>
      </w:r>
      <w:r>
        <w:rPr>
          <w:rFonts w:hint="eastAsia"/>
          <w:lang w:eastAsia="zh-CN"/>
        </w:rPr>
        <w:t>张掖市甘州区巴吉滩农产品产业园</w:t>
      </w:r>
      <w:r>
        <w:rPr>
          <w:rFonts w:hint="eastAsia"/>
          <w:lang w:val="en-US" w:eastAsia="zh-CN"/>
        </w:rPr>
        <w:t>张掖市沅博农牧产业开发有限公司</w:t>
      </w:r>
      <w:r>
        <w:rPr>
          <w:rFonts w:hint="eastAsia"/>
        </w:rPr>
        <w:t>内</w:t>
      </w:r>
      <w:r>
        <w:t>，土地利用</w:t>
      </w:r>
      <w:r>
        <w:rPr>
          <w:rFonts w:hint="eastAsia"/>
          <w:lang w:val="en-US" w:eastAsia="zh-CN"/>
        </w:rPr>
        <w:t>类型</w:t>
      </w:r>
      <w:r>
        <w:t>为</w:t>
      </w:r>
      <w:r>
        <w:rPr>
          <w:rFonts w:hint="eastAsia"/>
        </w:rPr>
        <w:t>工业用地</w:t>
      </w:r>
      <w:r>
        <w:t>，</w:t>
      </w:r>
      <w:r>
        <w:rPr>
          <w:rFonts w:hint="eastAsia"/>
          <w:lang w:val="en-US" w:eastAsia="zh-CN"/>
        </w:rPr>
        <w:t>植被类型主要</w:t>
      </w:r>
      <w:r>
        <w:t>以人工种植的绿化植物为主，主要为低矮灌木丛和草本植物，</w:t>
      </w:r>
      <w:r>
        <w:rPr>
          <w:rFonts w:hint="eastAsia"/>
        </w:rPr>
        <w:t>植被</w:t>
      </w:r>
      <w:r>
        <w:t>覆盖率</w:t>
      </w:r>
      <w:r>
        <w:rPr>
          <w:rFonts w:hint="eastAsia"/>
        </w:rPr>
        <w:t>较低；</w:t>
      </w:r>
      <w:r>
        <w:t>动物类别不多</w:t>
      </w:r>
      <w:r>
        <w:rPr>
          <w:rFonts w:hint="eastAsia"/>
        </w:rPr>
        <w:t>，主要以鼠类、麻雀为主</w:t>
      </w:r>
      <w:r>
        <w:t>，没有需要特殊保护的动植物物种。</w:t>
      </w:r>
    </w:p>
    <w:p>
      <w:pPr>
        <w:ind w:firstLine="480"/>
      </w:pPr>
    </w:p>
    <w:p>
      <w:pPr>
        <w:ind w:firstLine="48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648" w:name="_Toc29746_WPSOffice_Level1"/>
      <w:bookmarkStart w:id="649" w:name="_Toc8268"/>
      <w:bookmarkStart w:id="650" w:name="_Toc29769"/>
      <w:r>
        <w:rPr>
          <w:rFonts w:hint="eastAsia"/>
          <w:lang w:val="en-US" w:eastAsia="zh-CN"/>
        </w:rPr>
        <w:t>5</w:t>
      </w:r>
      <w:r>
        <w:rPr>
          <w:rFonts w:hint="eastAsia"/>
        </w:rPr>
        <w:t>、</w:t>
      </w:r>
      <w:r>
        <w:t>环境影响分析</w:t>
      </w:r>
      <w:bookmarkEnd w:id="644"/>
      <w:bookmarkEnd w:id="645"/>
      <w:bookmarkEnd w:id="646"/>
      <w:bookmarkEnd w:id="647"/>
      <w:bookmarkEnd w:id="648"/>
      <w:bookmarkEnd w:id="649"/>
      <w:bookmarkEnd w:id="650"/>
    </w:p>
    <w:p>
      <w:pPr>
        <w:pStyle w:val="5"/>
        <w:spacing w:before="78" w:after="78"/>
        <w:ind w:firstLine="562"/>
      </w:pPr>
      <w:bookmarkStart w:id="651" w:name="_Toc5223"/>
      <w:bookmarkStart w:id="652" w:name="_Toc27385"/>
      <w:bookmarkStart w:id="653" w:name="_Toc5759"/>
      <w:bookmarkStart w:id="654" w:name="_Toc24027"/>
      <w:bookmarkStart w:id="655" w:name="_Toc30462"/>
      <w:bookmarkStart w:id="656" w:name="_Toc15308"/>
      <w:bookmarkStart w:id="657" w:name="_Toc13774_WPSOffice_Level1"/>
      <w:r>
        <w:rPr>
          <w:rFonts w:hint="eastAsia"/>
          <w:lang w:val="en-US" w:eastAsia="zh-CN"/>
        </w:rPr>
        <w:t>5</w:t>
      </w:r>
      <w:r>
        <w:t>.1</w:t>
      </w:r>
      <w:r>
        <w:rPr>
          <w:rFonts w:hint="eastAsia"/>
        </w:rPr>
        <w:t>、</w:t>
      </w:r>
      <w:r>
        <w:t>施工期环境影响分析</w:t>
      </w:r>
      <w:bookmarkEnd w:id="651"/>
      <w:bookmarkEnd w:id="652"/>
      <w:bookmarkEnd w:id="653"/>
      <w:bookmarkEnd w:id="654"/>
      <w:bookmarkEnd w:id="655"/>
      <w:bookmarkEnd w:id="656"/>
      <w:bookmarkEnd w:id="657"/>
    </w:p>
    <w:p>
      <w:pPr>
        <w:ind w:firstLine="480"/>
      </w:pPr>
      <w:r>
        <w:t>本项目为工业项目，且位于张掖市甘州区巴吉滩农产品产业园，厂区道路、供水、场地平整等基础设施工程全面实施。因此施工期影响主要是本项目主要基础施工、建构筑建设及设备安装的影响，其影响相对较小。</w:t>
      </w:r>
    </w:p>
    <w:p>
      <w:pPr>
        <w:pStyle w:val="6"/>
        <w:ind w:firstLine="482"/>
      </w:pPr>
      <w:bookmarkStart w:id="658" w:name="_Toc343180132"/>
      <w:bookmarkStart w:id="659" w:name="_Toc356923186"/>
      <w:bookmarkStart w:id="660" w:name="_Toc345167398"/>
      <w:bookmarkStart w:id="661" w:name="_Toc31622"/>
      <w:bookmarkStart w:id="662" w:name="_Toc29778"/>
      <w:bookmarkStart w:id="663" w:name="_Toc466420384"/>
      <w:bookmarkStart w:id="664" w:name="_Toc29746_WPSOffice_Level2"/>
      <w:bookmarkStart w:id="665" w:name="_Toc16127_WPSOffice_Level2"/>
      <w:bookmarkStart w:id="666" w:name="_Toc32077"/>
      <w:bookmarkStart w:id="667" w:name="_Toc332573469"/>
      <w:bookmarkStart w:id="668" w:name="_Toc332618921"/>
      <w:r>
        <w:rPr>
          <w:rFonts w:hint="eastAsia"/>
          <w:lang w:val="en-US" w:eastAsia="zh-CN"/>
        </w:rPr>
        <w:t>5</w:t>
      </w:r>
      <w:r>
        <w:t>.1.1</w:t>
      </w:r>
      <w:r>
        <w:rPr>
          <w:rFonts w:hint="eastAsia"/>
        </w:rPr>
        <w:t>、</w:t>
      </w:r>
      <w:r>
        <w:t>施工期大气影响分析</w:t>
      </w:r>
      <w:bookmarkEnd w:id="658"/>
      <w:bookmarkEnd w:id="659"/>
      <w:bookmarkEnd w:id="660"/>
      <w:bookmarkEnd w:id="661"/>
      <w:bookmarkEnd w:id="662"/>
      <w:bookmarkEnd w:id="663"/>
      <w:bookmarkEnd w:id="664"/>
      <w:bookmarkEnd w:id="665"/>
      <w:bookmarkEnd w:id="666"/>
      <w:bookmarkEnd w:id="667"/>
      <w:bookmarkEnd w:id="668"/>
    </w:p>
    <w:p>
      <w:pPr>
        <w:ind w:firstLine="482"/>
        <w:rPr>
          <w:b/>
          <w:bCs/>
        </w:rPr>
      </w:pPr>
      <w:r>
        <w:rPr>
          <w:rFonts w:hint="eastAsia"/>
          <w:b/>
          <w:bCs/>
        </w:rPr>
        <w:t>（1）</w:t>
      </w:r>
      <w:r>
        <w:rPr>
          <w:b/>
          <w:bCs/>
        </w:rPr>
        <w:t>施工扬尘</w:t>
      </w:r>
    </w:p>
    <w:p>
      <w:pPr>
        <w:ind w:firstLine="480"/>
      </w:pPr>
      <w:r>
        <w:t>工程施工期挖、填土，必然要在地面上堆积大量的回填土和部分弃土，当土风干时，在遇风情况下会形成扬尘。根据国内外有关研究资料，施工扬尘的起尘量与许多因素有关，挖土机等在工作时的</w:t>
      </w:r>
      <w:r>
        <w:rPr>
          <w:rFonts w:hint="eastAsia"/>
        </w:rPr>
        <w:t>产</w:t>
      </w:r>
      <w:r>
        <w:t>尘量与挖坑深度、挖土机抓斗与地面的相对高度、风速、土壤颗粒度、土壤含水量</w:t>
      </w:r>
      <w:r>
        <w:rPr>
          <w:rFonts w:hint="eastAsia"/>
        </w:rPr>
        <w:t>等多种因素</w:t>
      </w:r>
      <w:r>
        <w:t>有关</w:t>
      </w:r>
      <w:r>
        <w:rPr>
          <w:rFonts w:hint="eastAsia"/>
        </w:rPr>
        <w:t>；</w:t>
      </w:r>
      <w:r>
        <w:t>对于原料渣土堆场而言，起尘量还与堆放方式、起动风速及堆场有无防护措施有关。国内外研究结果和类比研究表明，在起动风速以上，影响起尘量的主要因素分别为：防护措施、风速、土壤湿度、挖土方式或土堆的堆放方式。类比调查结果表明，如果不采取防尘措施，距施工现场300m范围内将会受到施工扬尘的严重影响，施工现场周围道路的TSP浓度将大幅度超标。因此</w:t>
      </w:r>
      <w:r>
        <w:rPr>
          <w:rFonts w:hint="eastAsia"/>
          <w:lang w:eastAsia="zh-CN"/>
        </w:rPr>
        <w:t>，</w:t>
      </w:r>
      <w:r>
        <w:rPr>
          <w:rFonts w:hint="eastAsia"/>
          <w:lang w:val="en-US" w:eastAsia="zh-CN"/>
        </w:rPr>
        <w:t>环评要求</w:t>
      </w:r>
      <w:r>
        <w:t>本项目的施工</w:t>
      </w:r>
      <w:r>
        <w:rPr>
          <w:rFonts w:hint="eastAsia"/>
          <w:lang w:val="en-US" w:eastAsia="zh-CN"/>
        </w:rPr>
        <w:t>过程中</w:t>
      </w:r>
      <w:r>
        <w:t>必须</w:t>
      </w:r>
      <w:r>
        <w:rPr>
          <w:rFonts w:hint="eastAsia"/>
        </w:rPr>
        <w:t>采用雾炮机对作业面进行洒水抑尘，同时及时采用苫布覆盖未硬化的裸面地面和开挖的土石方，并定期对裸面地面和开挖的土石方进行洒水抑尘，采取以上抑尘措施后</w:t>
      </w:r>
      <w:r>
        <w:t>，扬尘的影响范围基本上控制在50m以内，TSP浓度贡献不超过1.0mg/m</w:t>
      </w:r>
      <w:r>
        <w:rPr>
          <w:vertAlign w:val="superscript"/>
        </w:rPr>
        <w:t>3</w:t>
      </w:r>
      <w:r>
        <w:t>，200m左右TSP浓度贡献</w:t>
      </w:r>
      <w:r>
        <w:rPr>
          <w:rFonts w:hint="eastAsia"/>
        </w:rPr>
        <w:t>可</w:t>
      </w:r>
      <w:r>
        <w:t>降至0.2mg/m</w:t>
      </w:r>
      <w:r>
        <w:rPr>
          <w:vertAlign w:val="superscript"/>
        </w:rPr>
        <w:t>3</w:t>
      </w:r>
      <w:r>
        <w:rPr>
          <w:rFonts w:hint="eastAsia"/>
        </w:rPr>
        <w:t>，同时施工扬尘的</w:t>
      </w:r>
      <w:r>
        <w:t>影响是短时的，工程完工后，该部分影响也会随之消失。</w:t>
      </w:r>
      <w:r>
        <w:rPr>
          <w:rFonts w:hint="eastAsia"/>
        </w:rPr>
        <w:t>因此施工扬尘对周边环境的影响较小，是可以接受的。</w:t>
      </w:r>
    </w:p>
    <w:p>
      <w:pPr>
        <w:ind w:firstLine="482"/>
        <w:rPr>
          <w:b/>
          <w:bCs/>
        </w:rPr>
      </w:pPr>
      <w:r>
        <w:rPr>
          <w:rFonts w:hint="eastAsia"/>
          <w:b/>
          <w:bCs/>
        </w:rPr>
        <w:t>（2）</w:t>
      </w:r>
      <w:r>
        <w:rPr>
          <w:b/>
          <w:bCs/>
        </w:rPr>
        <w:t>道路扬尘</w:t>
      </w:r>
    </w:p>
    <w:p>
      <w:pPr>
        <w:ind w:firstLine="480"/>
      </w:pPr>
      <w:r>
        <w:t>自卸式载重汽车在运行过程中会产生一定的扬尘，将对施工及沿途区域的环境空气质量造成影响。其产生量与路面种类、天气状况以及汽车运行速度等因素有关。</w:t>
      </w:r>
      <w:r>
        <w:rPr>
          <w:rFonts w:hint="eastAsia"/>
        </w:rPr>
        <w:t>同时根据上文源强</w:t>
      </w:r>
      <w:r>
        <w:rPr>
          <w:rFonts w:hint="eastAsia"/>
          <w:lang w:val="en-US" w:eastAsia="zh-CN"/>
        </w:rPr>
        <w:t>分析</w:t>
      </w:r>
      <w:r>
        <w:rPr>
          <w:rFonts w:hint="eastAsia"/>
        </w:rPr>
        <w:t>可知，</w:t>
      </w:r>
      <w:r>
        <w:t>在同样路面清洁程度条件下，车速越快，扬尘量越大；而在同样车速情况下，路面越脏，则扬尘量越大</w:t>
      </w:r>
      <w:r>
        <w:rPr>
          <w:rFonts w:hint="eastAsia"/>
        </w:rPr>
        <w:t>。</w:t>
      </w:r>
      <w:r>
        <w:t>因此</w:t>
      </w:r>
      <w:r>
        <w:rPr>
          <w:rFonts w:hint="eastAsia"/>
        </w:rPr>
        <w:t>建设单位要定期对</w:t>
      </w:r>
      <w:r>
        <w:t>施工路面</w:t>
      </w:r>
      <w:r>
        <w:rPr>
          <w:rFonts w:hint="eastAsia"/>
        </w:rPr>
        <w:t>进行清扫，保持路面</w:t>
      </w:r>
      <w:r>
        <w:t>清洁，</w:t>
      </w:r>
      <w:r>
        <w:rPr>
          <w:rFonts w:hint="eastAsia"/>
        </w:rPr>
        <w:t>同时定期对施工运输路面进行洒水抑尘，采取以上措施后</w:t>
      </w:r>
      <w:r>
        <w:t>可有效减缓施工扬尘</w:t>
      </w:r>
      <w:r>
        <w:rPr>
          <w:rFonts w:hint="eastAsia"/>
        </w:rPr>
        <w:t>，且本项目弃土运输量较少，产生的弃土全部拉运至厂区</w:t>
      </w:r>
      <w:r>
        <w:t>饲草种植</w:t>
      </w:r>
      <w:r>
        <w:rPr>
          <w:rFonts w:hint="eastAsia"/>
        </w:rPr>
        <w:t>区进行</w:t>
      </w:r>
      <w:r>
        <w:t>覆土</w:t>
      </w:r>
      <w:r>
        <w:rPr>
          <w:rFonts w:hint="eastAsia"/>
        </w:rPr>
        <w:t>，基本不会对厂区外环境造成影响，</w:t>
      </w:r>
      <w:r>
        <w:t>同时道路扬尘随着施工的结束，其对环境的影响也随之结束。</w:t>
      </w:r>
      <w:r>
        <w:rPr>
          <w:rFonts w:hint="eastAsia"/>
        </w:rPr>
        <w:t>因此，施工期道路扬尘对周边环境影响较小，是可以接受的。</w:t>
      </w:r>
    </w:p>
    <w:p>
      <w:pPr>
        <w:ind w:firstLine="482"/>
        <w:rPr>
          <w:b/>
          <w:bCs/>
        </w:rPr>
      </w:pPr>
      <w:r>
        <w:rPr>
          <w:rFonts w:hint="eastAsia"/>
          <w:b/>
          <w:bCs/>
        </w:rPr>
        <w:t>（3）</w:t>
      </w:r>
      <w:r>
        <w:rPr>
          <w:b/>
          <w:bCs/>
        </w:rPr>
        <w:t>机械尾气</w:t>
      </w:r>
    </w:p>
    <w:p>
      <w:pPr>
        <w:ind w:firstLine="480"/>
        <w:rPr>
          <w:color w:val="FF0000"/>
        </w:rPr>
      </w:pPr>
      <w:r>
        <w:t>施工作业机械如挖掘机、装载机和运输车辆会排放尾气，施工作业机械和运输车辆均以柴油作为动力源，施工作业机械和运输车辆产生的尾气主要污染物为CO、HC、NOx等。废气对环境空气造成的影响大小取决于排放量和气候条件，影响面主要集中在施工场地100～150m范围内。但只要加强施工机械及运输车辆的日常保养与维护，将不会造成明显的环境空气质量影响，并且其影响是局部和间断的。</w:t>
      </w:r>
    </w:p>
    <w:p>
      <w:pPr>
        <w:adjustRightInd w:val="0"/>
        <w:snapToGrid w:val="0"/>
        <w:spacing w:line="500" w:lineRule="exact"/>
        <w:ind w:firstLine="482"/>
        <w:rPr>
          <w:b/>
          <w:bCs/>
          <w:snapToGrid w:val="0"/>
          <w:kern w:val="0"/>
        </w:rPr>
      </w:pPr>
      <w:r>
        <w:rPr>
          <w:rFonts w:hint="eastAsia"/>
          <w:b/>
          <w:bCs/>
          <w:snapToGrid w:val="0"/>
          <w:kern w:val="0"/>
        </w:rPr>
        <w:t>（4）焊接烟尘</w:t>
      </w:r>
    </w:p>
    <w:p>
      <w:pPr>
        <w:adjustRightInd w:val="0"/>
        <w:snapToGrid w:val="0"/>
        <w:spacing w:line="500" w:lineRule="exact"/>
        <w:ind w:firstLine="480"/>
        <w:rPr>
          <w:snapToGrid w:val="0"/>
          <w:kern w:val="0"/>
        </w:rPr>
      </w:pPr>
      <w:r>
        <w:rPr>
          <w:rFonts w:hint="eastAsia"/>
        </w:rPr>
        <w:t>本项目在综合生产厂房搭建、管道连接等作业过程中均使用焊接，在焊接过程中将有一部分焊接烟气产生。焊接烟气成分大致分为尘粒和气体两类。其中焊接烟气中的气体的成份主要为</w:t>
      </w:r>
      <w:r>
        <w:t>CO、NOx和金属氧化物，其中以CO所占的比例最大。</w:t>
      </w:r>
      <w:r>
        <w:rPr>
          <w:rFonts w:hint="eastAsia"/>
        </w:rPr>
        <w:t>由于本项目焊接量较小，废气量较少，且施工现场位于较开阔地段，有利于空气的扩散，同时焊接废气污染源具有间歇性和流动性，对大气环境影响较小。</w:t>
      </w:r>
    </w:p>
    <w:p>
      <w:pPr>
        <w:adjustRightInd w:val="0"/>
        <w:snapToGrid w:val="0"/>
        <w:spacing w:line="500" w:lineRule="exact"/>
        <w:ind w:firstLine="482"/>
        <w:rPr>
          <w:b/>
          <w:bCs/>
          <w:snapToGrid w:val="0"/>
          <w:kern w:val="0"/>
        </w:rPr>
      </w:pPr>
      <w:r>
        <w:rPr>
          <w:rFonts w:hint="eastAsia"/>
          <w:b/>
          <w:bCs/>
          <w:snapToGrid w:val="0"/>
          <w:kern w:val="0"/>
        </w:rPr>
        <w:t>（5）装修废气</w:t>
      </w:r>
    </w:p>
    <w:p>
      <w:pPr>
        <w:adjustRightInd w:val="0"/>
        <w:snapToGrid w:val="0"/>
        <w:spacing w:line="500" w:lineRule="exact"/>
        <w:ind w:firstLine="480"/>
        <w:rPr>
          <w:snapToGrid w:val="0"/>
          <w:kern w:val="0"/>
        </w:rPr>
      </w:pPr>
      <w:r>
        <w:rPr>
          <w:rFonts w:hint="eastAsia"/>
        </w:rPr>
        <w:t>装修废气主要来自于地面涂覆环氧树脂漆（水性）过程中会挥发有机废气，该废气的排放属无组织排放，其主要污染因子为二甲苯和甲苯，此外还有极少量的丁醇、丙醇等。由于水性环氧树脂漆用水作为稀释剂，替代了有机溶剂，减少了溶剂的使用，从而减少了使用过程中挥发性有机废气的排放，因此在使用过程中有机废气挥发量较少，产生量较少，废气浓度极小，对周边环境影响是可以接受的。</w:t>
      </w:r>
    </w:p>
    <w:p>
      <w:pPr>
        <w:pStyle w:val="6"/>
        <w:ind w:firstLine="482"/>
      </w:pPr>
      <w:bookmarkStart w:id="669" w:name="_Toc466420385"/>
      <w:bookmarkStart w:id="670" w:name="_Toc13774_WPSOffice_Level2"/>
      <w:bookmarkStart w:id="671" w:name="_Toc356923187"/>
      <w:bookmarkStart w:id="672" w:name="_Toc332618922"/>
      <w:bookmarkStart w:id="673" w:name="_Toc10482"/>
      <w:bookmarkStart w:id="674" w:name="_Toc10836_WPSOffice_Level2"/>
      <w:bookmarkStart w:id="675" w:name="_Toc343180133"/>
      <w:bookmarkStart w:id="676" w:name="_Toc844"/>
      <w:bookmarkStart w:id="677" w:name="_Toc345167399"/>
      <w:bookmarkStart w:id="678" w:name="_Toc28581"/>
      <w:bookmarkStart w:id="679" w:name="_Toc332573470"/>
      <w:r>
        <w:rPr>
          <w:rFonts w:hint="eastAsia"/>
          <w:lang w:val="en-US" w:eastAsia="zh-CN"/>
        </w:rPr>
        <w:t>5</w:t>
      </w:r>
      <w:r>
        <w:t>.1.2</w:t>
      </w:r>
      <w:r>
        <w:rPr>
          <w:rFonts w:hint="eastAsia"/>
        </w:rPr>
        <w:t>、</w:t>
      </w:r>
      <w:r>
        <w:t>施工期废水排放影响分析</w:t>
      </w:r>
      <w:bookmarkEnd w:id="669"/>
      <w:bookmarkEnd w:id="670"/>
      <w:bookmarkEnd w:id="671"/>
      <w:bookmarkEnd w:id="672"/>
      <w:bookmarkEnd w:id="673"/>
      <w:bookmarkEnd w:id="674"/>
      <w:bookmarkEnd w:id="675"/>
      <w:bookmarkEnd w:id="676"/>
      <w:bookmarkEnd w:id="677"/>
      <w:bookmarkEnd w:id="678"/>
      <w:bookmarkEnd w:id="679"/>
    </w:p>
    <w:p>
      <w:pPr>
        <w:ind w:firstLine="480"/>
      </w:pPr>
      <w:r>
        <w:t>项目建设施工过程的废水为</w:t>
      </w:r>
      <w:r>
        <w:rPr>
          <w:rFonts w:hint="eastAsia"/>
        </w:rPr>
        <w:t>砼养护废水</w:t>
      </w:r>
      <w:r>
        <w:t>和生活废水。</w:t>
      </w:r>
    </w:p>
    <w:p>
      <w:pPr>
        <w:ind w:firstLine="482"/>
      </w:pPr>
      <w:r>
        <w:rPr>
          <w:rFonts w:hint="eastAsia"/>
          <w:b/>
          <w:bCs/>
        </w:rPr>
        <w:t>（1）</w:t>
      </w:r>
      <w:r>
        <w:rPr>
          <w:b/>
          <w:bCs/>
        </w:rPr>
        <w:t>砼养护废水</w:t>
      </w:r>
    </w:p>
    <w:p>
      <w:pPr>
        <w:ind w:firstLine="480"/>
      </w:pPr>
      <w:r>
        <w:t>砼养护废水</w:t>
      </w:r>
      <w:r>
        <w:rPr>
          <w:rFonts w:hint="eastAsia"/>
        </w:rPr>
        <w:t>污染因子比较简单，主要以SS为主，同时由于本项目养护面积及数量较少，</w:t>
      </w:r>
      <w:r>
        <w:t>砼养护废水</w:t>
      </w:r>
      <w:r>
        <w:rPr>
          <w:rFonts w:hint="eastAsia"/>
        </w:rPr>
        <w:t>的产生量约为0.1m</w:t>
      </w:r>
      <w:r>
        <w:rPr>
          <w:rFonts w:hint="eastAsia"/>
          <w:vertAlign w:val="superscript"/>
        </w:rPr>
        <w:t>3</w:t>
      </w:r>
      <w:r>
        <w:rPr>
          <w:rFonts w:hint="eastAsia"/>
        </w:rPr>
        <w:t>/d。</w:t>
      </w:r>
      <w:r>
        <w:t>砼养护废水</w:t>
      </w:r>
      <w:r>
        <w:rPr>
          <w:rFonts w:hint="eastAsia"/>
        </w:rPr>
        <w:t>全部自然蒸发消减，不外排，不会对周边水环境造成较大的影响。</w:t>
      </w:r>
    </w:p>
    <w:p>
      <w:pPr>
        <w:ind w:firstLine="482"/>
        <w:rPr>
          <w:b/>
          <w:bCs/>
        </w:rPr>
      </w:pPr>
      <w:r>
        <w:rPr>
          <w:rFonts w:hint="eastAsia"/>
          <w:b/>
          <w:bCs/>
        </w:rPr>
        <w:t>（2）生活污水</w:t>
      </w:r>
    </w:p>
    <w:p>
      <w:pPr>
        <w:ind w:firstLine="480"/>
      </w:pPr>
      <w:r>
        <w:t>本项目施工期生活废水主要为施工人员</w:t>
      </w:r>
      <w:r>
        <w:rPr>
          <w:rFonts w:hint="eastAsia"/>
        </w:rPr>
        <w:t>洗漱</w:t>
      </w:r>
      <w:r>
        <w:t>废水</w:t>
      </w:r>
      <w:r>
        <w:rPr>
          <w:rFonts w:hint="eastAsia"/>
        </w:rPr>
        <w:t>和餐饮废水</w:t>
      </w:r>
      <w:r>
        <w:t>。</w:t>
      </w:r>
      <w:r>
        <w:rPr>
          <w:rFonts w:hint="eastAsia"/>
        </w:rPr>
        <w:t>根据上文源强分析可知，本项目施工期生活污水产生量为518</w:t>
      </w:r>
      <w:r>
        <w:t>m</w:t>
      </w:r>
      <w:r>
        <w:rPr>
          <w:vertAlign w:val="superscript"/>
        </w:rPr>
        <w:t>3</w:t>
      </w:r>
      <w:r>
        <w:rPr>
          <w:rFonts w:hint="eastAsia"/>
        </w:rPr>
        <w:t>，施工期生活污水中的污染物主要以CODcr、BOD</w:t>
      </w:r>
      <w:r>
        <w:rPr>
          <w:rFonts w:hint="eastAsia"/>
          <w:vertAlign w:val="subscript"/>
        </w:rPr>
        <w:t>5</w:t>
      </w:r>
      <w:r>
        <w:rPr>
          <w:rFonts w:hint="eastAsia"/>
        </w:rPr>
        <w:t>、SS、NH</w:t>
      </w:r>
      <w:r>
        <w:rPr>
          <w:rFonts w:hint="eastAsia"/>
          <w:vertAlign w:val="subscript"/>
        </w:rPr>
        <w:t>3</w:t>
      </w:r>
      <w:r>
        <w:rPr>
          <w:rFonts w:hint="eastAsia"/>
        </w:rPr>
        <w:t>-N、动植物油为主</w:t>
      </w:r>
      <w:r>
        <w:t>。</w:t>
      </w:r>
      <w:r>
        <w:rPr>
          <w:rFonts w:hint="eastAsia"/>
        </w:rPr>
        <w:t>本项目施工营地利用厂区闲置房屋，</w:t>
      </w:r>
      <w:r>
        <w:t>施工期</w:t>
      </w:r>
      <w:r>
        <w:rPr>
          <w:rFonts w:hint="eastAsia"/>
        </w:rPr>
        <w:t>产生的</w:t>
      </w:r>
      <w:r>
        <w:t>生活</w:t>
      </w:r>
      <w:r>
        <w:rPr>
          <w:rFonts w:hint="eastAsia"/>
        </w:rPr>
        <w:t>污水全部经厂区污水管网收集后排入厂区污水处理站处理，经达标处理后后用于饲草区灌溉。</w:t>
      </w:r>
    </w:p>
    <w:p>
      <w:pPr>
        <w:ind w:firstLine="480"/>
      </w:pPr>
      <w:r>
        <w:rPr>
          <w:rFonts w:hint="eastAsia"/>
        </w:rPr>
        <w:t>综上所述，本项目施工期施工废水都得到了合理的处置，对周边水环境造成影响是可以接受的。</w:t>
      </w:r>
    </w:p>
    <w:p>
      <w:pPr>
        <w:pStyle w:val="6"/>
        <w:ind w:firstLine="482"/>
      </w:pPr>
      <w:bookmarkStart w:id="680" w:name="_Toc30599"/>
      <w:bookmarkStart w:id="681" w:name="_Toc7663"/>
      <w:bookmarkStart w:id="682" w:name="_Toc10660_WPSOffice_Level2"/>
      <w:bookmarkStart w:id="683" w:name="_Toc1363_WPSOffice_Level2"/>
      <w:bookmarkStart w:id="684" w:name="_Toc23408"/>
      <w:r>
        <w:rPr>
          <w:rFonts w:hint="eastAsia"/>
          <w:lang w:val="en-US" w:eastAsia="zh-CN"/>
        </w:rPr>
        <w:t>5</w:t>
      </w:r>
      <w:r>
        <w:t>.1.3</w:t>
      </w:r>
      <w:r>
        <w:rPr>
          <w:rFonts w:hint="eastAsia"/>
        </w:rPr>
        <w:t>、</w:t>
      </w:r>
      <w:r>
        <w:t>施工期噪声排放影响分析</w:t>
      </w:r>
      <w:bookmarkEnd w:id="680"/>
      <w:bookmarkEnd w:id="681"/>
      <w:bookmarkEnd w:id="682"/>
      <w:bookmarkEnd w:id="683"/>
      <w:bookmarkEnd w:id="684"/>
    </w:p>
    <w:p>
      <w:pPr>
        <w:ind w:firstLine="482"/>
        <w:rPr>
          <w:b/>
          <w:bCs/>
        </w:rPr>
      </w:pPr>
      <w:r>
        <w:rPr>
          <w:b/>
          <w:bCs/>
        </w:rPr>
        <w:t>（1）噪声源</w:t>
      </w:r>
    </w:p>
    <w:p>
      <w:pPr>
        <w:ind w:firstLine="480"/>
      </w:pPr>
      <w:r>
        <w:t>本工程施工过程主要为施工各阶段各类机械设备噪声、物料运输的交通噪声及后期装修工程的噪声。主要施工机</w:t>
      </w:r>
      <w:r>
        <w:rPr>
          <w:rFonts w:hint="eastAsia"/>
        </w:rPr>
        <w:t>噪声源强按照《环境噪声与振动控制工程技术导则》（</w:t>
      </w:r>
      <w:r>
        <w:t>HJ2034-2013</w:t>
      </w:r>
      <w:r>
        <w:rPr>
          <w:rFonts w:hint="eastAsia"/>
        </w:rPr>
        <w:t>）中</w:t>
      </w:r>
      <w:r>
        <w:t>给出的声压级范围取平均值</w:t>
      </w:r>
      <w:r>
        <w:rPr>
          <w:rFonts w:hint="eastAsia"/>
        </w:rPr>
        <w:t>，具体情况详见下表。</w:t>
      </w:r>
    </w:p>
    <w:p>
      <w:pPr>
        <w:spacing w:line="240" w:lineRule="auto"/>
        <w:ind w:firstLine="482"/>
        <w:jc w:val="center"/>
        <w:rPr>
          <w:rFonts w:eastAsiaTheme="minorEastAsia"/>
          <w:b/>
          <w:bCs/>
          <w:color w:val="000000" w:themeColor="text1"/>
          <w14:textFill>
            <w14:solidFill>
              <w14:schemeClr w14:val="tx1"/>
            </w14:solidFill>
          </w14:textFill>
        </w:rPr>
      </w:pPr>
      <w:r>
        <w:rPr>
          <w:rFonts w:eastAsiaTheme="minorEastAsia"/>
          <w:b/>
          <w:bCs/>
          <w:color w:val="000000" w:themeColor="text1"/>
          <w14:textFill>
            <w14:solidFill>
              <w14:schemeClr w14:val="tx1"/>
            </w14:solidFill>
          </w14:textFill>
        </w:rPr>
        <w:t>表</w:t>
      </w:r>
      <w:r>
        <w:rPr>
          <w:rFonts w:hint="eastAsia" w:eastAsiaTheme="minorEastAsia"/>
          <w:b/>
          <w:bCs/>
          <w:color w:val="000000" w:themeColor="text1"/>
          <w:lang w:val="en-US" w:eastAsia="zh-CN"/>
          <w14:textFill>
            <w14:solidFill>
              <w14:schemeClr w14:val="tx1"/>
            </w14:solidFill>
          </w14:textFill>
        </w:rPr>
        <w:t>5</w:t>
      </w:r>
      <w:r>
        <w:rPr>
          <w:rFonts w:hint="eastAsia" w:eastAsiaTheme="minorEastAsia"/>
          <w:b/>
          <w:bCs/>
          <w:color w:val="000000" w:themeColor="text1"/>
          <w14:textFill>
            <w14:solidFill>
              <w14:schemeClr w14:val="tx1"/>
            </w14:solidFill>
          </w14:textFill>
        </w:rPr>
        <w:t>.1</w:t>
      </w:r>
      <w:r>
        <w:rPr>
          <w:rFonts w:eastAsiaTheme="minorEastAsia"/>
          <w:b/>
          <w:bCs/>
          <w:color w:val="000000" w:themeColor="text1"/>
          <w14:textFill>
            <w14:solidFill>
              <w14:schemeClr w14:val="tx1"/>
            </w14:solidFill>
          </w14:textFill>
        </w:rPr>
        <w:t xml:space="preserve">    </w:t>
      </w:r>
      <w:r>
        <w:rPr>
          <w:b/>
          <w:bCs/>
          <w:color w:val="000000" w:themeColor="text1"/>
          <w14:textFill>
            <w14:solidFill>
              <w14:schemeClr w14:val="tx1"/>
            </w14:solidFill>
          </w14:textFill>
        </w:rPr>
        <w:t>施工期主要噪声源源强一览表</w:t>
      </w:r>
      <w:r>
        <w:rPr>
          <w:rFonts w:eastAsiaTheme="minorEastAsia"/>
          <w:b/>
          <w:bCs/>
          <w:color w:val="000000" w:themeColor="text1"/>
          <w14:textFill>
            <w14:solidFill>
              <w14:schemeClr w14:val="tx1"/>
            </w14:solidFill>
          </w14:textFill>
        </w:rPr>
        <w:t xml:space="preserve">  单位：dB（A）</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9"/>
        <w:gridCol w:w="2489"/>
        <w:gridCol w:w="2492"/>
        <w:gridCol w:w="2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249"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施工阶段</w:t>
            </w:r>
          </w:p>
        </w:tc>
        <w:tc>
          <w:tcPr>
            <w:tcW w:w="1249"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施工设备名称</w:t>
            </w:r>
          </w:p>
        </w:tc>
        <w:tc>
          <w:tcPr>
            <w:tcW w:w="1250"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声源</w:t>
            </w:r>
            <w:r>
              <w:rPr>
                <w:b/>
                <w:bCs/>
                <w:color w:val="000000" w:themeColor="text1"/>
                <w:sz w:val="21"/>
                <w:szCs w:val="21"/>
                <w14:textFill>
                  <w14:solidFill>
                    <w14:schemeClr w14:val="tx1"/>
                  </w14:solidFill>
                </w14:textFill>
              </w:rPr>
              <w:t>源强</w:t>
            </w:r>
          </w:p>
        </w:tc>
        <w:tc>
          <w:tcPr>
            <w:tcW w:w="1250" w:type="pct"/>
            <w:tcBorders>
              <w:tl2br w:val="nil"/>
              <w:tr2bl w:val="nil"/>
            </w:tcBorders>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排放形式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土石方阶段</w:t>
            </w:r>
          </w:p>
        </w:tc>
        <w:tc>
          <w:tcPr>
            <w:tcW w:w="124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sz w:val="21"/>
                <w:szCs w:val="21"/>
              </w:rPr>
              <w:t>挖掘机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95</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sz w:val="21"/>
                <w:szCs w:val="21"/>
              </w:rPr>
              <w:t>装载机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restar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bCs/>
                <w:sz w:val="21"/>
                <w:szCs w:val="21"/>
              </w:rPr>
              <w:t>基础与结构阶段</w:t>
            </w:r>
          </w:p>
        </w:tc>
        <w:tc>
          <w:tcPr>
            <w:tcW w:w="1249" w:type="pct"/>
            <w:tcBorders>
              <w:tl2br w:val="nil"/>
              <w:tr2bl w:val="nil"/>
            </w:tcBorders>
            <w:vAlign w:val="center"/>
          </w:tcPr>
          <w:p>
            <w:pPr>
              <w:adjustRightInd w:val="0"/>
              <w:snapToGrid w:val="0"/>
              <w:spacing w:line="240" w:lineRule="auto"/>
              <w:ind w:firstLine="0" w:firstLineChars="0"/>
              <w:jc w:val="center"/>
              <w:rPr>
                <w:bCs/>
                <w:sz w:val="21"/>
                <w:szCs w:val="21"/>
              </w:rPr>
            </w:pPr>
            <w:r>
              <w:rPr>
                <w:bCs/>
                <w:sz w:val="21"/>
                <w:szCs w:val="21"/>
              </w:rPr>
              <w:t>电焊机</w:t>
            </w:r>
          </w:p>
        </w:tc>
        <w:tc>
          <w:tcPr>
            <w:tcW w:w="1250" w:type="pct"/>
            <w:tcBorders>
              <w:tl2br w:val="nil"/>
              <w:tr2bl w:val="nil"/>
            </w:tcBorders>
            <w:vAlign w:val="center"/>
          </w:tcPr>
          <w:p>
            <w:pPr>
              <w:adjustRightInd w:val="0"/>
              <w:snapToGrid w:val="0"/>
              <w:spacing w:line="240" w:lineRule="auto"/>
              <w:ind w:firstLine="0" w:firstLineChars="0"/>
              <w:jc w:val="center"/>
              <w:rPr>
                <w:rFonts w:hint="default" w:eastAsia="宋体"/>
                <w:bCs/>
                <w:sz w:val="21"/>
                <w:szCs w:val="21"/>
                <w:lang w:val="en-US" w:eastAsia="zh-CN"/>
              </w:rPr>
            </w:pPr>
            <w:r>
              <w:rPr>
                <w:rFonts w:hint="eastAsia"/>
                <w:color w:val="000000" w:themeColor="text1"/>
                <w:sz w:val="21"/>
                <w:szCs w:val="21"/>
                <w:lang w:val="en-US" w:eastAsia="zh-CN"/>
                <w14:textFill>
                  <w14:solidFill>
                    <w14:schemeClr w14:val="tx1"/>
                  </w14:solidFill>
                </w14:textFill>
              </w:rPr>
              <w:t>90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电锯</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电锤</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空压机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80</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起重机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vMerge w:val="continue"/>
            <w:tcBorders>
              <w:tl2br w:val="nil"/>
              <w:tr2bl w:val="nil"/>
            </w:tcBorders>
            <w:vAlign w:val="center"/>
          </w:tcPr>
          <w:p>
            <w:pPr>
              <w:spacing w:line="240" w:lineRule="auto"/>
              <w:jc w:val="center"/>
              <w:rPr>
                <w:color w:val="000000" w:themeColor="text1"/>
                <w:sz w:val="21"/>
                <w:szCs w:val="21"/>
                <w14:textFill>
                  <w14:solidFill>
                    <w14:schemeClr w14:val="tx1"/>
                  </w14:solidFill>
                </w14:textFill>
              </w:rPr>
            </w:pPr>
          </w:p>
        </w:tc>
        <w:tc>
          <w:tcPr>
            <w:tcW w:w="1249" w:type="pct"/>
            <w:tcBorders>
              <w:tl2br w:val="nil"/>
              <w:tr2bl w:val="nil"/>
            </w:tcBorders>
            <w:vAlign w:val="center"/>
          </w:tcPr>
          <w:p>
            <w:pPr>
              <w:spacing w:line="240" w:lineRule="auto"/>
              <w:ind w:firstLine="0" w:firstLineChars="0"/>
              <w:jc w:val="center"/>
              <w:rPr>
                <w:sz w:val="21"/>
                <w:szCs w:val="21"/>
              </w:rPr>
            </w:pPr>
            <w:r>
              <w:rPr>
                <w:sz w:val="21"/>
                <w:szCs w:val="21"/>
              </w:rPr>
              <w:t>升降机</w:t>
            </w:r>
          </w:p>
        </w:tc>
        <w:tc>
          <w:tcPr>
            <w:tcW w:w="1250" w:type="pct"/>
            <w:tcBorders>
              <w:tl2br w:val="nil"/>
              <w:tr2bl w:val="nil"/>
            </w:tcBorders>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250" w:type="pct"/>
            <w:tcBorders>
              <w:tl2br w:val="nil"/>
              <w:tr2bl w:val="nil"/>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间歇性</w:t>
            </w:r>
          </w:p>
        </w:tc>
      </w:tr>
    </w:tbl>
    <w:p>
      <w:pPr>
        <w:ind w:firstLine="482"/>
        <w:rPr>
          <w:b/>
          <w:bCs/>
        </w:rPr>
      </w:pPr>
      <w:r>
        <w:rPr>
          <w:b/>
          <w:bCs/>
        </w:rPr>
        <w:t>（2）噪声预测</w:t>
      </w:r>
    </w:p>
    <w:p>
      <w:pPr>
        <w:ind w:firstLine="496"/>
      </w:pPr>
      <w:r>
        <w:rPr>
          <w:spacing w:val="4"/>
        </w:rPr>
        <w:t>根据《环境影响评价技术导则 声环境》（HJ2.4—2021），施工期机械设备噪声源可近似为点源，根据点源声衰减模式，计算施工期离声源不同距离处的噪声</w:t>
      </w:r>
      <w:r>
        <w:rPr>
          <w:rFonts w:hint="eastAsia"/>
          <w:spacing w:val="4"/>
        </w:rPr>
        <w:t>贡献</w:t>
      </w:r>
      <w:r>
        <w:rPr>
          <w:spacing w:val="4"/>
        </w:rPr>
        <w:t>值，预测模式如下：</w:t>
      </w:r>
    </w:p>
    <w:p>
      <w:pPr>
        <w:pStyle w:val="2"/>
        <w:jc w:val="center"/>
        <w:rPr>
          <w:color w:val="auto"/>
        </w:rPr>
      </w:pPr>
      <w:r>
        <w:rPr>
          <w:color w:val="auto"/>
        </w:rPr>
        <w:object>
          <v:shape id="_x0000_i1046" o:spt="75" type="#_x0000_t75" style="height:37.8pt;width:123.05pt;" o:ole="t" filled="f" o:preferrelative="t" stroked="f" coordsize="21600,21600">
            <v:path/>
            <v:fill on="f" focussize="0,0"/>
            <v:stroke on="f" joinstyle="miter"/>
            <v:imagedata r:id="rId63" o:title=""/>
            <o:lock v:ext="edit" aspectratio="t"/>
            <w10:wrap type="none"/>
            <w10:anchorlock/>
          </v:shape>
          <o:OLEObject Type="Embed" ProgID="Equation.KSEE3" ShapeID="_x0000_i1046" DrawAspect="Content" ObjectID="_1468075746" r:id="rId62">
            <o:LockedField>false</o:LockedField>
          </o:OLEObject>
        </w:object>
      </w:r>
    </w:p>
    <w:p>
      <w:pPr>
        <w:ind w:firstLine="480"/>
      </w:pPr>
      <w:r>
        <w:t>式中：L</w:t>
      </w:r>
      <w:r>
        <w:rPr>
          <w:vertAlign w:val="subscript"/>
        </w:rPr>
        <w:t>p</w:t>
      </w:r>
      <w:r>
        <w:rPr>
          <w:rFonts w:hint="eastAsia"/>
        </w:rPr>
        <w:t>（r）</w:t>
      </w:r>
      <w:r>
        <w:t>―</w:t>
      </w:r>
      <w:r>
        <w:rPr>
          <w:rFonts w:hint="eastAsia"/>
        </w:rPr>
        <w:t>预测点处声压级，</w:t>
      </w:r>
      <w:r>
        <w:t>dB；</w:t>
      </w:r>
    </w:p>
    <w:p>
      <w:pPr>
        <w:ind w:firstLine="480"/>
      </w:pPr>
      <w:r>
        <w:t xml:space="preserve">      L</w:t>
      </w:r>
      <w:r>
        <w:rPr>
          <w:vertAlign w:val="subscript"/>
        </w:rPr>
        <w:t>p</w:t>
      </w:r>
      <w:r>
        <w:rPr>
          <w:rFonts w:hint="eastAsia"/>
        </w:rPr>
        <w:t>（r</w:t>
      </w:r>
      <w:r>
        <w:rPr>
          <w:rFonts w:hint="eastAsia"/>
          <w:vertAlign w:val="subscript"/>
        </w:rPr>
        <w:t>0</w:t>
      </w:r>
      <w:r>
        <w:rPr>
          <w:rFonts w:hint="eastAsia"/>
        </w:rPr>
        <w:t>）</w:t>
      </w:r>
      <w:r>
        <w:t>―</w:t>
      </w:r>
      <w:r>
        <w:rPr>
          <w:rFonts w:hint="eastAsia"/>
        </w:rPr>
        <w:t>参考位置</w:t>
      </w:r>
      <w:r>
        <w:t>r</w:t>
      </w:r>
      <w:r>
        <w:rPr>
          <w:vertAlign w:val="subscript"/>
        </w:rPr>
        <w:t>0</w:t>
      </w:r>
      <w:r>
        <w:rPr>
          <w:rFonts w:hint="eastAsia"/>
        </w:rPr>
        <w:t>处的声压级，</w:t>
      </w:r>
      <w:r>
        <w:t>dB；</w:t>
      </w:r>
    </w:p>
    <w:p>
      <w:pPr>
        <w:ind w:firstLine="480"/>
      </w:pPr>
      <w:r>
        <w:t xml:space="preserve">      r―</w:t>
      </w:r>
      <w:r>
        <w:rPr>
          <w:rFonts w:hint="eastAsia"/>
        </w:rPr>
        <w:t>预测点距声源的距离</w:t>
      </w:r>
      <w:r>
        <w:t>；</w:t>
      </w:r>
    </w:p>
    <w:p>
      <w:pPr>
        <w:ind w:firstLine="480"/>
      </w:pPr>
      <w:r>
        <w:t xml:space="preserve">      r</w:t>
      </w:r>
      <w:r>
        <w:rPr>
          <w:vertAlign w:val="subscript"/>
        </w:rPr>
        <w:t>0</w:t>
      </w:r>
      <w:r>
        <w:t>―</w:t>
      </w:r>
      <w:r>
        <w:rPr>
          <w:rFonts w:hint="eastAsia"/>
        </w:rPr>
        <w:t>参考位置距声源的距离</w:t>
      </w:r>
      <w:r>
        <w:t>。</w:t>
      </w:r>
    </w:p>
    <w:p>
      <w:pPr>
        <w:ind w:firstLine="480"/>
      </w:pPr>
      <w:r>
        <w:rPr>
          <w:rFonts w:hint="eastAsia"/>
        </w:rPr>
        <w:t>经预测，</w:t>
      </w:r>
      <w:r>
        <w:t>主要施工设备噪声距离衰减情况见表</w:t>
      </w:r>
      <w:r>
        <w:rPr>
          <w:rFonts w:hint="eastAsia"/>
          <w:lang w:val="en-US" w:eastAsia="zh-CN"/>
        </w:rPr>
        <w:t>5</w:t>
      </w:r>
      <w:r>
        <w:rPr>
          <w:rFonts w:hint="eastAsia"/>
        </w:rPr>
        <w:t>.2</w:t>
      </w:r>
      <w:r>
        <w:t>。</w:t>
      </w:r>
    </w:p>
    <w:p>
      <w:pPr>
        <w:spacing w:line="240" w:lineRule="auto"/>
        <w:ind w:firstLine="498"/>
        <w:jc w:val="center"/>
        <w:rPr>
          <w:b/>
          <w:bCs/>
          <w:spacing w:val="4"/>
        </w:rPr>
      </w:pPr>
      <w:r>
        <w:rPr>
          <w:b/>
          <w:bCs/>
          <w:spacing w:val="4"/>
        </w:rPr>
        <w:t>表</w:t>
      </w:r>
      <w:r>
        <w:rPr>
          <w:rFonts w:hint="eastAsia"/>
          <w:b/>
          <w:bCs/>
          <w:spacing w:val="4"/>
          <w:lang w:val="en-US" w:eastAsia="zh-CN"/>
        </w:rPr>
        <w:t>5</w:t>
      </w:r>
      <w:r>
        <w:rPr>
          <w:rFonts w:hint="eastAsia"/>
          <w:b/>
          <w:bCs/>
          <w:spacing w:val="4"/>
        </w:rPr>
        <w:t>.2</w:t>
      </w:r>
      <w:r>
        <w:rPr>
          <w:b/>
          <w:bCs/>
          <w:spacing w:val="4"/>
        </w:rPr>
        <w:t xml:space="preserve">    施工机械噪声衰减距离</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2080"/>
        <w:gridCol w:w="1207"/>
        <w:gridCol w:w="928"/>
        <w:gridCol w:w="854"/>
        <w:gridCol w:w="897"/>
        <w:gridCol w:w="864"/>
        <w:gridCol w:w="835"/>
        <w:gridCol w:w="854"/>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Merge w:val="restar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序号</w:t>
            </w:r>
          </w:p>
        </w:tc>
        <w:tc>
          <w:tcPr>
            <w:tcW w:w="1044" w:type="pct"/>
            <w:vMerge w:val="restar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机械类型</w:t>
            </w:r>
          </w:p>
        </w:tc>
        <w:tc>
          <w:tcPr>
            <w:tcW w:w="3701" w:type="pct"/>
            <w:gridSpan w:val="8"/>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噪声贡献值（dB(A)）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vMerge w:val="continue"/>
            <w:tcBorders>
              <w:tl2br w:val="nil"/>
              <w:tr2bl w:val="nil"/>
            </w:tcBorders>
            <w:vAlign w:val="center"/>
          </w:tcPr>
          <w:p>
            <w:pPr>
              <w:spacing w:line="240" w:lineRule="auto"/>
              <w:ind w:firstLine="0" w:firstLineChars="0"/>
              <w:jc w:val="center"/>
              <w:rPr>
                <w:spacing w:val="4"/>
                <w:sz w:val="21"/>
                <w:szCs w:val="21"/>
              </w:rPr>
            </w:pPr>
          </w:p>
        </w:tc>
        <w:tc>
          <w:tcPr>
            <w:tcW w:w="1044" w:type="pct"/>
            <w:vMerge w:val="continue"/>
            <w:tcBorders>
              <w:tl2br w:val="nil"/>
              <w:tr2bl w:val="nil"/>
            </w:tcBorders>
            <w:vAlign w:val="center"/>
          </w:tcPr>
          <w:p>
            <w:pPr>
              <w:spacing w:line="240" w:lineRule="auto"/>
              <w:ind w:firstLine="0" w:firstLineChars="0"/>
              <w:jc w:val="center"/>
              <w:rPr>
                <w:spacing w:val="4"/>
                <w:sz w:val="21"/>
                <w:szCs w:val="21"/>
              </w:rPr>
            </w:pPr>
          </w:p>
        </w:tc>
        <w:tc>
          <w:tcPr>
            <w:tcW w:w="606"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5m</w:t>
            </w:r>
          </w:p>
        </w:tc>
        <w:tc>
          <w:tcPr>
            <w:tcW w:w="466"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10m</w:t>
            </w:r>
          </w:p>
        </w:tc>
        <w:tc>
          <w:tcPr>
            <w:tcW w:w="429"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20m</w:t>
            </w:r>
          </w:p>
        </w:tc>
        <w:tc>
          <w:tcPr>
            <w:tcW w:w="450"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40m</w:t>
            </w:r>
          </w:p>
        </w:tc>
        <w:tc>
          <w:tcPr>
            <w:tcW w:w="434"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50m</w:t>
            </w:r>
          </w:p>
        </w:tc>
        <w:tc>
          <w:tcPr>
            <w:tcW w:w="419" w:type="pct"/>
            <w:tcBorders>
              <w:tl2br w:val="nil"/>
              <w:tr2bl w:val="nil"/>
            </w:tcBorders>
            <w:vAlign w:val="center"/>
          </w:tcPr>
          <w:p>
            <w:pPr>
              <w:spacing w:line="240" w:lineRule="auto"/>
              <w:ind w:firstLine="0" w:firstLineChars="0"/>
              <w:jc w:val="center"/>
              <w:rPr>
                <w:b/>
                <w:bCs/>
                <w:spacing w:val="4"/>
                <w:sz w:val="21"/>
                <w:szCs w:val="21"/>
              </w:rPr>
            </w:pPr>
            <w:r>
              <w:rPr>
                <w:rFonts w:hint="eastAsia"/>
                <w:b/>
                <w:bCs/>
                <w:spacing w:val="4"/>
                <w:sz w:val="21"/>
                <w:szCs w:val="21"/>
              </w:rPr>
              <w:t>60m</w:t>
            </w:r>
          </w:p>
        </w:tc>
        <w:tc>
          <w:tcPr>
            <w:tcW w:w="429"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100m</w:t>
            </w:r>
          </w:p>
        </w:tc>
        <w:tc>
          <w:tcPr>
            <w:tcW w:w="464" w:type="pct"/>
            <w:tcBorders>
              <w:tl2br w:val="nil"/>
              <w:tr2bl w:val="nil"/>
            </w:tcBorders>
            <w:vAlign w:val="center"/>
          </w:tcPr>
          <w:p>
            <w:pPr>
              <w:spacing w:line="240" w:lineRule="auto"/>
              <w:ind w:firstLine="0" w:firstLineChars="0"/>
              <w:jc w:val="center"/>
              <w:rPr>
                <w:b/>
                <w:bCs/>
                <w:spacing w:val="4"/>
                <w:sz w:val="21"/>
                <w:szCs w:val="21"/>
              </w:rPr>
            </w:pPr>
            <w:r>
              <w:rPr>
                <w:b/>
                <w:bCs/>
                <w:spacing w:val="4"/>
                <w:sz w:val="21"/>
                <w:szCs w:val="21"/>
              </w:rPr>
              <w:t>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1</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挖掘机</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86</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80</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w:t>
            </w:r>
            <w:r>
              <w:rPr>
                <w:rFonts w:hint="eastAsia"/>
                <w:spacing w:val="4"/>
                <w:sz w:val="21"/>
                <w:szCs w:val="21"/>
              </w:rPr>
              <w:t>4</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8</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66</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64</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60</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r>
              <w:rPr>
                <w:rFonts w:hint="eastAsia"/>
                <w:spacing w:val="4"/>
                <w:sz w:val="21"/>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2</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装载机</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81</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75</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9</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3</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61</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59</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55</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4</w:t>
            </w:r>
            <w:r>
              <w:rPr>
                <w:rFonts w:hint="eastAsia"/>
                <w:spacing w:val="4"/>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3</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电焊机</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81</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75</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9</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3</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61</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59</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55</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4</w:t>
            </w:r>
            <w:r>
              <w:rPr>
                <w:rFonts w:hint="eastAsia"/>
                <w:spacing w:val="4"/>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4</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电锯</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91</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85</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w:t>
            </w:r>
            <w:r>
              <w:rPr>
                <w:rFonts w:hint="eastAsia"/>
                <w:spacing w:val="4"/>
                <w:sz w:val="21"/>
                <w:szCs w:val="21"/>
              </w:rPr>
              <w:t>9</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w:t>
            </w:r>
            <w:r>
              <w:rPr>
                <w:rFonts w:hint="eastAsia"/>
                <w:spacing w:val="4"/>
                <w:sz w:val="21"/>
                <w:szCs w:val="21"/>
              </w:rPr>
              <w:t>3</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71</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69</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65</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r>
              <w:rPr>
                <w:rFonts w:hint="eastAsia"/>
                <w:spacing w:val="4"/>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电锤</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91</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85</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w:t>
            </w:r>
            <w:r>
              <w:rPr>
                <w:rFonts w:hint="eastAsia"/>
                <w:spacing w:val="4"/>
                <w:sz w:val="21"/>
                <w:szCs w:val="21"/>
              </w:rPr>
              <w:t>9</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w:t>
            </w:r>
            <w:r>
              <w:rPr>
                <w:rFonts w:hint="eastAsia"/>
                <w:spacing w:val="4"/>
                <w:sz w:val="21"/>
                <w:szCs w:val="21"/>
              </w:rPr>
              <w:t>3</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71</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69</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65</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r>
              <w:rPr>
                <w:rFonts w:hint="eastAsia"/>
                <w:spacing w:val="4"/>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空压机</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71</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65</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r>
              <w:rPr>
                <w:rFonts w:hint="eastAsia"/>
                <w:spacing w:val="4"/>
                <w:sz w:val="21"/>
                <w:szCs w:val="21"/>
              </w:rPr>
              <w:t>9</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r>
              <w:rPr>
                <w:rFonts w:hint="eastAsia"/>
                <w:spacing w:val="4"/>
                <w:sz w:val="21"/>
                <w:szCs w:val="21"/>
              </w:rPr>
              <w:t>3</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51</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49</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45</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3</w:t>
            </w:r>
            <w:r>
              <w:rPr>
                <w:rFonts w:hint="eastAsia"/>
                <w:spacing w:val="4"/>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起重机</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81</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75</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9</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3</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61</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59</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55</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4</w:t>
            </w:r>
            <w:r>
              <w:rPr>
                <w:rFonts w:hint="eastAsia"/>
                <w:spacing w:val="4"/>
                <w:sz w:val="21"/>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8</w:t>
            </w:r>
          </w:p>
        </w:tc>
        <w:tc>
          <w:tcPr>
            <w:tcW w:w="104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升降机</w:t>
            </w:r>
          </w:p>
        </w:tc>
        <w:tc>
          <w:tcPr>
            <w:tcW w:w="60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76</w:t>
            </w:r>
          </w:p>
        </w:tc>
        <w:tc>
          <w:tcPr>
            <w:tcW w:w="466"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70</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6</w:t>
            </w:r>
            <w:r>
              <w:rPr>
                <w:rFonts w:hint="eastAsia"/>
                <w:spacing w:val="4"/>
                <w:sz w:val="21"/>
                <w:szCs w:val="21"/>
              </w:rPr>
              <w:t>4</w:t>
            </w:r>
          </w:p>
        </w:tc>
        <w:tc>
          <w:tcPr>
            <w:tcW w:w="450"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w:t>
            </w:r>
            <w:r>
              <w:rPr>
                <w:rFonts w:hint="eastAsia"/>
                <w:spacing w:val="4"/>
                <w:sz w:val="21"/>
                <w:szCs w:val="21"/>
              </w:rPr>
              <w:t>8</w:t>
            </w:r>
          </w:p>
        </w:tc>
        <w:tc>
          <w:tcPr>
            <w:tcW w:w="43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56</w:t>
            </w:r>
          </w:p>
        </w:tc>
        <w:tc>
          <w:tcPr>
            <w:tcW w:w="419" w:type="pct"/>
            <w:tcBorders>
              <w:tl2br w:val="nil"/>
              <w:tr2bl w:val="nil"/>
            </w:tcBorders>
            <w:vAlign w:val="center"/>
          </w:tcPr>
          <w:p>
            <w:pPr>
              <w:spacing w:line="240" w:lineRule="auto"/>
              <w:ind w:firstLine="0" w:firstLineChars="0"/>
              <w:jc w:val="center"/>
              <w:rPr>
                <w:spacing w:val="4"/>
                <w:sz w:val="21"/>
                <w:szCs w:val="21"/>
              </w:rPr>
            </w:pPr>
            <w:r>
              <w:rPr>
                <w:rFonts w:hint="eastAsia"/>
                <w:spacing w:val="4"/>
                <w:sz w:val="21"/>
                <w:szCs w:val="21"/>
              </w:rPr>
              <w:t>54</w:t>
            </w:r>
          </w:p>
        </w:tc>
        <w:tc>
          <w:tcPr>
            <w:tcW w:w="429"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50</w:t>
            </w:r>
          </w:p>
        </w:tc>
        <w:tc>
          <w:tcPr>
            <w:tcW w:w="464" w:type="pct"/>
            <w:tcBorders>
              <w:tl2br w:val="nil"/>
              <w:tr2bl w:val="nil"/>
            </w:tcBorders>
            <w:vAlign w:val="center"/>
          </w:tcPr>
          <w:p>
            <w:pPr>
              <w:spacing w:line="240" w:lineRule="auto"/>
              <w:ind w:firstLine="0" w:firstLineChars="0"/>
              <w:jc w:val="center"/>
              <w:rPr>
                <w:spacing w:val="4"/>
                <w:sz w:val="21"/>
                <w:szCs w:val="21"/>
              </w:rPr>
            </w:pPr>
            <w:r>
              <w:rPr>
                <w:spacing w:val="4"/>
                <w:sz w:val="21"/>
                <w:szCs w:val="21"/>
              </w:rPr>
              <w:t>4</w:t>
            </w:r>
            <w:r>
              <w:rPr>
                <w:rFonts w:hint="eastAsia"/>
                <w:spacing w:val="4"/>
                <w:sz w:val="21"/>
                <w:szCs w:val="21"/>
              </w:rPr>
              <w:t>4</w:t>
            </w:r>
          </w:p>
        </w:tc>
      </w:tr>
    </w:tbl>
    <w:p>
      <w:pPr>
        <w:ind w:firstLine="480"/>
      </w:pPr>
      <w:r>
        <w:t>由预测结果可知，使用单台机械在无遮挡情况下，昼间在距施工地点</w:t>
      </w:r>
      <w:r>
        <w:rPr>
          <w:rFonts w:hint="eastAsia"/>
        </w:rPr>
        <w:t>6</w:t>
      </w:r>
      <w:r>
        <w:t>0m以外，可满足《建筑施工厂界环境噪声排放标准》（GB12523-2011）中规定的昼间标准值（即昼间70dB</w:t>
      </w:r>
      <w:r>
        <w:rPr>
          <w:rFonts w:hint="eastAsia"/>
        </w:rPr>
        <w:t>（</w:t>
      </w:r>
      <w:r>
        <w:t>A</w:t>
      </w:r>
      <w:r>
        <w:rPr>
          <w:rFonts w:hint="eastAsia"/>
        </w:rPr>
        <w:t>）</w:t>
      </w:r>
      <w:r>
        <w:t>），</w:t>
      </w:r>
      <w:r>
        <w:rPr>
          <w:rFonts w:hint="eastAsia"/>
        </w:rPr>
        <w:t>夜间不施工，因此不进行预测</w:t>
      </w:r>
      <w:r>
        <w:t>。但在施工过程中，往往是多种机械同时使用，其噪声范围会更大。</w:t>
      </w:r>
    </w:p>
    <w:p>
      <w:pPr>
        <w:ind w:firstLine="480"/>
      </w:pPr>
      <w:r>
        <w:t>为减小施工期噪声对周边声环境的影响，本项目施工期应采取如下措施：</w:t>
      </w:r>
    </w:p>
    <w:p>
      <w:pPr>
        <w:ind w:firstLine="480"/>
      </w:pPr>
      <w:r>
        <w:t>①施工单位应选用低噪声设备，同时在施工过程中应设专人对设备及机械进行维护与保养，施工人员应严格按操作规范使用各种机械；</w:t>
      </w:r>
    </w:p>
    <w:p>
      <w:pPr>
        <w:ind w:firstLine="480"/>
      </w:pPr>
      <w:r>
        <w:t>②施工车辆进出场地时减速慢行、禁止鸣笛。</w:t>
      </w:r>
    </w:p>
    <w:p>
      <w:pPr>
        <w:ind w:firstLine="480"/>
      </w:pPr>
      <w:r>
        <w:t>③</w:t>
      </w:r>
      <w:r>
        <w:rPr>
          <w:rFonts w:hint="eastAsia"/>
        </w:rPr>
        <w:t>合理安排工期，尽量避免产噪较大的设备同时运行。</w:t>
      </w:r>
    </w:p>
    <w:p>
      <w:pPr>
        <w:ind w:firstLine="480"/>
      </w:pPr>
      <w:r>
        <w:t>采取以上措施后，施工期噪声不会对周边声环境产生较大影响，且施工期噪声影响是间歇性的、短暂的，将随着施工期的结束而终止。因此，施工期对声环境的影响较小。</w:t>
      </w:r>
    </w:p>
    <w:p>
      <w:pPr>
        <w:pStyle w:val="6"/>
        <w:ind w:firstLine="482"/>
      </w:pPr>
      <w:bookmarkStart w:id="685" w:name="_Toc12744"/>
      <w:bookmarkStart w:id="686" w:name="_Toc10731"/>
      <w:bookmarkStart w:id="687" w:name="_Toc16791_WPSOffice_Level2"/>
      <w:bookmarkStart w:id="688" w:name="_Toc6800_WPSOffice_Level2"/>
      <w:bookmarkStart w:id="689" w:name="_Toc31557"/>
      <w:r>
        <w:rPr>
          <w:rFonts w:hint="eastAsia"/>
          <w:lang w:val="en-US" w:eastAsia="zh-CN"/>
        </w:rPr>
        <w:t>5</w:t>
      </w:r>
      <w:r>
        <w:t>.1.4</w:t>
      </w:r>
      <w:r>
        <w:rPr>
          <w:rFonts w:hint="eastAsia"/>
        </w:rPr>
        <w:t>、</w:t>
      </w:r>
      <w:r>
        <w:t>施工期固废排放影响分析</w:t>
      </w:r>
      <w:bookmarkEnd w:id="685"/>
      <w:bookmarkEnd w:id="686"/>
      <w:bookmarkEnd w:id="687"/>
      <w:bookmarkEnd w:id="688"/>
      <w:bookmarkEnd w:id="689"/>
    </w:p>
    <w:p>
      <w:pPr>
        <w:ind w:firstLine="480"/>
      </w:pPr>
      <w:bookmarkStart w:id="690" w:name="_Toc343180137"/>
      <w:bookmarkStart w:id="691" w:name="_Toc356923191"/>
      <w:bookmarkStart w:id="692" w:name="_Toc332573474"/>
      <w:bookmarkStart w:id="693" w:name="_Toc332618926"/>
      <w:bookmarkStart w:id="694" w:name="_Toc345167403"/>
      <w:bookmarkStart w:id="695" w:name="_Toc466420389"/>
      <w:r>
        <w:t>施工期的固体废物主要有施工过程中产生的</w:t>
      </w:r>
      <w:r>
        <w:rPr>
          <w:rFonts w:hint="eastAsia"/>
        </w:rPr>
        <w:t>工程弃土、</w:t>
      </w:r>
      <w:r>
        <w:t>建筑垃圾、</w:t>
      </w:r>
      <w:r>
        <w:rPr>
          <w:rFonts w:hint="eastAsia"/>
        </w:rPr>
        <w:t>废包装材料及</w:t>
      </w:r>
      <w:r>
        <w:t>施工人员生活垃圾。</w:t>
      </w:r>
    </w:p>
    <w:p>
      <w:pPr>
        <w:ind w:firstLine="482"/>
      </w:pPr>
      <w:bookmarkStart w:id="696" w:name="_Toc12450_WPSOffice_Level2"/>
      <w:r>
        <w:rPr>
          <w:b/>
          <w:bCs/>
        </w:rPr>
        <w:t>①</w:t>
      </w:r>
      <w:r>
        <w:rPr>
          <w:rFonts w:hint="eastAsia"/>
          <w:b/>
          <w:bCs/>
        </w:rPr>
        <w:t>工程弃土</w:t>
      </w:r>
    </w:p>
    <w:p>
      <w:pPr>
        <w:ind w:firstLine="480"/>
      </w:pPr>
      <w:r>
        <w:rPr>
          <w:rFonts w:hint="eastAsia"/>
        </w:rPr>
        <w:t>工程弃土主要是指循环冷却水池开挖回填后剩余的土方，这部分土方产生量约为60m</w:t>
      </w:r>
      <w:r>
        <w:rPr>
          <w:rFonts w:hint="eastAsia"/>
          <w:vertAlign w:val="superscript"/>
        </w:rPr>
        <w:t>3</w:t>
      </w:r>
      <w:r>
        <w:rPr>
          <w:rFonts w:hint="eastAsia"/>
        </w:rPr>
        <w:t>，弃土直接用于</w:t>
      </w:r>
      <w:r>
        <w:t>饲草种植覆土</w:t>
      </w:r>
      <w:r>
        <w:rPr>
          <w:rFonts w:hint="eastAsia"/>
        </w:rPr>
        <w:t>，只要建设单位及时将这部分弃土进行拉运处理，工程弃土就不会对周边环境造成影响。</w:t>
      </w:r>
    </w:p>
    <w:p>
      <w:pPr>
        <w:ind w:firstLine="482"/>
        <w:rPr>
          <w:b/>
          <w:bCs/>
        </w:rPr>
      </w:pPr>
      <w:r>
        <w:rPr>
          <w:b/>
          <w:bCs/>
        </w:rPr>
        <w:t>②建筑垃圾</w:t>
      </w:r>
    </w:p>
    <w:p>
      <w:pPr>
        <w:ind w:firstLine="480"/>
      </w:pPr>
      <w:r>
        <w:t>本项目主体工程为轻钢结构，</w:t>
      </w:r>
      <w:r>
        <w:rPr>
          <w:rFonts w:hint="eastAsia"/>
        </w:rPr>
        <w:t>建筑垃圾主要以废钢筋、废钢材</w:t>
      </w:r>
      <w:r>
        <w:rPr>
          <w:rFonts w:hint="eastAsia"/>
          <w:lang w:eastAsia="zh-CN"/>
        </w:rPr>
        <w:t>、</w:t>
      </w:r>
      <w:r>
        <w:rPr>
          <w:rFonts w:hint="eastAsia"/>
          <w:lang w:val="en-US" w:eastAsia="zh-CN"/>
        </w:rPr>
        <w:t>废砖头</w:t>
      </w:r>
      <w:r>
        <w:rPr>
          <w:rFonts w:hint="eastAsia"/>
        </w:rPr>
        <w:t>为主，根据建设单位提供的资料，</w:t>
      </w:r>
      <w:r>
        <w:t>建筑垃圾产生量</w:t>
      </w:r>
      <w:r>
        <w:rPr>
          <w:rFonts w:hint="eastAsia"/>
        </w:rPr>
        <w:t>约</w:t>
      </w:r>
      <w:r>
        <w:t>为</w:t>
      </w:r>
      <w:r>
        <w:rPr>
          <w:rFonts w:hint="eastAsia"/>
        </w:rPr>
        <w:t>4</w:t>
      </w:r>
      <w:r>
        <w:t>t</w:t>
      </w:r>
      <w:r>
        <w:rPr>
          <w:rFonts w:hint="eastAsia"/>
        </w:rPr>
        <w:t>，</w:t>
      </w:r>
      <w:r>
        <w:rPr>
          <w:rFonts w:hint="eastAsia"/>
          <w:lang w:val="en-US" w:eastAsia="zh-CN"/>
        </w:rPr>
        <w:t>建筑垃圾中有利用价值的全部外售废旧回收单位处置，无利用价值的全部拉运至至当地城建部门制定的地点填埋处置</w:t>
      </w:r>
      <w:r>
        <w:rPr>
          <w:rFonts w:hint="eastAsia"/>
        </w:rPr>
        <w:t>。</w:t>
      </w:r>
    </w:p>
    <w:p>
      <w:pPr>
        <w:ind w:firstLine="482"/>
      </w:pPr>
      <w:r>
        <w:rPr>
          <w:b/>
          <w:bCs/>
        </w:rPr>
        <w:t>③</w:t>
      </w:r>
      <w:r>
        <w:rPr>
          <w:rFonts w:hint="eastAsia"/>
          <w:b/>
          <w:bCs/>
        </w:rPr>
        <w:t>废包装材料</w:t>
      </w:r>
    </w:p>
    <w:p>
      <w:pPr>
        <w:ind w:firstLine="480"/>
      </w:pPr>
      <w:r>
        <w:rPr>
          <w:rFonts w:hint="eastAsia"/>
        </w:rPr>
        <w:t>废包装材料主要是指生产设备、建筑材料等在拆包过程中产生的废包装材料，废包装材料主要以废纸壳、废塑料为主，根据建设单位提供的资料，废包装材料产生量为1.5</w:t>
      </w:r>
      <w:r>
        <w:t>t</w:t>
      </w:r>
      <w:r>
        <w:rPr>
          <w:rFonts w:hint="eastAsia"/>
        </w:rPr>
        <w:t>，废包装材料集中收集后外售废旧回收单位集中处置。</w:t>
      </w:r>
    </w:p>
    <w:p>
      <w:pPr>
        <w:ind w:firstLine="482"/>
        <w:rPr>
          <w:b/>
          <w:bCs/>
        </w:rPr>
      </w:pPr>
      <w:r>
        <w:rPr>
          <w:b/>
          <w:bCs/>
        </w:rPr>
        <w:t>④施工人员生活垃圾</w:t>
      </w:r>
    </w:p>
    <w:p>
      <w:pPr>
        <w:ind w:firstLine="480"/>
      </w:pPr>
      <w:r>
        <w:t>施工人员生活垃圾产生量为</w:t>
      </w:r>
      <w:r>
        <w:rPr>
          <w:rFonts w:hint="eastAsia"/>
        </w:rPr>
        <w:t>3.6</w:t>
      </w:r>
      <w:r>
        <w:t>t</w:t>
      </w:r>
      <w:r>
        <w:rPr>
          <w:rFonts w:hint="eastAsia"/>
        </w:rPr>
        <w:t>，施工人员生活垃圾集中收集后交由园区环卫部门统一处理</w:t>
      </w:r>
      <w:r>
        <w:t>。</w:t>
      </w:r>
    </w:p>
    <w:p>
      <w:pPr>
        <w:ind w:firstLine="480"/>
      </w:pPr>
      <w:r>
        <w:rPr>
          <w:rFonts w:hint="eastAsia"/>
        </w:rPr>
        <w:t>综上所述，本项目施工期产生的固废都得了合理的处置，不会对周边环境造成较大的影响。</w:t>
      </w:r>
    </w:p>
    <w:bookmarkEnd w:id="690"/>
    <w:bookmarkEnd w:id="691"/>
    <w:bookmarkEnd w:id="692"/>
    <w:bookmarkEnd w:id="693"/>
    <w:bookmarkEnd w:id="694"/>
    <w:bookmarkEnd w:id="695"/>
    <w:bookmarkEnd w:id="696"/>
    <w:p>
      <w:pPr>
        <w:pStyle w:val="5"/>
        <w:spacing w:before="78" w:after="78"/>
        <w:ind w:firstLine="562"/>
      </w:pPr>
      <w:bookmarkStart w:id="697" w:name="_Toc31496"/>
      <w:bookmarkStart w:id="698" w:name="_Toc10660_WPSOffice_Level1"/>
      <w:bookmarkStart w:id="699" w:name="_Toc16458"/>
      <w:bookmarkStart w:id="700" w:name="_Toc21382"/>
      <w:bookmarkStart w:id="701" w:name="_Toc6044"/>
      <w:bookmarkStart w:id="702" w:name="_Toc23134"/>
      <w:bookmarkStart w:id="703" w:name="_Toc4019"/>
      <w:r>
        <w:rPr>
          <w:rFonts w:hint="eastAsia"/>
          <w:lang w:val="en-US" w:eastAsia="zh-CN"/>
        </w:rPr>
        <w:t>5</w:t>
      </w:r>
      <w:r>
        <w:t>.2</w:t>
      </w:r>
      <w:r>
        <w:rPr>
          <w:rFonts w:hint="eastAsia"/>
        </w:rPr>
        <w:t>、</w:t>
      </w:r>
      <w:r>
        <w:t>运营期环境影响分析</w:t>
      </w:r>
      <w:bookmarkEnd w:id="697"/>
      <w:bookmarkEnd w:id="698"/>
      <w:bookmarkEnd w:id="699"/>
      <w:bookmarkEnd w:id="700"/>
      <w:bookmarkEnd w:id="701"/>
      <w:bookmarkEnd w:id="702"/>
      <w:bookmarkEnd w:id="703"/>
    </w:p>
    <w:p>
      <w:pPr>
        <w:pStyle w:val="6"/>
        <w:ind w:firstLine="482"/>
      </w:pPr>
      <w:bookmarkStart w:id="704" w:name="_Toc30386_WPSOffice_Level2"/>
      <w:bookmarkStart w:id="705" w:name="_Toc11804"/>
      <w:bookmarkStart w:id="706" w:name="_Toc16841_WPSOffice_Level2"/>
      <w:bookmarkStart w:id="707" w:name="_Toc18021_WPSOffice_Level2"/>
      <w:bookmarkStart w:id="708" w:name="_Toc26564_WPSOffice_Level2"/>
      <w:bookmarkStart w:id="709" w:name="_Toc28804"/>
      <w:bookmarkStart w:id="710" w:name="_Toc7353"/>
      <w:r>
        <w:rPr>
          <w:rFonts w:hint="eastAsia"/>
          <w:lang w:val="en-US" w:eastAsia="zh-CN"/>
        </w:rPr>
        <w:t>5</w:t>
      </w:r>
      <w:r>
        <w:t>.2.</w:t>
      </w:r>
      <w:r>
        <w:rPr>
          <w:rFonts w:hint="eastAsia"/>
        </w:rPr>
        <w:t>1、运营期地表水</w:t>
      </w:r>
      <w:r>
        <w:t>环境</w:t>
      </w:r>
      <w:r>
        <w:rPr>
          <w:rFonts w:hint="eastAsia"/>
        </w:rPr>
        <w:t>质量</w:t>
      </w:r>
      <w:r>
        <w:t>影响分析</w:t>
      </w:r>
      <w:bookmarkEnd w:id="704"/>
      <w:bookmarkEnd w:id="705"/>
      <w:bookmarkEnd w:id="706"/>
    </w:p>
    <w:p>
      <w:pPr>
        <w:ind w:firstLine="480"/>
      </w:pPr>
      <w:r>
        <w:t>本项目运营期产生的废水</w:t>
      </w:r>
      <w:r>
        <w:rPr>
          <w:rFonts w:hint="eastAsia"/>
        </w:rPr>
        <w:t>主要有：</w:t>
      </w:r>
      <w:r>
        <w:t>待宰圈羊尿液；肉羊精深加工生产线屠宰废水；牛羊预制品生产线生产废水；羊杂预制品生产线废水；冷凝废水；生活污水。</w:t>
      </w:r>
    </w:p>
    <w:p>
      <w:pPr>
        <w:ind w:firstLine="482"/>
        <w:rPr>
          <w:b/>
          <w:bCs/>
        </w:rPr>
      </w:pPr>
      <w:r>
        <w:rPr>
          <w:b/>
          <w:bCs/>
        </w:rPr>
        <w:t>（1）羊尿液</w:t>
      </w:r>
    </w:p>
    <w:p>
      <w:pPr>
        <w:ind w:firstLine="480"/>
      </w:pPr>
      <w:r>
        <w:t>肉羊在待宰圈待宰过程中会产生一定量的羊尿液，羊尿液的产生量为</w:t>
      </w:r>
      <w:r>
        <w:rPr>
          <w:rFonts w:hint="eastAsia"/>
          <w:lang w:val="en-US" w:eastAsia="zh-CN"/>
        </w:rPr>
        <w:t>1.33</w:t>
      </w:r>
      <w:r>
        <w:t>t/d（486t/a）</w:t>
      </w:r>
      <w:r>
        <w:rPr>
          <w:rFonts w:hint="eastAsia"/>
        </w:rPr>
        <w:t>，羊尿液污染因子主要以</w:t>
      </w:r>
      <w:r>
        <w:t>CODcr、BOD</w:t>
      </w:r>
      <w:r>
        <w:rPr>
          <w:vertAlign w:val="subscript"/>
        </w:rPr>
        <w:t>5</w:t>
      </w:r>
      <w:r>
        <w:t>、SS、NH</w:t>
      </w:r>
      <w:r>
        <w:rPr>
          <w:vertAlign w:val="subscript"/>
        </w:rPr>
        <w:t>3</w:t>
      </w:r>
      <w:r>
        <w:t>-N为主</w:t>
      </w:r>
      <w:r>
        <w:rPr>
          <w:rFonts w:hint="eastAsia"/>
        </w:rPr>
        <w:t>，羊尿液通过厂区污水管网收集后最终进入厂区污水处理站进行处理。经处理达标后用于厂区饲草区灌溉，非灌溉期集中收集在厂区修建的达标废水暂存池暂存后用于灌溉期灌溉</w:t>
      </w:r>
      <w:r>
        <w:t>。</w:t>
      </w:r>
    </w:p>
    <w:p>
      <w:pPr>
        <w:ind w:firstLine="482"/>
      </w:pPr>
      <w:r>
        <w:rPr>
          <w:b/>
          <w:bCs/>
        </w:rPr>
        <w:t>（2）肉羊精深加工生产线屠宰废水</w:t>
      </w:r>
    </w:p>
    <w:p>
      <w:pPr>
        <w:ind w:firstLine="480"/>
      </w:pPr>
      <w:r>
        <w:t>根据《屠宰与肉类加工废水治理工程技术规范》（HJ2004—2010）中对“屠宰过程”的解释可知，屠宰过程是指屠宰时进行的圈栏冲洗、宰前淋洗、宰后烫毛或剥皮、开腔、劈半、解体、内脏洗涤及车间冲洗等过程。肉羊精深加工生产线屠宰废水产生量为</w:t>
      </w:r>
      <w:r>
        <w:rPr>
          <w:rFonts w:hint="eastAsia"/>
        </w:rPr>
        <w:t>394.52m</w:t>
      </w:r>
      <w:r>
        <w:rPr>
          <w:rFonts w:hint="eastAsia"/>
          <w:vertAlign w:val="superscript"/>
        </w:rPr>
        <w:t>3</w:t>
      </w:r>
      <w:r>
        <w:rPr>
          <w:rFonts w:hint="eastAsia"/>
        </w:rPr>
        <w:t>/d（144000</w:t>
      </w:r>
      <w:r>
        <w:t>m</w:t>
      </w:r>
      <w:r>
        <w:rPr>
          <w:vertAlign w:val="superscript"/>
        </w:rPr>
        <w:t>3</w:t>
      </w:r>
      <w:r>
        <w:t>/a</w:t>
      </w:r>
      <w:r>
        <w:rPr>
          <w:rFonts w:hint="eastAsia"/>
        </w:rPr>
        <w:t>）</w:t>
      </w:r>
      <w:r>
        <w:t>。屠宰废水污染物主要以CODcr、BOD</w:t>
      </w:r>
      <w:r>
        <w:rPr>
          <w:vertAlign w:val="subscript"/>
        </w:rPr>
        <w:t>5</w:t>
      </w:r>
      <w:r>
        <w:t>、SS、NH</w:t>
      </w:r>
      <w:r>
        <w:rPr>
          <w:vertAlign w:val="subscript"/>
        </w:rPr>
        <w:t>3</w:t>
      </w:r>
      <w:r>
        <w:t>-N、动植物油为主，肉羊精深加工生产线屠宰废水经</w:t>
      </w:r>
      <w:r>
        <w:rPr>
          <w:rFonts w:hint="eastAsia"/>
          <w:lang w:val="en-US" w:eastAsia="zh-CN"/>
        </w:rPr>
        <w:t>污水污水管网收集后</w:t>
      </w:r>
      <w:r>
        <w:t>排入厂区现有的污水处理站处理，处理达标后用于厂区饲草区灌溉</w:t>
      </w:r>
      <w:r>
        <w:rPr>
          <w:rFonts w:hint="eastAsia"/>
        </w:rPr>
        <w:t>，非灌溉期集中收集在厂区修建的达标废水暂存池暂存后用于灌溉期灌溉</w:t>
      </w:r>
      <w:r>
        <w:t>。</w:t>
      </w:r>
    </w:p>
    <w:p>
      <w:pPr>
        <w:ind w:firstLine="482"/>
        <w:rPr>
          <w:b/>
          <w:bCs/>
        </w:rPr>
      </w:pPr>
      <w:r>
        <w:rPr>
          <w:b/>
          <w:bCs/>
        </w:rPr>
        <w:t>（3）牛羊预制品生产线生产废水</w:t>
      </w:r>
    </w:p>
    <w:p>
      <w:pPr>
        <w:ind w:firstLine="480"/>
      </w:pPr>
      <w:r>
        <w:rPr>
          <w:rFonts w:hint="eastAsia"/>
        </w:rPr>
        <w:t>牛羊预制品生产线生产废水是指牛羊预制品生产线生产设备清洗废水、牛羊肉清洗废水、蔬菜清洗废水。</w:t>
      </w:r>
      <w:r>
        <w:t>牛羊预制品生产线生产废水</w:t>
      </w:r>
      <w:r>
        <w:rPr>
          <w:rFonts w:hint="eastAsia"/>
        </w:rPr>
        <w:t>产生量为</w:t>
      </w:r>
      <w:r>
        <w:t>为</w:t>
      </w:r>
      <w:r>
        <w:rPr>
          <w:rFonts w:hint="eastAsia"/>
          <w:lang w:val="en-US" w:eastAsia="zh-CN"/>
        </w:rPr>
        <w:t>197.26</w:t>
      </w:r>
      <w:r>
        <w:rPr>
          <w:rFonts w:hint="eastAsia"/>
        </w:rPr>
        <w:t>m</w:t>
      </w:r>
      <w:r>
        <w:rPr>
          <w:rFonts w:hint="eastAsia"/>
          <w:vertAlign w:val="superscript"/>
        </w:rPr>
        <w:t>3</w:t>
      </w:r>
      <w:r>
        <w:rPr>
          <w:rFonts w:hint="eastAsia"/>
        </w:rPr>
        <w:t>/d（</w:t>
      </w:r>
      <w:r>
        <w:rPr>
          <w:rFonts w:hint="eastAsia"/>
          <w:lang w:val="en-US" w:eastAsia="zh-CN"/>
        </w:rPr>
        <w:t>72000</w:t>
      </w:r>
      <w:r>
        <w:rPr>
          <w:rFonts w:hint="eastAsia"/>
        </w:rPr>
        <w:t>m</w:t>
      </w:r>
      <w:r>
        <w:rPr>
          <w:rFonts w:hint="eastAsia"/>
          <w:vertAlign w:val="superscript"/>
        </w:rPr>
        <w:t>3</w:t>
      </w:r>
      <w:r>
        <w:rPr>
          <w:rFonts w:hint="eastAsia"/>
        </w:rPr>
        <w:t>/a）</w:t>
      </w:r>
      <w:r>
        <w:t>。废水中的污染物主要以CODcr、BOD</w:t>
      </w:r>
      <w:r>
        <w:rPr>
          <w:vertAlign w:val="subscript"/>
        </w:rPr>
        <w:t>5</w:t>
      </w:r>
      <w:r>
        <w:t>、SS、NH</w:t>
      </w:r>
      <w:r>
        <w:rPr>
          <w:vertAlign w:val="subscript"/>
        </w:rPr>
        <w:t>3</w:t>
      </w:r>
      <w:r>
        <w:t>-N、动植物油为主，牛羊预制品菜生产线废水经厂区现有的固液分离装置处理后排入厂区现有的污水处理站处理，处理达标后用于厂区饲草区灌溉</w:t>
      </w:r>
      <w:r>
        <w:rPr>
          <w:rFonts w:hint="eastAsia"/>
        </w:rPr>
        <w:t>，非灌溉期集中收集在厂区修建的达标废水暂存池暂存后用于灌溉期灌溉</w:t>
      </w:r>
      <w:r>
        <w:t>。</w:t>
      </w:r>
    </w:p>
    <w:p>
      <w:pPr>
        <w:ind w:firstLine="482"/>
        <w:rPr>
          <w:b/>
          <w:bCs/>
        </w:rPr>
      </w:pPr>
      <w:r>
        <w:rPr>
          <w:b/>
          <w:bCs/>
        </w:rPr>
        <w:t>（4）羊杂预制品生产线废水</w:t>
      </w:r>
    </w:p>
    <w:p>
      <w:pPr>
        <w:ind w:firstLine="480"/>
      </w:pPr>
      <w:r>
        <w:t>羊杂预制品主要为酱卤制品，羊杂预制品生产线废水主要包括羊杂原料清洗废水、生产设备清洗废水以及卤制完成后的清洗废水</w:t>
      </w:r>
      <w:r>
        <w:rPr>
          <w:rFonts w:hint="eastAsia"/>
        </w:rPr>
        <w:t>。</w:t>
      </w:r>
      <w:r>
        <w:t>羊杂预制品生产线废水产生量为</w:t>
      </w:r>
      <w:r>
        <w:rPr>
          <w:rFonts w:hint="eastAsia"/>
          <w:lang w:val="en-US" w:eastAsia="zh-CN"/>
        </w:rPr>
        <w:t>26.30</w:t>
      </w:r>
      <w:r>
        <w:rPr>
          <w:rFonts w:hint="eastAsia"/>
        </w:rPr>
        <w:t>m</w:t>
      </w:r>
      <w:r>
        <w:rPr>
          <w:rFonts w:hint="eastAsia"/>
          <w:vertAlign w:val="superscript"/>
        </w:rPr>
        <w:t>3</w:t>
      </w:r>
      <w:r>
        <w:rPr>
          <w:rFonts w:hint="eastAsia"/>
        </w:rPr>
        <w:t>/d（</w:t>
      </w:r>
      <w:r>
        <w:rPr>
          <w:rFonts w:hint="eastAsia"/>
          <w:lang w:val="en-US" w:eastAsia="zh-CN"/>
        </w:rPr>
        <w:t>9600</w:t>
      </w:r>
      <w:r>
        <w:rPr>
          <w:rFonts w:hint="eastAsia"/>
        </w:rPr>
        <w:t>m</w:t>
      </w:r>
      <w:r>
        <w:rPr>
          <w:rFonts w:hint="eastAsia"/>
          <w:vertAlign w:val="superscript"/>
        </w:rPr>
        <w:t>3</w:t>
      </w:r>
      <w:r>
        <w:rPr>
          <w:rFonts w:hint="eastAsia"/>
        </w:rPr>
        <w:t>/a）</w:t>
      </w:r>
      <w:r>
        <w:t>，废水中的污染物主要以CODcr、BOD</w:t>
      </w:r>
      <w:r>
        <w:rPr>
          <w:vertAlign w:val="subscript"/>
        </w:rPr>
        <w:t>5</w:t>
      </w:r>
      <w:r>
        <w:t>、SS、NH</w:t>
      </w:r>
      <w:r>
        <w:rPr>
          <w:vertAlign w:val="subscript"/>
        </w:rPr>
        <w:t>3</w:t>
      </w:r>
      <w:r>
        <w:t>-N、动植物油为主，羊杂预制品生产线废水经厂区现有的固液分离装置处理后排入厂区现有的污水处理站处理，处理达标后用于厂区饲草区灌溉</w:t>
      </w:r>
      <w:r>
        <w:rPr>
          <w:rFonts w:hint="eastAsia"/>
        </w:rPr>
        <w:t>，非灌溉期集中收集在厂区修建的达标废水暂存池暂存后用于灌溉期灌溉</w:t>
      </w:r>
      <w:r>
        <w:t>。</w:t>
      </w:r>
    </w:p>
    <w:p>
      <w:pPr>
        <w:ind w:firstLine="482"/>
      </w:pPr>
      <w:r>
        <w:rPr>
          <w:b/>
          <w:bCs/>
        </w:rPr>
        <w:t>（5）冷凝废水</w:t>
      </w:r>
    </w:p>
    <w:p>
      <w:pPr>
        <w:ind w:firstLine="480"/>
      </w:pPr>
      <w:r>
        <w:t>本项目冷库制冷机用冷却水全部经循环冷却水池降温后循环使用，不外排。</w:t>
      </w:r>
    </w:p>
    <w:p>
      <w:pPr>
        <w:ind w:firstLine="482"/>
        <w:rPr>
          <w:b/>
          <w:bCs/>
        </w:rPr>
      </w:pPr>
      <w:r>
        <w:rPr>
          <w:b/>
          <w:bCs/>
        </w:rPr>
        <w:t>（6）生活污水</w:t>
      </w:r>
    </w:p>
    <w:p>
      <w:pPr>
        <w:ind w:firstLine="480"/>
      </w:pPr>
      <w:r>
        <w:t>生活污水主要是指职工在日常饮用、烹调、洗涤、冲厕、洗澡等日常生活用水过程中产生的废水，本项目生活污水产生量为</w:t>
      </w:r>
      <w:r>
        <w:rPr>
          <w:rFonts w:hint="eastAsia"/>
          <w:lang w:val="en-US" w:eastAsia="zh-CN"/>
        </w:rPr>
        <w:t>9.6</w:t>
      </w:r>
      <w:r>
        <w:t>m</w:t>
      </w:r>
      <w:r>
        <w:rPr>
          <w:vertAlign w:val="superscript"/>
        </w:rPr>
        <w:t>3</w:t>
      </w:r>
      <w:r>
        <w:t>/d（</w:t>
      </w:r>
      <w:r>
        <w:rPr>
          <w:rFonts w:hint="eastAsia"/>
          <w:lang w:val="en-US" w:eastAsia="zh-CN"/>
        </w:rPr>
        <w:t>3504</w:t>
      </w:r>
      <w:r>
        <w:t>m</w:t>
      </w:r>
      <w:r>
        <w:rPr>
          <w:vertAlign w:val="superscript"/>
        </w:rPr>
        <w:t>3</w:t>
      </w:r>
      <w:r>
        <w:t>/a）。生活污水中污染物指标</w:t>
      </w:r>
      <w:r>
        <w:rPr>
          <w:rFonts w:hint="eastAsia"/>
        </w:rPr>
        <w:t>主要以</w:t>
      </w:r>
      <w:r>
        <w:t>COD</w:t>
      </w:r>
      <w:r>
        <w:rPr>
          <w:rFonts w:hint="eastAsia"/>
        </w:rPr>
        <w:t>cr</w:t>
      </w:r>
      <w:r>
        <w:t>、BOD</w:t>
      </w:r>
      <w:r>
        <w:rPr>
          <w:vertAlign w:val="subscript"/>
        </w:rPr>
        <w:t>5</w:t>
      </w:r>
      <w:r>
        <w:t>、SS、NH</w:t>
      </w:r>
      <w:r>
        <w:rPr>
          <w:vertAlign w:val="subscript"/>
        </w:rPr>
        <w:t>3</w:t>
      </w:r>
      <w:r>
        <w:t>-N和动植物油类</w:t>
      </w:r>
      <w:r>
        <w:rPr>
          <w:rFonts w:hint="eastAsia"/>
        </w:rPr>
        <w:t>为主</w:t>
      </w:r>
      <w:r>
        <w:t>。生活污水经厂区现有的隔油池、化粪池处理后排入厂区现有的污水处理站处理达标后用于厂区饲草区灌溉</w:t>
      </w:r>
      <w:r>
        <w:rPr>
          <w:rFonts w:hint="eastAsia"/>
        </w:rPr>
        <w:t>，非灌溉期集中收集在厂区修建的达标废水暂存池暂存后用于灌溉期灌溉</w:t>
      </w:r>
      <w:r>
        <w:t>。</w:t>
      </w:r>
    </w:p>
    <w:p>
      <w:pPr>
        <w:ind w:firstLine="480"/>
      </w:pPr>
      <w:r>
        <w:t>综上所述，项目废水均得到合理处理，满足环保要求，不直接排入当地的地表水体中</w:t>
      </w:r>
      <w:r>
        <w:rPr>
          <w:rFonts w:hint="eastAsia"/>
        </w:rPr>
        <w:t>。</w:t>
      </w:r>
      <w:r>
        <w:t>对地表水环境影响较小。</w:t>
      </w:r>
    </w:p>
    <w:p>
      <w:pPr>
        <w:pStyle w:val="6"/>
        <w:ind w:firstLine="482"/>
      </w:pPr>
      <w:bookmarkStart w:id="711" w:name="_Toc19796"/>
      <w:r>
        <w:rPr>
          <w:rFonts w:hint="eastAsia"/>
          <w:lang w:val="en-US" w:eastAsia="zh-CN"/>
        </w:rPr>
        <w:t>5</w:t>
      </w:r>
      <w:r>
        <w:rPr>
          <w:rFonts w:hint="eastAsia"/>
        </w:rPr>
        <w:t>.2.2、运营期地下水环境质量影响分析</w:t>
      </w:r>
      <w:bookmarkEnd w:id="711"/>
    </w:p>
    <w:p>
      <w:pPr>
        <w:pStyle w:val="7"/>
        <w:ind w:firstLine="482"/>
      </w:pPr>
      <w:r>
        <w:rPr>
          <w:rFonts w:hint="eastAsia"/>
          <w:lang w:val="en-US" w:eastAsia="zh-CN"/>
        </w:rPr>
        <w:t>5</w:t>
      </w:r>
      <w:r>
        <w:rPr>
          <w:rFonts w:hint="eastAsia"/>
        </w:rPr>
        <w:t>.2.2.1、区域水文地质概况</w:t>
      </w:r>
    </w:p>
    <w:p>
      <w:pPr>
        <w:ind w:firstLine="482"/>
        <w:rPr>
          <w:b/>
          <w:bCs/>
        </w:rPr>
      </w:pPr>
      <w:r>
        <w:rPr>
          <w:rFonts w:hint="eastAsia"/>
          <w:b/>
          <w:bCs/>
        </w:rPr>
        <w:t>1、地下水的赋存与运移条件</w:t>
      </w:r>
    </w:p>
    <w:p>
      <w:pPr>
        <w:ind w:firstLine="480"/>
      </w:pPr>
      <w:r>
        <w:rPr>
          <w:rFonts w:hint="eastAsia"/>
        </w:rPr>
        <w:t>张掖盆地是北祁连地槽褶皱系走廊过渡带的一个中新生代断陷盆地，中新生代沉积厚度约4000.00-6000.00m，其中第四系厚度数百米至千米以上，第四系厚度800.00-1000.00m。第四系下部为下更新统玉门组砾岩，厚500.00-800.0m；上部为中上更新统和全新统砂砾卵石、砂、亚砂土及亚粘土，厚100-300m。盆地内除山前局部地段含水不均匀外，其余地带构成连续、统一、横向为盆地边界所限的含水综合体。</w:t>
      </w:r>
    </w:p>
    <w:p>
      <w:pPr>
        <w:ind w:firstLine="480"/>
      </w:pPr>
      <w:r>
        <w:rPr>
          <w:rFonts w:hint="eastAsia"/>
        </w:rPr>
        <w:t>盆地内地下水主要赋存于中上更新统巨厚砂砾卵石层中，其沉积结构具有典型的山前倾斜平原自流斜地水文地质特征。山前倾斜平原为单一潜水分布区，</w:t>
      </w:r>
      <w:r>
        <w:t>含水层厚度大于300.00m</w:t>
      </w:r>
      <w:r>
        <w:rPr>
          <w:rFonts w:hint="eastAsia"/>
        </w:rPr>
        <w:t>，</w:t>
      </w:r>
      <w:r>
        <w:t>渗透系数</w:t>
      </w:r>
      <w:r>
        <w:rPr>
          <w:rFonts w:hint="eastAsia"/>
        </w:rPr>
        <w:t>25</w:t>
      </w:r>
      <w:r>
        <w:t>.00-300.00m/d</w:t>
      </w:r>
      <w:r>
        <w:rPr>
          <w:rFonts w:hint="eastAsia"/>
        </w:rPr>
        <w:t>，</w:t>
      </w:r>
      <w:r>
        <w:t>单井涌水2000.00-1000m</w:t>
      </w:r>
      <w:r>
        <w:rPr>
          <w:vertAlign w:val="superscript"/>
        </w:rPr>
        <w:t>3</w:t>
      </w:r>
      <w:r>
        <w:t>/d</w:t>
      </w:r>
      <w:r>
        <w:rPr>
          <w:rFonts w:hint="eastAsia"/>
        </w:rPr>
        <w:t>。</w:t>
      </w:r>
      <w:r>
        <w:t>盆地北部为多层型承压水区</w:t>
      </w:r>
      <w:r>
        <w:rPr>
          <w:rFonts w:hint="eastAsia"/>
        </w:rPr>
        <w:t>，</w:t>
      </w:r>
      <w:r>
        <w:t>含水层仍为砂砾卵石</w:t>
      </w:r>
      <w:r>
        <w:rPr>
          <w:rFonts w:hint="eastAsia"/>
        </w:rPr>
        <w:t>，</w:t>
      </w:r>
      <w:r>
        <w:t>颗粒粒径略细</w:t>
      </w:r>
      <w:r>
        <w:rPr>
          <w:rFonts w:hint="eastAsia"/>
        </w:rPr>
        <w:t>，</w:t>
      </w:r>
      <w:r>
        <w:t>其上及其间夹有亚粘土及砂</w:t>
      </w:r>
      <w:r>
        <w:rPr>
          <w:rFonts w:hint="eastAsia"/>
        </w:rPr>
        <w:t>，</w:t>
      </w:r>
      <w:r>
        <w:t>单井涌水量500.00-5000.00m</w:t>
      </w:r>
      <w:r>
        <w:rPr>
          <w:vertAlign w:val="superscript"/>
        </w:rPr>
        <w:t>3</w:t>
      </w:r>
      <w:r>
        <w:t>/d</w:t>
      </w:r>
      <w:r>
        <w:rPr>
          <w:rFonts w:hint="eastAsia"/>
        </w:rPr>
        <w:t>。</w:t>
      </w:r>
      <w:r>
        <w:t>地下水埋藏南深北浅</w:t>
      </w:r>
      <w:r>
        <w:rPr>
          <w:rFonts w:hint="eastAsia"/>
        </w:rPr>
        <w:t>，</w:t>
      </w:r>
      <w:r>
        <w:t>南部山前水位埋深可达200.00余米</w:t>
      </w:r>
      <w:r>
        <w:rPr>
          <w:rFonts w:hint="eastAsia"/>
        </w:rPr>
        <w:t>，</w:t>
      </w:r>
      <w:r>
        <w:t>至洪积扇前缘渐变为5.00-30.00m</w:t>
      </w:r>
      <w:r>
        <w:rPr>
          <w:rFonts w:hint="eastAsia"/>
        </w:rPr>
        <w:t>，</w:t>
      </w:r>
      <w:r>
        <w:t>北部细土带地下水大量呈泉水溢出</w:t>
      </w:r>
      <w:r>
        <w:rPr>
          <w:rFonts w:hint="eastAsia"/>
        </w:rPr>
        <w:t>（图</w:t>
      </w:r>
      <w:r>
        <w:rPr>
          <w:rFonts w:hint="eastAsia"/>
          <w:lang w:val="en-US" w:eastAsia="zh-CN"/>
        </w:rPr>
        <w:t>5</w:t>
      </w:r>
      <w:r>
        <w:rPr>
          <w:rFonts w:hint="eastAsia"/>
        </w:rPr>
        <w:t>-1）。</w:t>
      </w:r>
    </w:p>
    <w:p>
      <w:pPr>
        <w:widowControl/>
        <w:spacing w:line="240" w:lineRule="auto"/>
        <w:ind w:firstLine="0" w:firstLineChars="0"/>
        <w:jc w:val="both"/>
        <w:rPr>
          <w:kern w:val="0"/>
          <w:lang w:bidi="ar"/>
        </w:rPr>
      </w:pPr>
      <w:r>
        <w:rPr>
          <w:rFonts w:hint="eastAsia"/>
        </w:rPr>
        <w:drawing>
          <wp:inline distT="0" distB="0" distL="114300" distR="114300">
            <wp:extent cx="6201410" cy="2770505"/>
            <wp:effectExtent l="0" t="0" r="8890" b="10795"/>
            <wp:docPr id="4" name="图片 4" descr="新文档 2019-02-11 14.52.2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新文档 2019-02-11 14.52.21_3"/>
                    <pic:cNvPicPr>
                      <a:picLocks noChangeAspect="1"/>
                    </pic:cNvPicPr>
                  </pic:nvPicPr>
                  <pic:blipFill>
                    <a:blip r:embed="rId64"/>
                    <a:stretch>
                      <a:fillRect/>
                    </a:stretch>
                  </pic:blipFill>
                  <pic:spPr>
                    <a:xfrm>
                      <a:off x="0" y="0"/>
                      <a:ext cx="6201410" cy="2770505"/>
                    </a:xfrm>
                    <a:prstGeom prst="rect">
                      <a:avLst/>
                    </a:prstGeom>
                  </pic:spPr>
                </pic:pic>
              </a:graphicData>
            </a:graphic>
          </wp:inline>
        </w:drawing>
      </w:r>
    </w:p>
    <w:p>
      <w:pPr>
        <w:widowControl/>
        <w:spacing w:after="156" w:afterLines="50" w:line="240" w:lineRule="auto"/>
        <w:ind w:firstLine="0" w:firstLineChars="0"/>
        <w:jc w:val="center"/>
        <w:rPr>
          <w:b/>
          <w:bCs/>
          <w:kern w:val="0"/>
          <w:sz w:val="21"/>
          <w:szCs w:val="21"/>
          <w:lang w:bidi="ar"/>
        </w:rPr>
      </w:pPr>
      <w:r>
        <w:rPr>
          <w:rFonts w:hint="eastAsia"/>
          <w:b/>
          <w:bCs/>
          <w:kern w:val="0"/>
          <w:sz w:val="21"/>
          <w:szCs w:val="21"/>
          <w:lang w:bidi="ar"/>
        </w:rPr>
        <w:t>图</w:t>
      </w:r>
      <w:r>
        <w:rPr>
          <w:rFonts w:hint="eastAsia"/>
          <w:b/>
          <w:bCs/>
          <w:kern w:val="0"/>
          <w:sz w:val="21"/>
          <w:szCs w:val="21"/>
          <w:lang w:val="en-US" w:eastAsia="zh-CN" w:bidi="ar"/>
        </w:rPr>
        <w:t>5</w:t>
      </w:r>
      <w:r>
        <w:rPr>
          <w:rFonts w:hint="eastAsia"/>
          <w:b/>
          <w:bCs/>
          <w:kern w:val="0"/>
          <w:sz w:val="21"/>
          <w:szCs w:val="21"/>
          <w:lang w:bidi="ar"/>
        </w:rPr>
        <w:t>-1    张掖东盆地水文地质剖面图</w:t>
      </w:r>
    </w:p>
    <w:p>
      <w:pPr>
        <w:ind w:firstLine="480"/>
      </w:pPr>
      <w:r>
        <w:t>张掖盆地地下水主要接受出山河流、渠系及田间灌溉水入渗补给</w:t>
      </w:r>
      <w:r>
        <w:rPr>
          <w:rFonts w:hint="eastAsia"/>
        </w:rPr>
        <w:t>，</w:t>
      </w:r>
      <w:r>
        <w:t>占总补给量的80%以上</w:t>
      </w:r>
      <w:r>
        <w:rPr>
          <w:rFonts w:hint="eastAsia"/>
        </w:rPr>
        <w:t>，</w:t>
      </w:r>
      <w:r>
        <w:t>基岩裂隙水、沟谷潜流侧向补给及降水、凝结水补给相对微弱。地下水自东南向西北方向径流</w:t>
      </w:r>
      <w:r>
        <w:rPr>
          <w:rFonts w:hint="eastAsia"/>
        </w:rPr>
        <w:t>，</w:t>
      </w:r>
      <w:r>
        <w:t>局部流向东北或北部</w:t>
      </w:r>
      <w:r>
        <w:rPr>
          <w:rFonts w:hint="eastAsia"/>
        </w:rPr>
        <w:t>，</w:t>
      </w:r>
      <w:r>
        <w:t>水力</w:t>
      </w:r>
      <w:r>
        <w:rPr>
          <w:rFonts w:hint="eastAsia"/>
        </w:rPr>
        <w:t>坡度南</w:t>
      </w:r>
      <w:r>
        <w:t>部8.00-10.00‰</w:t>
      </w:r>
      <w:r>
        <w:rPr>
          <w:rFonts w:hint="eastAsia"/>
        </w:rPr>
        <w:t>，</w:t>
      </w:r>
      <w:r>
        <w:t>北部2.00-5.00‰</w:t>
      </w:r>
      <w:r>
        <w:rPr>
          <w:rFonts w:hint="eastAsia"/>
        </w:rPr>
        <w:t>，</w:t>
      </w:r>
      <w:r>
        <w:t>地下水主要消耗于洪积扇前缘带的泉水溢出、机井开采及蒸发蒸腾</w:t>
      </w:r>
      <w:r>
        <w:rPr>
          <w:rFonts w:hint="eastAsia"/>
        </w:rPr>
        <w:t>，</w:t>
      </w:r>
      <w:r>
        <w:t>其中泉水溢出占总排泄量的76.00-82.00%</w:t>
      </w:r>
      <w:r>
        <w:rPr>
          <w:rFonts w:hint="eastAsia"/>
        </w:rPr>
        <w:t>（图4-2）。</w:t>
      </w:r>
    </w:p>
    <w:p>
      <w:pPr>
        <w:widowControl/>
        <w:spacing w:line="240" w:lineRule="auto"/>
        <w:ind w:firstLine="0" w:firstLineChars="0"/>
        <w:jc w:val="both"/>
      </w:pPr>
      <w:r>
        <w:rPr>
          <w:rFonts w:hint="eastAsia"/>
        </w:rPr>
        <w:drawing>
          <wp:inline distT="0" distB="0" distL="114300" distR="114300">
            <wp:extent cx="6202680" cy="3725545"/>
            <wp:effectExtent l="0" t="0" r="7620" b="8255"/>
            <wp:docPr id="5" name="图片 5" descr="新文档 2019-02-11 14.52.21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新文档 2019-02-11 14.52.21_4"/>
                    <pic:cNvPicPr>
                      <a:picLocks noChangeAspect="1"/>
                    </pic:cNvPicPr>
                  </pic:nvPicPr>
                  <pic:blipFill>
                    <a:blip r:embed="rId65"/>
                    <a:stretch>
                      <a:fillRect/>
                    </a:stretch>
                  </pic:blipFill>
                  <pic:spPr>
                    <a:xfrm>
                      <a:off x="0" y="0"/>
                      <a:ext cx="6202680" cy="3725545"/>
                    </a:xfrm>
                    <a:prstGeom prst="rect">
                      <a:avLst/>
                    </a:prstGeom>
                  </pic:spPr>
                </pic:pic>
              </a:graphicData>
            </a:graphic>
          </wp:inline>
        </w:drawing>
      </w:r>
    </w:p>
    <w:p>
      <w:pPr>
        <w:widowControl/>
        <w:spacing w:after="156" w:afterLines="50" w:line="240" w:lineRule="auto"/>
        <w:ind w:firstLine="0" w:firstLineChars="0"/>
        <w:jc w:val="center"/>
        <w:rPr>
          <w:b/>
          <w:bCs/>
          <w:kern w:val="0"/>
          <w:sz w:val="21"/>
          <w:szCs w:val="21"/>
          <w:lang w:bidi="ar"/>
        </w:rPr>
      </w:pPr>
      <w:r>
        <w:rPr>
          <w:rFonts w:hint="eastAsia"/>
          <w:b/>
          <w:bCs/>
          <w:kern w:val="0"/>
          <w:sz w:val="21"/>
          <w:szCs w:val="21"/>
          <w:lang w:bidi="ar"/>
        </w:rPr>
        <w:t>图</w:t>
      </w:r>
      <w:r>
        <w:rPr>
          <w:rFonts w:hint="eastAsia"/>
          <w:b/>
          <w:bCs/>
          <w:kern w:val="0"/>
          <w:sz w:val="21"/>
          <w:szCs w:val="21"/>
          <w:lang w:val="en-US" w:eastAsia="zh-CN" w:bidi="ar"/>
        </w:rPr>
        <w:t>5</w:t>
      </w:r>
      <w:r>
        <w:rPr>
          <w:rFonts w:hint="eastAsia"/>
          <w:b/>
          <w:bCs/>
          <w:kern w:val="0"/>
          <w:sz w:val="21"/>
          <w:szCs w:val="21"/>
          <w:lang w:bidi="ar"/>
        </w:rPr>
        <w:t>-2    张掖盆地地下水补、径、排示意图</w:t>
      </w:r>
    </w:p>
    <w:p>
      <w:pPr>
        <w:ind w:firstLine="482"/>
        <w:rPr>
          <w:b/>
          <w:bCs/>
        </w:rPr>
      </w:pPr>
      <w:r>
        <w:rPr>
          <w:rFonts w:hint="eastAsia"/>
          <w:b/>
          <w:bCs/>
        </w:rPr>
        <w:t>2、地下水水化学特征</w:t>
      </w:r>
    </w:p>
    <w:p>
      <w:pPr>
        <w:ind w:firstLine="480"/>
      </w:pPr>
      <w:r>
        <w:rPr>
          <w:rFonts w:hint="eastAsia"/>
        </w:rPr>
        <w:t>盆地地下水质良好，水化学类型主要为HCO</w:t>
      </w:r>
      <w:r>
        <w:rPr>
          <w:rFonts w:hint="eastAsia"/>
          <w:vertAlign w:val="superscript"/>
        </w:rPr>
        <w:t>3-</w:t>
      </w:r>
      <w:r>
        <w:rPr>
          <w:rFonts w:hint="eastAsia"/>
        </w:rPr>
        <w:t>-SO</w:t>
      </w:r>
      <w:r>
        <w:rPr>
          <w:rFonts w:hint="eastAsia"/>
          <w:vertAlign w:val="subscript"/>
        </w:rPr>
        <w:t>4</w:t>
      </w:r>
      <w:r>
        <w:rPr>
          <w:rFonts w:hint="eastAsia"/>
          <w:vertAlign w:val="superscript"/>
        </w:rPr>
        <w:t>2-</w:t>
      </w:r>
      <w:r>
        <w:rPr>
          <w:rFonts w:hint="eastAsia"/>
        </w:rPr>
        <w:t>-Ca</w:t>
      </w:r>
      <w:r>
        <w:rPr>
          <w:rFonts w:hint="eastAsia"/>
          <w:vertAlign w:val="superscript"/>
        </w:rPr>
        <w:t>2+</w:t>
      </w:r>
      <w:r>
        <w:rPr>
          <w:rFonts w:hint="eastAsia"/>
        </w:rPr>
        <w:t>-Mg</w:t>
      </w:r>
      <w:r>
        <w:rPr>
          <w:rFonts w:hint="eastAsia"/>
          <w:vertAlign w:val="superscript"/>
        </w:rPr>
        <w:t>2+</w:t>
      </w:r>
      <w:r>
        <w:rPr>
          <w:rFonts w:hint="eastAsia"/>
        </w:rPr>
        <w:t>型。洪积扇带潜水矿化度均小于1.00g/L，张掖城北局部受蒸发影响，潜水矿化度1.00-3.00g/L，其下部承压水亦为小于1.00g/L的淡水。北部山前戈壁，受北山高矿化基岩裂隙水的影响，沿山前分布1.00-3.00g/L的微咸水。</w:t>
      </w:r>
    </w:p>
    <w:p>
      <w:pPr>
        <w:ind w:firstLine="482"/>
        <w:rPr>
          <w:b/>
          <w:bCs/>
        </w:rPr>
      </w:pPr>
      <w:r>
        <w:rPr>
          <w:rFonts w:hint="eastAsia"/>
          <w:b/>
          <w:bCs/>
        </w:rPr>
        <w:t>3、地下水动态特征</w:t>
      </w:r>
    </w:p>
    <w:p>
      <w:pPr>
        <w:ind w:firstLine="482"/>
        <w:rPr>
          <w:b/>
          <w:bCs/>
        </w:rPr>
      </w:pPr>
      <w:r>
        <w:rPr>
          <w:rFonts w:hint="eastAsia"/>
          <w:b/>
          <w:bCs/>
        </w:rPr>
        <w:t>（1）水位动态</w:t>
      </w:r>
    </w:p>
    <w:p>
      <w:pPr>
        <w:ind w:firstLine="482"/>
        <w:rPr>
          <w:b/>
          <w:bCs/>
        </w:rPr>
      </w:pPr>
      <w:r>
        <w:rPr>
          <w:b/>
          <w:bCs/>
        </w:rPr>
        <w:t>①年内动态</w:t>
      </w:r>
    </w:p>
    <w:p>
      <w:pPr>
        <w:ind w:firstLine="480"/>
      </w:pPr>
      <w:r>
        <w:rPr>
          <w:rFonts w:hint="eastAsia"/>
        </w:rPr>
        <w:t>区域地下水位动态可分为入渗一径流型、灌溉一开采型和蒸发排泄型等三种基本类型，见表</w:t>
      </w:r>
      <w:r>
        <w:rPr>
          <w:rFonts w:hint="eastAsia"/>
          <w:lang w:val="en-US" w:eastAsia="zh-CN"/>
        </w:rPr>
        <w:t>5</w:t>
      </w:r>
      <w:r>
        <w:rPr>
          <w:rFonts w:hint="eastAsia"/>
        </w:rPr>
        <w:t>.3。</w:t>
      </w:r>
    </w:p>
    <w:p>
      <w:pPr>
        <w:widowControl/>
        <w:spacing w:line="240" w:lineRule="auto"/>
        <w:ind w:firstLine="0" w:firstLineChars="0"/>
        <w:jc w:val="center"/>
        <w:rPr>
          <w:b/>
          <w:bCs/>
          <w:kern w:val="0"/>
          <w:sz w:val="21"/>
          <w:szCs w:val="21"/>
          <w:lang w:bidi="ar"/>
        </w:rPr>
      </w:pPr>
      <w:r>
        <w:rPr>
          <w:rFonts w:hint="eastAsia"/>
          <w:b/>
          <w:bCs/>
          <w:kern w:val="0"/>
          <w:sz w:val="21"/>
          <w:szCs w:val="21"/>
          <w:lang w:bidi="ar"/>
        </w:rPr>
        <w:t>表</w:t>
      </w:r>
      <w:r>
        <w:rPr>
          <w:rFonts w:hint="eastAsia"/>
          <w:b/>
          <w:bCs/>
          <w:kern w:val="0"/>
          <w:sz w:val="21"/>
          <w:szCs w:val="21"/>
          <w:lang w:val="en-US" w:eastAsia="zh-CN" w:bidi="ar"/>
        </w:rPr>
        <w:t>5</w:t>
      </w:r>
      <w:r>
        <w:rPr>
          <w:rFonts w:hint="eastAsia"/>
          <w:b/>
          <w:bCs/>
          <w:kern w:val="0"/>
          <w:sz w:val="21"/>
          <w:szCs w:val="21"/>
          <w:lang w:bidi="ar"/>
        </w:rPr>
        <w:t>.3    张掖盆地东段地下水位年内动态特征</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7"/>
        <w:gridCol w:w="4229"/>
        <w:gridCol w:w="1504"/>
        <w:gridCol w:w="1247"/>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 w:type="pct"/>
            <w:tcBorders>
              <w:tl2br w:val="nil"/>
              <w:tr2bl w:val="nil"/>
            </w:tcBorders>
            <w:vAlign w:val="center"/>
          </w:tcPr>
          <w:p>
            <w:pPr>
              <w:spacing w:line="240" w:lineRule="auto"/>
              <w:ind w:firstLine="0" w:firstLineChars="0"/>
              <w:jc w:val="center"/>
              <w:rPr>
                <w:b/>
                <w:bCs/>
                <w:sz w:val="21"/>
                <w:szCs w:val="21"/>
              </w:rPr>
            </w:pPr>
            <w:r>
              <w:rPr>
                <w:b/>
                <w:bCs/>
                <w:sz w:val="21"/>
                <w:szCs w:val="21"/>
              </w:rPr>
              <w:t>水位动态类型</w:t>
            </w:r>
          </w:p>
        </w:tc>
        <w:tc>
          <w:tcPr>
            <w:tcW w:w="2122" w:type="pct"/>
            <w:tcBorders>
              <w:tl2br w:val="nil"/>
              <w:tr2bl w:val="nil"/>
            </w:tcBorders>
            <w:vAlign w:val="center"/>
          </w:tcPr>
          <w:p>
            <w:pPr>
              <w:spacing w:line="240" w:lineRule="auto"/>
              <w:ind w:firstLine="0" w:firstLineChars="0"/>
              <w:jc w:val="center"/>
              <w:rPr>
                <w:b/>
                <w:bCs/>
                <w:sz w:val="21"/>
                <w:szCs w:val="21"/>
              </w:rPr>
            </w:pPr>
            <w:r>
              <w:rPr>
                <w:b/>
                <w:bCs/>
                <w:sz w:val="21"/>
                <w:szCs w:val="21"/>
              </w:rPr>
              <w:t>分布位置</w:t>
            </w:r>
          </w:p>
        </w:tc>
        <w:tc>
          <w:tcPr>
            <w:tcW w:w="755" w:type="pct"/>
            <w:tcBorders>
              <w:tl2br w:val="nil"/>
              <w:tr2bl w:val="nil"/>
            </w:tcBorders>
            <w:vAlign w:val="center"/>
          </w:tcPr>
          <w:p>
            <w:pPr>
              <w:spacing w:line="240" w:lineRule="auto"/>
              <w:ind w:firstLine="0" w:firstLineChars="0"/>
              <w:jc w:val="center"/>
              <w:rPr>
                <w:b/>
                <w:bCs/>
                <w:sz w:val="21"/>
                <w:szCs w:val="21"/>
              </w:rPr>
            </w:pPr>
            <w:r>
              <w:rPr>
                <w:b/>
                <w:bCs/>
                <w:sz w:val="21"/>
                <w:szCs w:val="21"/>
              </w:rPr>
              <w:t>年变幅</w:t>
            </w:r>
            <w:r>
              <w:rPr>
                <w:rFonts w:hint="eastAsia"/>
                <w:b/>
                <w:bCs/>
                <w:sz w:val="21"/>
                <w:szCs w:val="21"/>
              </w:rPr>
              <w:t>（m）</w:t>
            </w:r>
          </w:p>
        </w:tc>
        <w:tc>
          <w:tcPr>
            <w:tcW w:w="626" w:type="pct"/>
            <w:tcBorders>
              <w:tl2br w:val="nil"/>
              <w:tr2bl w:val="nil"/>
            </w:tcBorders>
            <w:vAlign w:val="center"/>
          </w:tcPr>
          <w:p>
            <w:pPr>
              <w:spacing w:line="240" w:lineRule="auto"/>
              <w:ind w:firstLine="0" w:firstLineChars="0"/>
              <w:jc w:val="center"/>
              <w:rPr>
                <w:b/>
                <w:bCs/>
                <w:sz w:val="21"/>
                <w:szCs w:val="21"/>
              </w:rPr>
            </w:pPr>
            <w:r>
              <w:rPr>
                <w:b/>
                <w:bCs/>
                <w:sz w:val="21"/>
                <w:szCs w:val="21"/>
              </w:rPr>
              <w:t>高水位期</w:t>
            </w:r>
          </w:p>
        </w:tc>
        <w:tc>
          <w:tcPr>
            <w:tcW w:w="624" w:type="pct"/>
            <w:tcBorders>
              <w:tl2br w:val="nil"/>
              <w:tr2bl w:val="nil"/>
            </w:tcBorders>
            <w:vAlign w:val="center"/>
          </w:tcPr>
          <w:p>
            <w:pPr>
              <w:spacing w:line="240" w:lineRule="auto"/>
              <w:ind w:firstLine="0" w:firstLineChars="0"/>
              <w:jc w:val="center"/>
              <w:rPr>
                <w:b/>
                <w:bCs/>
                <w:sz w:val="21"/>
                <w:szCs w:val="21"/>
              </w:rPr>
            </w:pPr>
            <w:r>
              <w:rPr>
                <w:b/>
                <w:bCs/>
                <w:sz w:val="21"/>
                <w:szCs w:val="21"/>
              </w:rPr>
              <w:t>低水位期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 w:type="pct"/>
            <w:tcBorders>
              <w:tl2br w:val="nil"/>
              <w:tr2bl w:val="nil"/>
            </w:tcBorders>
            <w:vAlign w:val="center"/>
          </w:tcPr>
          <w:p>
            <w:pPr>
              <w:spacing w:line="240" w:lineRule="auto"/>
              <w:ind w:firstLine="0" w:firstLineChars="0"/>
              <w:jc w:val="center"/>
              <w:rPr>
                <w:sz w:val="21"/>
                <w:szCs w:val="21"/>
              </w:rPr>
            </w:pPr>
            <w:r>
              <w:rPr>
                <w:sz w:val="21"/>
                <w:szCs w:val="21"/>
              </w:rPr>
              <w:t>入渗一径流型</w:t>
            </w:r>
          </w:p>
        </w:tc>
        <w:tc>
          <w:tcPr>
            <w:tcW w:w="2122" w:type="pct"/>
            <w:tcBorders>
              <w:tl2br w:val="nil"/>
              <w:tr2bl w:val="nil"/>
            </w:tcBorders>
            <w:vAlign w:val="center"/>
          </w:tcPr>
          <w:p>
            <w:pPr>
              <w:spacing w:line="240" w:lineRule="auto"/>
              <w:ind w:firstLine="0" w:firstLineChars="0"/>
              <w:jc w:val="center"/>
              <w:rPr>
                <w:sz w:val="21"/>
                <w:szCs w:val="21"/>
              </w:rPr>
            </w:pPr>
            <w:r>
              <w:rPr>
                <w:sz w:val="21"/>
                <w:szCs w:val="21"/>
              </w:rPr>
              <w:t>洪积砾石平原中上部及河流沿岸地带</w:t>
            </w:r>
          </w:p>
        </w:tc>
        <w:tc>
          <w:tcPr>
            <w:tcW w:w="755" w:type="pct"/>
            <w:tcBorders>
              <w:tl2br w:val="nil"/>
              <w:tr2bl w:val="nil"/>
            </w:tcBorders>
            <w:vAlign w:val="center"/>
          </w:tcPr>
          <w:p>
            <w:pPr>
              <w:spacing w:line="240" w:lineRule="auto"/>
              <w:ind w:firstLine="0" w:firstLineChars="0"/>
              <w:jc w:val="center"/>
              <w:rPr>
                <w:sz w:val="21"/>
                <w:szCs w:val="21"/>
              </w:rPr>
            </w:pPr>
            <w:r>
              <w:rPr>
                <w:sz w:val="21"/>
                <w:szCs w:val="21"/>
              </w:rPr>
              <w:t>1.44~3.07m</w:t>
            </w:r>
          </w:p>
        </w:tc>
        <w:tc>
          <w:tcPr>
            <w:tcW w:w="626" w:type="pct"/>
            <w:tcBorders>
              <w:tl2br w:val="nil"/>
              <w:tr2bl w:val="nil"/>
            </w:tcBorders>
            <w:vAlign w:val="center"/>
          </w:tcPr>
          <w:p>
            <w:pPr>
              <w:spacing w:line="240" w:lineRule="auto"/>
              <w:ind w:firstLine="0" w:firstLineChars="0"/>
              <w:jc w:val="center"/>
              <w:rPr>
                <w:sz w:val="21"/>
                <w:szCs w:val="21"/>
              </w:rPr>
            </w:pPr>
            <w:r>
              <w:rPr>
                <w:sz w:val="21"/>
                <w:szCs w:val="21"/>
              </w:rPr>
              <w:t>8~10月</w:t>
            </w:r>
          </w:p>
        </w:tc>
        <w:tc>
          <w:tcPr>
            <w:tcW w:w="624" w:type="pct"/>
            <w:tcBorders>
              <w:tl2br w:val="nil"/>
              <w:tr2bl w:val="nil"/>
            </w:tcBorders>
            <w:vAlign w:val="center"/>
          </w:tcPr>
          <w:p>
            <w:pPr>
              <w:spacing w:line="240" w:lineRule="auto"/>
              <w:ind w:firstLine="0" w:firstLineChars="0"/>
              <w:jc w:val="center"/>
              <w:rPr>
                <w:sz w:val="21"/>
                <w:szCs w:val="21"/>
              </w:rPr>
            </w:pPr>
            <w:r>
              <w:rPr>
                <w:sz w:val="21"/>
                <w:szCs w:val="21"/>
              </w:rPr>
              <w:t>6~7月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 w:type="pct"/>
            <w:tcBorders>
              <w:tl2br w:val="nil"/>
              <w:tr2bl w:val="nil"/>
            </w:tcBorders>
            <w:vAlign w:val="center"/>
          </w:tcPr>
          <w:p>
            <w:pPr>
              <w:spacing w:line="240" w:lineRule="auto"/>
              <w:ind w:firstLine="0" w:firstLineChars="0"/>
              <w:jc w:val="center"/>
              <w:rPr>
                <w:sz w:val="21"/>
                <w:szCs w:val="21"/>
              </w:rPr>
            </w:pPr>
            <w:r>
              <w:rPr>
                <w:sz w:val="21"/>
                <w:szCs w:val="21"/>
              </w:rPr>
              <w:t>灌溉一开采型</w:t>
            </w:r>
          </w:p>
        </w:tc>
        <w:tc>
          <w:tcPr>
            <w:tcW w:w="2122" w:type="pct"/>
            <w:tcBorders>
              <w:tl2br w:val="nil"/>
              <w:tr2bl w:val="nil"/>
            </w:tcBorders>
            <w:vAlign w:val="center"/>
          </w:tcPr>
          <w:p>
            <w:pPr>
              <w:spacing w:line="240" w:lineRule="auto"/>
              <w:ind w:firstLine="0" w:firstLineChars="0"/>
              <w:jc w:val="center"/>
              <w:rPr>
                <w:sz w:val="21"/>
                <w:szCs w:val="21"/>
              </w:rPr>
            </w:pPr>
            <w:r>
              <w:rPr>
                <w:sz w:val="21"/>
                <w:szCs w:val="21"/>
              </w:rPr>
              <w:t>洪积砾石平原前缘及细土平原</w:t>
            </w:r>
          </w:p>
        </w:tc>
        <w:tc>
          <w:tcPr>
            <w:tcW w:w="755" w:type="pct"/>
            <w:tcBorders>
              <w:tl2br w:val="nil"/>
              <w:tr2bl w:val="nil"/>
            </w:tcBorders>
            <w:vAlign w:val="center"/>
          </w:tcPr>
          <w:p>
            <w:pPr>
              <w:spacing w:line="240" w:lineRule="auto"/>
              <w:ind w:firstLine="0" w:firstLineChars="0"/>
              <w:jc w:val="center"/>
              <w:rPr>
                <w:sz w:val="21"/>
                <w:szCs w:val="21"/>
              </w:rPr>
            </w:pPr>
            <w:r>
              <w:rPr>
                <w:sz w:val="21"/>
                <w:szCs w:val="21"/>
              </w:rPr>
              <w:t>1.30~3.17m</w:t>
            </w:r>
          </w:p>
        </w:tc>
        <w:tc>
          <w:tcPr>
            <w:tcW w:w="626" w:type="pct"/>
            <w:tcBorders>
              <w:tl2br w:val="nil"/>
              <w:tr2bl w:val="nil"/>
            </w:tcBorders>
            <w:vAlign w:val="center"/>
          </w:tcPr>
          <w:p>
            <w:pPr>
              <w:spacing w:line="240" w:lineRule="auto"/>
              <w:ind w:firstLine="0" w:firstLineChars="0"/>
              <w:jc w:val="center"/>
              <w:rPr>
                <w:sz w:val="21"/>
                <w:szCs w:val="21"/>
              </w:rPr>
            </w:pPr>
            <w:r>
              <w:rPr>
                <w:sz w:val="21"/>
                <w:szCs w:val="21"/>
              </w:rPr>
              <w:t>8~9月</w:t>
            </w:r>
          </w:p>
        </w:tc>
        <w:tc>
          <w:tcPr>
            <w:tcW w:w="624" w:type="pct"/>
            <w:tcBorders>
              <w:tl2br w:val="nil"/>
              <w:tr2bl w:val="nil"/>
            </w:tcBorders>
            <w:vAlign w:val="center"/>
          </w:tcPr>
          <w:p>
            <w:pPr>
              <w:spacing w:line="240" w:lineRule="auto"/>
              <w:ind w:firstLine="0" w:firstLineChars="0"/>
              <w:jc w:val="center"/>
              <w:rPr>
                <w:sz w:val="21"/>
                <w:szCs w:val="21"/>
              </w:rPr>
            </w:pPr>
            <w:r>
              <w:rPr>
                <w:sz w:val="21"/>
                <w:szCs w:val="21"/>
              </w:rPr>
              <w:t>2~3月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 w:type="pct"/>
            <w:tcBorders>
              <w:tl2br w:val="nil"/>
              <w:tr2bl w:val="nil"/>
            </w:tcBorders>
            <w:vAlign w:val="center"/>
          </w:tcPr>
          <w:p>
            <w:pPr>
              <w:spacing w:line="240" w:lineRule="auto"/>
              <w:ind w:firstLine="0" w:firstLineChars="0"/>
              <w:jc w:val="center"/>
              <w:rPr>
                <w:sz w:val="21"/>
                <w:szCs w:val="21"/>
              </w:rPr>
            </w:pPr>
            <w:r>
              <w:rPr>
                <w:sz w:val="21"/>
                <w:szCs w:val="21"/>
              </w:rPr>
              <w:t>蒸发一排泄型</w:t>
            </w:r>
          </w:p>
        </w:tc>
        <w:tc>
          <w:tcPr>
            <w:tcW w:w="2122" w:type="pct"/>
            <w:tcBorders>
              <w:tl2br w:val="nil"/>
              <w:tr2bl w:val="nil"/>
            </w:tcBorders>
            <w:vAlign w:val="center"/>
          </w:tcPr>
          <w:p>
            <w:pPr>
              <w:spacing w:line="240" w:lineRule="auto"/>
              <w:ind w:firstLine="0" w:firstLineChars="0"/>
              <w:jc w:val="center"/>
              <w:rPr>
                <w:sz w:val="21"/>
                <w:szCs w:val="21"/>
              </w:rPr>
            </w:pPr>
            <w:r>
              <w:rPr>
                <w:sz w:val="21"/>
                <w:szCs w:val="21"/>
              </w:rPr>
              <w:t>细土平原洼地</w:t>
            </w:r>
          </w:p>
        </w:tc>
        <w:tc>
          <w:tcPr>
            <w:tcW w:w="755" w:type="pct"/>
            <w:tcBorders>
              <w:tl2br w:val="nil"/>
              <w:tr2bl w:val="nil"/>
            </w:tcBorders>
            <w:vAlign w:val="center"/>
          </w:tcPr>
          <w:p>
            <w:pPr>
              <w:spacing w:line="240" w:lineRule="auto"/>
              <w:ind w:firstLine="0" w:firstLineChars="0"/>
              <w:jc w:val="center"/>
              <w:rPr>
                <w:sz w:val="21"/>
                <w:szCs w:val="21"/>
              </w:rPr>
            </w:pPr>
            <w:r>
              <w:rPr>
                <w:sz w:val="21"/>
                <w:szCs w:val="21"/>
              </w:rPr>
              <w:t>0.23~1.30m</w:t>
            </w:r>
          </w:p>
        </w:tc>
        <w:tc>
          <w:tcPr>
            <w:tcW w:w="626" w:type="pct"/>
            <w:tcBorders>
              <w:tl2br w:val="nil"/>
              <w:tr2bl w:val="nil"/>
            </w:tcBorders>
            <w:vAlign w:val="center"/>
          </w:tcPr>
          <w:p>
            <w:pPr>
              <w:spacing w:line="240" w:lineRule="auto"/>
              <w:ind w:firstLine="0" w:firstLineChars="0"/>
              <w:jc w:val="center"/>
              <w:rPr>
                <w:sz w:val="21"/>
                <w:szCs w:val="21"/>
              </w:rPr>
            </w:pPr>
            <w:r>
              <w:rPr>
                <w:sz w:val="21"/>
                <w:szCs w:val="21"/>
              </w:rPr>
              <w:t>1~2月</w:t>
            </w:r>
          </w:p>
        </w:tc>
        <w:tc>
          <w:tcPr>
            <w:tcW w:w="624" w:type="pct"/>
            <w:tcBorders>
              <w:tl2br w:val="nil"/>
              <w:tr2bl w:val="nil"/>
            </w:tcBorders>
            <w:vAlign w:val="center"/>
          </w:tcPr>
          <w:p>
            <w:pPr>
              <w:spacing w:line="240" w:lineRule="auto"/>
              <w:ind w:firstLine="0" w:firstLineChars="0"/>
              <w:jc w:val="center"/>
              <w:rPr>
                <w:sz w:val="21"/>
                <w:szCs w:val="21"/>
              </w:rPr>
            </w:pPr>
            <w:r>
              <w:rPr>
                <w:sz w:val="21"/>
                <w:szCs w:val="21"/>
              </w:rPr>
              <w:t>5~6月</w:t>
            </w:r>
          </w:p>
        </w:tc>
      </w:tr>
    </w:tbl>
    <w:p>
      <w:pPr>
        <w:ind w:firstLine="480"/>
      </w:pPr>
      <w:r>
        <w:rPr>
          <w:rFonts w:hint="eastAsia"/>
        </w:rPr>
        <w:t>入渗-径流型：分布于洪积砾石平原中上部及河流沿岸地带，离河床愈近受地表水文动态影响愈明显。地下水位8~10月最高，6~7月最低，水位年变幅1.44~3.07m，以地表丰水年份变幅最大，近河渠地带水位年变幅可达5.70m。</w:t>
      </w:r>
    </w:p>
    <w:p>
      <w:pPr>
        <w:ind w:firstLine="480"/>
      </w:pPr>
      <w:r>
        <w:rPr>
          <w:rFonts w:hint="eastAsia"/>
        </w:rPr>
        <w:t>灌溉-开采型：分布于洪积砾石平原前缘及细土平原， 地下水位8~9月最高，2~3月份最低，水位年变幅1.30~3.17m。受灌溉及开采影响，水位动态曲线为谷状下降、箱状隆起，呈与灌溉轮次及开采期相对应的峰谷变化.</w:t>
      </w:r>
    </w:p>
    <w:p>
      <w:pPr>
        <w:ind w:firstLine="480"/>
      </w:pPr>
      <w:r>
        <w:rPr>
          <w:rFonts w:hint="eastAsia"/>
        </w:rPr>
        <w:t>蒸发排泄型：分布于细土平原洼地，受蒸发影响，水位最低5~6月，最高1~2月，水位年变幅较小，为0.23~1.30m。</w:t>
      </w:r>
    </w:p>
    <w:p>
      <w:pPr>
        <w:ind w:firstLine="482"/>
        <w:rPr>
          <w:b/>
          <w:bCs/>
        </w:rPr>
      </w:pPr>
      <w:r>
        <w:rPr>
          <w:b/>
          <w:bCs/>
        </w:rPr>
        <w:t>②</w:t>
      </w:r>
      <w:r>
        <w:rPr>
          <w:rFonts w:hint="eastAsia"/>
          <w:b/>
          <w:bCs/>
        </w:rPr>
        <w:t>年际动态</w:t>
      </w:r>
    </w:p>
    <w:p>
      <w:pPr>
        <w:ind w:firstLine="480"/>
      </w:pPr>
      <w:r>
        <w:rPr>
          <w:rFonts w:hint="eastAsia"/>
        </w:rPr>
        <w:t>区内地下水动态观测始于1985年。观测资料表明（图4-3），上世纪90年代以前，张掖城区周边地下水总体上比较平稳，没有明显的变化趋势，但祁连山山前地带地下水位呈下降过程.</w:t>
      </w:r>
    </w:p>
    <w:p>
      <w:pPr>
        <w:ind w:firstLine="480"/>
      </w:pPr>
      <w:r>
        <w:rPr>
          <w:rFonts w:hint="eastAsia"/>
        </w:rPr>
        <w:t>90年代以来，随着水利化程度的不断提高引起的水资源利用、分布格局的变化所导致的对地下水总补给量的不断减少和1995年以后地下水开采量的持续增加，张掖盆地地下水位整体上呈不断下降的趋势，降幅自南东向北西递减，南部山前及砾石平原降幅0.8~1.0m/a，中部洪积扇前缘0.4~0.6m/a，北部细土平原0.1~0.4m/a，甘州城区一带地下水位年平均下降0.2~0.3m/a。</w:t>
      </w:r>
    </w:p>
    <w:p>
      <w:pPr>
        <w:ind w:firstLine="480"/>
      </w:pPr>
      <w:r>
        <w:rPr>
          <w:rFonts w:hint="eastAsia"/>
        </w:rPr>
        <w:t>2000年以来，随着河西走廊进入地震频繁发生期所引起的张掖盆地基底水文地质条件的改变，加上&lt;黑河流域节水灌溉综合治理工程（2000-2005年）&gt;（简称“黑河流域节水工程”）的实施所引起的水资源利用格局的再一次重新分配，区域地下水位的下降势态有所缓解，绿州区部分地段的地下水位自2001年末开始回升，上升幅度0.2~0.4m/a，但绿洲区外广大的山前戈壁地带地下水位仍处于下降过程。</w:t>
      </w:r>
    </w:p>
    <w:p>
      <w:pPr>
        <w:ind w:firstLine="480"/>
      </w:pPr>
      <w:r>
        <w:rPr>
          <w:rFonts w:hint="eastAsia"/>
        </w:rPr>
        <w:t>自2003年10月25日山丹、民乐县交接的永固发生6.0级、6.1级地震以来，包括甘州城区及外围的广大绿洲地下水位持续上升，上升幅度0.3~0.6m/a，特别是2005年9月以后地下水位上升幅度加大到0.8~1.0m/a，上升范围扩大到除甘州区东部碱滩乡以外的整个地区， 而碱滩地带地下水位一直呈缓慢下降趋势。</w:t>
      </w:r>
    </w:p>
    <w:p>
      <w:pPr>
        <w:ind w:firstLine="480"/>
      </w:pPr>
      <w:r>
        <w:rPr>
          <w:rFonts w:hint="eastAsia"/>
        </w:rPr>
        <w:t>南部洪积砾石平原区甘州区大满一带，据1854号动态点反映，2002年之前，地下水位处于波状下降状态，1994年至2002年累计下降幅度达4.03m，年降幅达0.5m，自2002年后地下水位开始缓慢上升，至2011年上升幅度达4.12m。</w:t>
      </w:r>
    </w:p>
    <w:p>
      <w:pPr>
        <w:ind w:firstLine="480"/>
      </w:pPr>
      <w:r>
        <w:rPr>
          <w:rFonts w:hint="eastAsia"/>
        </w:rPr>
        <w:t>东部民乐三堡徐家寨一带地下水位2003年之前一直处于下降状态，年降幅达1.00m，2003年以后水位较为平稳，变化幅度较小。</w:t>
      </w:r>
    </w:p>
    <w:p>
      <w:pPr>
        <w:spacing w:line="240" w:lineRule="auto"/>
        <w:ind w:firstLine="0" w:firstLineChars="0"/>
        <w:jc w:val="center"/>
      </w:pPr>
      <w:r>
        <w:rPr>
          <w:rFonts w:hint="eastAsia"/>
        </w:rPr>
        <w:drawing>
          <wp:inline distT="0" distB="0" distL="114300" distR="114300">
            <wp:extent cx="4480560" cy="4136390"/>
            <wp:effectExtent l="0" t="0" r="15240" b="16510"/>
            <wp:docPr id="9" name="图片 9" descr="新文档 2019-02-11 14.52.21_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新文档 2019-02-11 14.52.21_7"/>
                    <pic:cNvPicPr>
                      <a:picLocks noChangeAspect="1"/>
                    </pic:cNvPicPr>
                  </pic:nvPicPr>
                  <pic:blipFill>
                    <a:blip r:embed="rId66"/>
                    <a:stretch>
                      <a:fillRect/>
                    </a:stretch>
                  </pic:blipFill>
                  <pic:spPr>
                    <a:xfrm>
                      <a:off x="0" y="0"/>
                      <a:ext cx="4480560" cy="4136390"/>
                    </a:xfrm>
                    <a:prstGeom prst="rect">
                      <a:avLst/>
                    </a:prstGeom>
                  </pic:spPr>
                </pic:pic>
              </a:graphicData>
            </a:graphic>
          </wp:inline>
        </w:drawing>
      </w:r>
    </w:p>
    <w:p>
      <w:pPr>
        <w:widowControl/>
        <w:spacing w:after="156" w:afterLines="50" w:line="240" w:lineRule="auto"/>
        <w:ind w:firstLine="0" w:firstLineChars="0"/>
        <w:jc w:val="center"/>
        <w:rPr>
          <w:b/>
          <w:bCs/>
          <w:kern w:val="0"/>
          <w:sz w:val="21"/>
          <w:szCs w:val="21"/>
          <w:lang w:bidi="ar"/>
        </w:rPr>
      </w:pPr>
      <w:r>
        <w:rPr>
          <w:rFonts w:hint="eastAsia"/>
          <w:b/>
          <w:bCs/>
          <w:kern w:val="0"/>
          <w:sz w:val="21"/>
          <w:szCs w:val="21"/>
          <w:lang w:bidi="ar"/>
        </w:rPr>
        <w:t>图</w:t>
      </w:r>
      <w:r>
        <w:rPr>
          <w:rFonts w:hint="eastAsia"/>
          <w:b/>
          <w:bCs/>
          <w:kern w:val="0"/>
          <w:sz w:val="21"/>
          <w:szCs w:val="21"/>
          <w:lang w:val="en-US" w:eastAsia="zh-CN" w:bidi="ar"/>
        </w:rPr>
        <w:t>5</w:t>
      </w:r>
      <w:r>
        <w:rPr>
          <w:rFonts w:hint="eastAsia"/>
          <w:b/>
          <w:bCs/>
          <w:kern w:val="0"/>
          <w:sz w:val="21"/>
          <w:szCs w:val="21"/>
          <w:lang w:bidi="ar"/>
        </w:rPr>
        <w:t>-3    水位动态曲线图</w:t>
      </w:r>
    </w:p>
    <w:p>
      <w:pPr>
        <w:widowControl/>
        <w:ind w:firstLine="480"/>
        <w:jc w:val="left"/>
        <w:rPr>
          <w:rFonts w:ascii="宋体" w:hAnsi="宋体" w:cs="宋体"/>
          <w:kern w:val="0"/>
          <w:lang w:bidi="ar"/>
        </w:rPr>
      </w:pPr>
      <w:r>
        <w:rPr>
          <w:rFonts w:hint="eastAsia" w:ascii="宋体" w:hAnsi="宋体" w:cs="宋体"/>
          <w:kern w:val="0"/>
          <w:lang w:bidi="ar"/>
        </w:rPr>
        <w:t>本次采用水位多年变化速率评价论证地下水水位变化趋势，计算公式为：</w:t>
      </w:r>
    </w:p>
    <w:p>
      <w:pPr>
        <w:widowControl/>
        <w:spacing w:before="156" w:beforeLines="50" w:line="240" w:lineRule="auto"/>
        <w:ind w:firstLine="0" w:firstLineChars="0"/>
        <w:jc w:val="center"/>
        <w:rPr>
          <w:rFonts w:ascii="宋体" w:hAnsi="宋体" w:cs="宋体"/>
          <w:kern w:val="0"/>
          <w:position w:val="-24"/>
          <w:lang w:bidi="ar"/>
        </w:rPr>
      </w:pPr>
      <w:r>
        <w:rPr>
          <w:rFonts w:ascii="宋体" w:hAnsi="宋体" w:cs="宋体"/>
          <w:kern w:val="0"/>
          <w:position w:val="-24"/>
          <w:lang w:bidi="ar"/>
        </w:rPr>
        <w:object>
          <v:shape id="_x0000_i1047" o:spt="75" type="#_x0000_t75" style="height:31pt;width:62.9pt;" o:ole="t" filled="f" o:preferrelative="t" stroked="f" coordsize="21600,21600">
            <v:path/>
            <v:fill on="f" focussize="0,0"/>
            <v:stroke on="f" joinstyle="miter"/>
            <v:imagedata r:id="rId68" o:title=""/>
            <o:lock v:ext="edit" aspectratio="t"/>
            <w10:wrap type="none"/>
            <w10:anchorlock/>
          </v:shape>
          <o:OLEObject Type="Embed" ProgID="Equation.KSEE3" ShapeID="_x0000_i1047" DrawAspect="Content" ObjectID="_1468075747" r:id="rId67">
            <o:LockedField>false</o:LockedField>
          </o:OLEObject>
        </w:object>
      </w:r>
    </w:p>
    <w:p>
      <w:pPr>
        <w:ind w:firstLine="480"/>
      </w:pPr>
      <w:r>
        <w:rPr>
          <w:rFonts w:hint="eastAsia"/>
        </w:rPr>
        <w:t>式中：</w:t>
      </w:r>
      <w:r>
        <w:t>v</w:t>
      </w:r>
      <w:r>
        <w:rPr>
          <w:rFonts w:hint="eastAsia"/>
        </w:rPr>
        <w:t>——</w:t>
      </w:r>
      <w:r>
        <w:t>年均地下水水位变化速率</w:t>
      </w:r>
      <w:r>
        <w:rPr>
          <w:rFonts w:hint="eastAsia"/>
        </w:rPr>
        <w:t>（</w:t>
      </w:r>
      <w:r>
        <w:t>m/a</w:t>
      </w:r>
      <w:r>
        <w:rPr>
          <w:rFonts w:hint="eastAsia"/>
        </w:rPr>
        <w:t>）；</w:t>
      </w:r>
    </w:p>
    <w:p>
      <w:pPr>
        <w:ind w:firstLine="480"/>
      </w:pPr>
      <w:r>
        <w:t>H</w:t>
      </w:r>
      <w:r>
        <w:rPr>
          <w:rFonts w:hint="eastAsia"/>
          <w:vertAlign w:val="subscript"/>
        </w:rPr>
        <w:t>1</w:t>
      </w:r>
      <w:r>
        <w:rPr>
          <w:rFonts w:hint="eastAsia"/>
        </w:rPr>
        <w:t>——</w:t>
      </w:r>
      <w:r>
        <w:t>地下水开发利用之初地下水水位</w:t>
      </w:r>
      <w:r>
        <w:rPr>
          <w:rFonts w:hint="eastAsia"/>
        </w:rPr>
        <w:t>（</w:t>
      </w:r>
      <w:r>
        <w:t>m</w:t>
      </w:r>
      <w:r>
        <w:rPr>
          <w:rFonts w:hint="eastAsia"/>
        </w:rPr>
        <w:t>）：</w:t>
      </w:r>
    </w:p>
    <w:p>
      <w:pPr>
        <w:ind w:firstLine="480"/>
      </w:pPr>
      <w:r>
        <w:t>H</w:t>
      </w:r>
      <w:r>
        <w:rPr>
          <w:rFonts w:hint="eastAsia"/>
          <w:vertAlign w:val="subscript"/>
        </w:rPr>
        <w:t>2</w:t>
      </w:r>
      <w:r>
        <w:rPr>
          <w:rFonts w:hint="eastAsia"/>
        </w:rPr>
        <w:t>——</w:t>
      </w:r>
      <w:r>
        <w:t>地下水开发利用之末地下水水位</w:t>
      </w:r>
      <w:r>
        <w:rPr>
          <w:rFonts w:hint="eastAsia"/>
        </w:rPr>
        <w:t>（</w:t>
      </w:r>
      <w:r>
        <w:t>m</w:t>
      </w:r>
      <w:r>
        <w:rPr>
          <w:rFonts w:hint="eastAsia"/>
        </w:rPr>
        <w:t>）；</w:t>
      </w:r>
    </w:p>
    <w:p>
      <w:pPr>
        <w:ind w:firstLine="480"/>
      </w:pPr>
      <w:r>
        <w:t>T</w:t>
      </w:r>
      <w:r>
        <w:rPr>
          <w:rFonts w:hint="eastAsia"/>
        </w:rPr>
        <w:t>——</w:t>
      </w:r>
      <w:r>
        <w:t>地下水开发利用时期年数</w:t>
      </w:r>
      <w:r>
        <w:rPr>
          <w:rFonts w:hint="eastAsia"/>
        </w:rPr>
        <w:t>（a）。</w:t>
      </w:r>
    </w:p>
    <w:p>
      <w:pPr>
        <w:ind w:firstLine="480"/>
      </w:pPr>
      <w:r>
        <w:t>本次计算基准年选为各长观孔始测年。经计算，区内潜水水位持续下降速率最大为0.53m/a，最小为-0.41m/a</w:t>
      </w:r>
      <w:r>
        <w:rPr>
          <w:rFonts w:hint="eastAsia"/>
        </w:rPr>
        <w:t>（</w:t>
      </w:r>
      <w:r>
        <w:t>负值表示水位上升</w:t>
      </w:r>
      <w:r>
        <w:rPr>
          <w:rFonts w:hint="eastAsia"/>
        </w:rPr>
        <w:t>）</w:t>
      </w:r>
      <w:r>
        <w:t>。承压水水头持续下降速率最大为0.63m/a，最小为-0.003m/a</w:t>
      </w:r>
      <w:r>
        <w:rPr>
          <w:rFonts w:hint="eastAsia"/>
        </w:rPr>
        <w:t>（</w:t>
      </w:r>
      <w:r>
        <w:t>负值表示水头上升</w:t>
      </w:r>
      <w:r>
        <w:rPr>
          <w:rFonts w:hint="eastAsia"/>
        </w:rPr>
        <w:t>）</w:t>
      </w:r>
      <w:r>
        <w:t>。</w:t>
      </w:r>
    </w:p>
    <w:p>
      <w:pPr>
        <w:ind w:firstLine="482"/>
        <w:rPr>
          <w:b/>
          <w:bCs/>
        </w:rPr>
      </w:pPr>
      <w:r>
        <w:rPr>
          <w:rFonts w:hint="eastAsia"/>
          <w:b/>
          <w:bCs/>
        </w:rPr>
        <w:t>（2）水化学动态</w:t>
      </w:r>
    </w:p>
    <w:p>
      <w:pPr>
        <w:ind w:firstLine="480"/>
      </w:pPr>
      <w:r>
        <w:t>地下水水化学动态基本稳定，化学组分含量变化不大，矿化度一般年内丰水季节低于枯水季节。矿化度多年变幅0.15-0.67g/L；总硬度多年变幅34-424.4mg/L（图</w:t>
      </w:r>
      <w:r>
        <w:rPr>
          <w:rFonts w:hint="eastAsia"/>
          <w:lang w:val="en-US" w:eastAsia="zh-CN"/>
        </w:rPr>
        <w:t>5</w:t>
      </w:r>
      <w:r>
        <w:t>-</w:t>
      </w:r>
      <w:r>
        <w:rPr>
          <w:rFonts w:hint="eastAsia"/>
        </w:rPr>
        <w:t>4</w:t>
      </w:r>
      <w:r>
        <w:t>、图</w:t>
      </w:r>
      <w:r>
        <w:rPr>
          <w:rFonts w:hint="eastAsia"/>
          <w:lang w:val="en-US" w:eastAsia="zh-CN"/>
        </w:rPr>
        <w:t>5</w:t>
      </w:r>
      <w:r>
        <w:t>-</w:t>
      </w:r>
      <w:r>
        <w:rPr>
          <w:rFonts w:hint="eastAsia"/>
        </w:rPr>
        <w:t>5</w:t>
      </w:r>
      <w:r>
        <w:t>）。</w:t>
      </w:r>
    </w:p>
    <w:p>
      <w:pPr>
        <w:widowControl/>
        <w:spacing w:line="240" w:lineRule="auto"/>
        <w:ind w:firstLine="0" w:firstLineChars="0"/>
        <w:jc w:val="center"/>
        <w:rPr>
          <w:rFonts w:ascii="宋体" w:hAnsi="宋体" w:cs="宋体"/>
          <w:kern w:val="0"/>
          <w:lang w:bidi="ar"/>
        </w:rPr>
      </w:pPr>
      <w:r>
        <w:rPr>
          <w:rFonts w:hint="eastAsia"/>
        </w:rPr>
        <w:drawing>
          <wp:inline distT="0" distB="0" distL="114300" distR="114300">
            <wp:extent cx="6028055" cy="4015105"/>
            <wp:effectExtent l="0" t="0" r="10795" b="4445"/>
            <wp:docPr id="11" name="图片 11" descr="新文档 2019-02-11 14.52.21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新文档 2019-02-11 14.52.21_9"/>
                    <pic:cNvPicPr>
                      <a:picLocks noChangeAspect="1"/>
                    </pic:cNvPicPr>
                  </pic:nvPicPr>
                  <pic:blipFill>
                    <a:blip r:embed="rId69"/>
                    <a:srcRect b="51514"/>
                    <a:stretch>
                      <a:fillRect/>
                    </a:stretch>
                  </pic:blipFill>
                  <pic:spPr>
                    <a:xfrm>
                      <a:off x="0" y="0"/>
                      <a:ext cx="6028055" cy="4015105"/>
                    </a:xfrm>
                    <a:prstGeom prst="rect">
                      <a:avLst/>
                    </a:prstGeom>
                  </pic:spPr>
                </pic:pic>
              </a:graphicData>
            </a:graphic>
          </wp:inline>
        </w:drawing>
      </w:r>
    </w:p>
    <w:p>
      <w:pPr>
        <w:widowControl/>
        <w:spacing w:after="156" w:afterLines="50" w:line="240" w:lineRule="auto"/>
        <w:ind w:firstLine="0" w:firstLineChars="0"/>
        <w:jc w:val="center"/>
        <w:rPr>
          <w:rFonts w:hint="eastAsia"/>
          <w:b/>
          <w:bCs/>
          <w:kern w:val="0"/>
          <w:sz w:val="21"/>
          <w:szCs w:val="21"/>
          <w:lang w:bidi="ar"/>
        </w:rPr>
      </w:pPr>
      <w:r>
        <w:rPr>
          <w:rFonts w:hint="eastAsia"/>
          <w:b/>
          <w:bCs/>
          <w:kern w:val="0"/>
          <w:sz w:val="21"/>
          <w:szCs w:val="21"/>
          <w:lang w:bidi="ar"/>
        </w:rPr>
        <w:t>图</w:t>
      </w:r>
      <w:r>
        <w:rPr>
          <w:rFonts w:hint="eastAsia"/>
          <w:b/>
          <w:bCs/>
          <w:kern w:val="0"/>
          <w:sz w:val="21"/>
          <w:szCs w:val="21"/>
          <w:lang w:val="en-US" w:eastAsia="zh-CN" w:bidi="ar"/>
        </w:rPr>
        <w:t>5</w:t>
      </w:r>
      <w:r>
        <w:rPr>
          <w:rFonts w:hint="eastAsia"/>
          <w:b/>
          <w:bCs/>
          <w:kern w:val="0"/>
          <w:sz w:val="21"/>
          <w:szCs w:val="21"/>
          <w:lang w:bidi="ar"/>
        </w:rPr>
        <w:t>-4    矿化度动态曲线图</w:t>
      </w:r>
    </w:p>
    <w:p>
      <w:pPr>
        <w:bidi w:val="0"/>
        <w:rPr>
          <w:rFonts w:hint="eastAsia"/>
        </w:rPr>
      </w:pPr>
    </w:p>
    <w:p>
      <w:pPr>
        <w:bidi w:val="0"/>
        <w:rPr>
          <w:rFonts w:hint="eastAsia"/>
        </w:rPr>
      </w:pPr>
    </w:p>
    <w:p>
      <w:pPr>
        <w:widowControl/>
        <w:spacing w:line="240" w:lineRule="auto"/>
        <w:ind w:firstLine="0" w:firstLineChars="0"/>
        <w:jc w:val="center"/>
      </w:pPr>
      <w:r>
        <w:rPr>
          <w:rFonts w:hint="eastAsia"/>
        </w:rPr>
        <w:drawing>
          <wp:inline distT="0" distB="0" distL="114300" distR="114300">
            <wp:extent cx="6109335" cy="3651885"/>
            <wp:effectExtent l="0" t="0" r="5715" b="5715"/>
            <wp:docPr id="12" name="图片 12" descr="新文档 2019-02-11 14.52.21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新文档 2019-02-11 14.52.21_9"/>
                    <pic:cNvPicPr>
                      <a:picLocks noChangeAspect="1"/>
                    </pic:cNvPicPr>
                  </pic:nvPicPr>
                  <pic:blipFill>
                    <a:blip r:embed="rId69"/>
                    <a:srcRect t="51505"/>
                    <a:stretch>
                      <a:fillRect/>
                    </a:stretch>
                  </pic:blipFill>
                  <pic:spPr>
                    <a:xfrm>
                      <a:off x="0" y="0"/>
                      <a:ext cx="6109335" cy="3651885"/>
                    </a:xfrm>
                    <a:prstGeom prst="rect">
                      <a:avLst/>
                    </a:prstGeom>
                  </pic:spPr>
                </pic:pic>
              </a:graphicData>
            </a:graphic>
          </wp:inline>
        </w:drawing>
      </w:r>
    </w:p>
    <w:p>
      <w:pPr>
        <w:widowControl/>
        <w:spacing w:after="156" w:afterLines="50" w:line="240" w:lineRule="auto"/>
        <w:ind w:firstLine="0" w:firstLineChars="0"/>
        <w:jc w:val="center"/>
        <w:rPr>
          <w:b/>
          <w:bCs/>
          <w:kern w:val="0"/>
          <w:sz w:val="21"/>
          <w:szCs w:val="21"/>
          <w:lang w:bidi="ar"/>
        </w:rPr>
      </w:pPr>
      <w:r>
        <w:rPr>
          <w:rFonts w:hint="eastAsia"/>
          <w:b/>
          <w:bCs/>
          <w:kern w:val="0"/>
          <w:sz w:val="21"/>
          <w:szCs w:val="21"/>
          <w:lang w:bidi="ar"/>
        </w:rPr>
        <w:t>图</w:t>
      </w:r>
      <w:r>
        <w:rPr>
          <w:rFonts w:hint="eastAsia"/>
          <w:b/>
          <w:bCs/>
          <w:kern w:val="0"/>
          <w:sz w:val="21"/>
          <w:szCs w:val="21"/>
          <w:lang w:val="en-US" w:eastAsia="zh-CN" w:bidi="ar"/>
        </w:rPr>
        <w:t>5</w:t>
      </w:r>
      <w:r>
        <w:rPr>
          <w:rFonts w:hint="eastAsia"/>
          <w:b/>
          <w:bCs/>
          <w:kern w:val="0"/>
          <w:sz w:val="21"/>
          <w:szCs w:val="21"/>
          <w:lang w:bidi="ar"/>
        </w:rPr>
        <w:t>-5    总硬度动态曲线图</w:t>
      </w:r>
    </w:p>
    <w:p>
      <w:pPr>
        <w:ind w:firstLine="482"/>
        <w:rPr>
          <w:b/>
          <w:bCs/>
        </w:rPr>
      </w:pPr>
      <w:r>
        <w:rPr>
          <w:rFonts w:hint="eastAsia"/>
          <w:b/>
          <w:bCs/>
        </w:rPr>
        <w:t>4、</w:t>
      </w:r>
      <w:r>
        <w:rPr>
          <w:b/>
          <w:bCs/>
        </w:rPr>
        <w:t>地层条件</w:t>
      </w:r>
    </w:p>
    <w:p>
      <w:pPr>
        <w:ind w:firstLine="480"/>
      </w:pPr>
      <w:r>
        <w:t>根据项目区岩土工程勘察探井揭露结果，场地上层为细砂</w:t>
      </w:r>
      <w:r>
        <w:rPr>
          <w:rFonts w:hint="eastAsia"/>
        </w:rPr>
        <w:t>（</w:t>
      </w:r>
      <w:r>
        <w:t>Q</w:t>
      </w:r>
      <w:r>
        <w:rPr>
          <w:rFonts w:hint="eastAsia"/>
          <w:vertAlign w:val="subscript"/>
        </w:rPr>
        <w:t>4</w:t>
      </w:r>
      <w:r>
        <w:rPr>
          <w:rFonts w:hint="eastAsia"/>
          <w:vertAlign w:val="superscript"/>
        </w:rPr>
        <w:t>a</w:t>
      </w:r>
      <w:r>
        <w:rPr>
          <w:vertAlign w:val="superscript"/>
        </w:rPr>
        <w:t>l</w:t>
      </w:r>
      <w:r>
        <w:rPr>
          <w:rFonts w:hint="eastAsia"/>
        </w:rPr>
        <w:t>）</w:t>
      </w:r>
      <w:r>
        <w:t>层，平均厚度1.67m，下层为卵石</w:t>
      </w:r>
      <w:r>
        <w:rPr>
          <w:rFonts w:hint="eastAsia"/>
        </w:rPr>
        <w:t>（</w:t>
      </w:r>
      <w:r>
        <w:t>Q</w:t>
      </w:r>
      <w:r>
        <w:rPr>
          <w:rFonts w:hint="eastAsia"/>
          <w:vertAlign w:val="subscript"/>
        </w:rPr>
        <w:t>4</w:t>
      </w:r>
      <w:r>
        <w:rPr>
          <w:rFonts w:hint="eastAsia"/>
          <w:vertAlign w:val="superscript"/>
        </w:rPr>
        <w:t>a</w:t>
      </w:r>
      <w:r>
        <w:rPr>
          <w:vertAlign w:val="superscript"/>
        </w:rPr>
        <w:t>l</w:t>
      </w:r>
      <w:r>
        <w:rPr>
          <w:rFonts w:hint="eastAsia"/>
          <w:vertAlign w:val="superscript"/>
        </w:rPr>
        <w:t>+pl</w:t>
      </w:r>
      <w:r>
        <w:rPr>
          <w:rFonts w:hint="eastAsia"/>
        </w:rPr>
        <w:t>）</w:t>
      </w:r>
      <w:r>
        <w:t>，青灰色，中密一密实，稍湿，一般粒径20-60mm，大者60-80mm，最大粒径120mm，卵石约占60%，其次为砾石约占25%，充填物为中粗砂，约占15%，砾卵石呈次圆状，扁平状，成分以花岗岩、石英岩为主，中粗砂成分以长石、石英为主，平均厚度5.4-9.6m</w:t>
      </w:r>
      <w:r>
        <w:rPr>
          <w:rFonts w:hint="eastAsia"/>
        </w:rPr>
        <w:t>（</w:t>
      </w:r>
      <w:r>
        <w:t>未揭穿</w:t>
      </w:r>
      <w:r>
        <w:rPr>
          <w:rFonts w:hint="eastAsia"/>
        </w:rPr>
        <w:t>）。</w:t>
      </w:r>
    </w:p>
    <w:p>
      <w:pPr>
        <w:ind w:firstLine="480"/>
      </w:pPr>
      <w:r>
        <w:t>本次收集了项目区下游2.7km处国家黑河流域HQ09监测孔地层剖面资料</w:t>
      </w:r>
      <w:r>
        <w:rPr>
          <w:rFonts w:hint="eastAsia"/>
        </w:rPr>
        <w:t>（</w:t>
      </w:r>
      <w:r>
        <w:t>图</w:t>
      </w:r>
      <w:r>
        <w:rPr>
          <w:rFonts w:hint="eastAsia"/>
        </w:rPr>
        <w:t>4</w:t>
      </w:r>
      <w:r>
        <w:t>-</w:t>
      </w:r>
      <w:r>
        <w:rPr>
          <w:rFonts w:hint="eastAsia"/>
        </w:rPr>
        <w:t>6）</w:t>
      </w:r>
      <w:r>
        <w:t>，据钻孔地层剖面显示包气带岩性主要为含泥砂砾石，其上层为含泥粉细砂，粉细砂厚度约27m，含泥砂砾石厚度约30m</w:t>
      </w:r>
      <w:r>
        <w:rPr>
          <w:rFonts w:hint="eastAsia"/>
        </w:rPr>
        <w:t>；</w:t>
      </w:r>
      <w:r>
        <w:t>含水层岩性主要为砂砾石，呈巨厚层状，分选性差，磨圆度一般。</w:t>
      </w:r>
    </w:p>
    <w:p>
      <w:pPr>
        <w:bidi w:val="0"/>
      </w:pPr>
    </w:p>
    <w:p>
      <w:pPr>
        <w:bidi w:val="0"/>
      </w:pPr>
    </w:p>
    <w:p>
      <w:pPr>
        <w:bidi w:val="0"/>
      </w:pPr>
    </w:p>
    <w:p>
      <w:pPr>
        <w:bidi w:val="0"/>
      </w:pPr>
    </w:p>
    <w:p>
      <w:pPr>
        <w:bidi w:val="0"/>
      </w:pPr>
    </w:p>
    <w:p>
      <w:pPr>
        <w:bidi w:val="0"/>
      </w:pPr>
    </w:p>
    <w:p>
      <w:pPr>
        <w:widowControl/>
        <w:spacing w:line="240" w:lineRule="auto"/>
        <w:ind w:firstLine="0" w:firstLineChars="0"/>
        <w:jc w:val="center"/>
        <w:rPr>
          <w:kern w:val="0"/>
          <w:lang w:bidi="ar"/>
        </w:rPr>
      </w:pPr>
      <w:r>
        <w:rPr>
          <w:rFonts w:hint="eastAsia"/>
        </w:rPr>
        <w:drawing>
          <wp:inline distT="0" distB="0" distL="114300" distR="114300">
            <wp:extent cx="5186045" cy="8265160"/>
            <wp:effectExtent l="0" t="0" r="14605" b="2540"/>
            <wp:docPr id="13" name="图片 13" descr="新文档 2019-02-11 14.52.21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新文档 2019-02-11 14.52.21_10"/>
                    <pic:cNvPicPr>
                      <a:picLocks noChangeAspect="1"/>
                    </pic:cNvPicPr>
                  </pic:nvPicPr>
                  <pic:blipFill>
                    <a:blip r:embed="rId70"/>
                    <a:stretch>
                      <a:fillRect/>
                    </a:stretch>
                  </pic:blipFill>
                  <pic:spPr>
                    <a:xfrm>
                      <a:off x="0" y="0"/>
                      <a:ext cx="5186045" cy="8265160"/>
                    </a:xfrm>
                    <a:prstGeom prst="rect">
                      <a:avLst/>
                    </a:prstGeom>
                  </pic:spPr>
                </pic:pic>
              </a:graphicData>
            </a:graphic>
          </wp:inline>
        </w:drawing>
      </w:r>
    </w:p>
    <w:p>
      <w:pPr>
        <w:widowControl/>
        <w:spacing w:after="156" w:afterLines="50" w:line="240" w:lineRule="auto"/>
        <w:ind w:firstLine="0" w:firstLineChars="0"/>
        <w:jc w:val="center"/>
        <w:rPr>
          <w:b/>
          <w:bCs/>
          <w:kern w:val="0"/>
          <w:sz w:val="21"/>
          <w:szCs w:val="21"/>
          <w:lang w:bidi="ar"/>
        </w:rPr>
      </w:pPr>
      <w:r>
        <w:rPr>
          <w:b/>
          <w:bCs/>
          <w:kern w:val="0"/>
          <w:sz w:val="21"/>
          <w:szCs w:val="21"/>
          <w:lang w:bidi="ar"/>
        </w:rPr>
        <w:t>图</w:t>
      </w:r>
      <w:r>
        <w:rPr>
          <w:rFonts w:hint="eastAsia"/>
          <w:b/>
          <w:bCs/>
          <w:kern w:val="0"/>
          <w:sz w:val="21"/>
          <w:szCs w:val="21"/>
          <w:lang w:val="en-US" w:eastAsia="zh-CN" w:bidi="ar"/>
        </w:rPr>
        <w:t>5</w:t>
      </w:r>
      <w:r>
        <w:rPr>
          <w:b/>
          <w:bCs/>
          <w:kern w:val="0"/>
          <w:sz w:val="21"/>
          <w:szCs w:val="21"/>
          <w:lang w:bidi="ar"/>
        </w:rPr>
        <w:t>-</w:t>
      </w:r>
      <w:r>
        <w:rPr>
          <w:rFonts w:hint="eastAsia"/>
          <w:b/>
          <w:bCs/>
          <w:kern w:val="0"/>
          <w:sz w:val="21"/>
          <w:szCs w:val="21"/>
          <w:lang w:bidi="ar"/>
        </w:rPr>
        <w:t>6</w:t>
      </w:r>
      <w:r>
        <w:rPr>
          <w:b/>
          <w:bCs/>
          <w:kern w:val="0"/>
          <w:sz w:val="21"/>
          <w:szCs w:val="21"/>
          <w:lang w:bidi="ar"/>
        </w:rPr>
        <w:t xml:space="preserve">    项目区下游2.7km处国家监测孔HQ09地层剖面图</w:t>
      </w:r>
    </w:p>
    <w:p>
      <w:pPr>
        <w:ind w:firstLine="482"/>
        <w:rPr>
          <w:b/>
          <w:bCs/>
        </w:rPr>
      </w:pPr>
      <w:r>
        <w:rPr>
          <w:rFonts w:hint="eastAsia"/>
          <w:b/>
          <w:bCs/>
        </w:rPr>
        <w:t>5、</w:t>
      </w:r>
      <w:r>
        <w:rPr>
          <w:b/>
          <w:bCs/>
        </w:rPr>
        <w:t>含水层的埋藏及富水性</w:t>
      </w:r>
    </w:p>
    <w:p>
      <w:pPr>
        <w:ind w:firstLine="480"/>
      </w:pPr>
      <w:r>
        <w:t>评价区地下水主要赋存于第四系中上更新统含水层中，岩性以含泥砂砾卵石层为主，其间夹有薄层砂。砾、卵石成份以变质砂岩、花岗岩为主，卵石粒径多为50.00-200.00mm，磨圆度较好，呈中等到浑圆状。评价区西南部含水层颗粒较粗且深部含有漂石，而东北部颗粒相对较细。</w:t>
      </w:r>
    </w:p>
    <w:p>
      <w:pPr>
        <w:ind w:firstLine="480"/>
      </w:pPr>
      <w:r>
        <w:t>评价区地下水水位埋深自南西向北东渐浅，评价区南部巴吉滩新建水源地一带水位埋深140-150m</w:t>
      </w:r>
      <w:r>
        <w:rPr>
          <w:rFonts w:hint="eastAsia"/>
        </w:rPr>
        <w:t>；</w:t>
      </w:r>
      <w:r>
        <w:t>中部张肃公路一带水位埋深减小为60-80m</w:t>
      </w:r>
      <w:r>
        <w:rPr>
          <w:rFonts w:hint="eastAsia"/>
        </w:rPr>
        <w:t>；</w:t>
      </w:r>
      <w:r>
        <w:t>评价区北部水位埋深为50m左右。</w:t>
      </w:r>
    </w:p>
    <w:p>
      <w:pPr>
        <w:ind w:firstLine="480"/>
      </w:pPr>
      <w:r>
        <w:t>根据已有钻孔抽水试验资料，评价区含水层富水性良好，项目区一带单井涌水量一般为3000-5000m</w:t>
      </w:r>
      <w:r>
        <w:rPr>
          <w:rFonts w:hint="eastAsia"/>
          <w:vertAlign w:val="superscript"/>
        </w:rPr>
        <w:t>3</w:t>
      </w:r>
      <w:r>
        <w:t>/d</w:t>
      </w:r>
      <w:r>
        <w:rPr>
          <w:rFonts w:hint="eastAsia"/>
        </w:rPr>
        <w:t>（</w:t>
      </w:r>
      <w:r>
        <w:t>管径12时，降深5.00m，下同</w:t>
      </w:r>
      <w:r>
        <w:rPr>
          <w:rFonts w:hint="eastAsia"/>
        </w:rPr>
        <w:t>）</w:t>
      </w:r>
      <w:r>
        <w:t>，张肃公路以北单井涌水量大于5000m</w:t>
      </w:r>
      <w:r>
        <w:rPr>
          <w:rFonts w:hint="eastAsia"/>
          <w:vertAlign w:val="superscript"/>
        </w:rPr>
        <w:t>3</w:t>
      </w:r>
      <w:r>
        <w:t>/d，评价区西南部靠近山前地带含水层富水性减弱，单井涌水量一般小于1000m</w:t>
      </w:r>
      <w:r>
        <w:rPr>
          <w:rFonts w:hint="eastAsia"/>
          <w:vertAlign w:val="superscript"/>
        </w:rPr>
        <w:t>3</w:t>
      </w:r>
      <w:r>
        <w:t>/d</w:t>
      </w:r>
      <w:r>
        <w:rPr>
          <w:rFonts w:hint="eastAsia"/>
        </w:rPr>
        <w:t>。</w:t>
      </w:r>
    </w:p>
    <w:p>
      <w:pPr>
        <w:ind w:firstLine="482"/>
      </w:pPr>
      <w:r>
        <w:rPr>
          <w:rFonts w:hint="eastAsia"/>
          <w:b/>
          <w:bCs/>
        </w:rPr>
        <w:t>6、地下水的补给、径流、排泄条件</w:t>
      </w:r>
    </w:p>
    <w:p>
      <w:pPr>
        <w:ind w:firstLine="480"/>
      </w:pPr>
      <w:r>
        <w:rPr>
          <w:rFonts w:hint="eastAsia"/>
        </w:rPr>
        <w:t>评价区大部分区域为戈壁滩，地下水水位埋深大（大于50.00m），加之降水稀少，蒸发强烈，使得大气降水几乎无法补给地下水。因此，该区地下水主要接受来自东南方向的侧向径流补给。</w:t>
      </w:r>
    </w:p>
    <w:p>
      <w:pPr>
        <w:ind w:firstLine="480"/>
      </w:pPr>
      <w:r>
        <w:rPr>
          <w:rFonts w:hint="eastAsia"/>
        </w:rPr>
        <w:t>受含水层岩性结构、地形地貌及地下水补给条件等因素控制，评价区地下水径流通畅，整体由东南向西北方向径流，水力坡度为1.96-6.3232％。评价区地下水水位埋深大于50.00m，无泉水溢出，蒸发消耗亦很小，因此其主要排泄方式为侧向径流和人工开采。</w:t>
      </w:r>
    </w:p>
    <w:p>
      <w:pPr>
        <w:ind w:firstLine="482"/>
      </w:pPr>
      <w:r>
        <w:rPr>
          <w:rFonts w:hint="eastAsia"/>
          <w:b/>
          <w:bCs/>
        </w:rPr>
        <w:t>7、地下水水化学特征</w:t>
      </w:r>
    </w:p>
    <w:p>
      <w:pPr>
        <w:ind w:firstLine="480"/>
        <w:rPr>
          <w:kern w:val="0"/>
          <w:lang w:bidi="ar"/>
        </w:rPr>
      </w:pPr>
      <w:r>
        <w:rPr>
          <w:rFonts w:hint="eastAsia"/>
        </w:rPr>
        <w:t>评价区地</w:t>
      </w:r>
      <w:r>
        <w:rPr>
          <w:rFonts w:hint="eastAsia"/>
          <w:kern w:val="0"/>
          <w:lang w:bidi="ar"/>
        </w:rPr>
        <w:t>下水补给充沛，水循环交替强烈，水质良好。根据该区近年来积累的水化学资料进行分析，地下水水化学类型单一，以</w:t>
      </w:r>
      <w:r>
        <w:rPr>
          <w:rFonts w:hint="eastAsia"/>
        </w:rPr>
        <w:t>HCO</w:t>
      </w:r>
      <w:r>
        <w:rPr>
          <w:rFonts w:hint="eastAsia"/>
          <w:vertAlign w:val="subscript"/>
        </w:rPr>
        <w:t>3</w:t>
      </w:r>
      <w:r>
        <w:rPr>
          <w:rFonts w:hint="eastAsia"/>
          <w:vertAlign w:val="superscript"/>
        </w:rPr>
        <w:t>-</w:t>
      </w:r>
      <w:r>
        <w:rPr>
          <w:rFonts w:hint="eastAsia"/>
        </w:rPr>
        <w:t>-SO</w:t>
      </w:r>
      <w:r>
        <w:rPr>
          <w:rFonts w:hint="eastAsia"/>
          <w:vertAlign w:val="subscript"/>
        </w:rPr>
        <w:t>4</w:t>
      </w:r>
      <w:r>
        <w:rPr>
          <w:rFonts w:hint="eastAsia"/>
          <w:vertAlign w:val="superscript"/>
        </w:rPr>
        <w:t>2-</w:t>
      </w:r>
      <w:r>
        <w:rPr>
          <w:rFonts w:hint="eastAsia"/>
        </w:rPr>
        <w:t>-Ca</w:t>
      </w:r>
      <w:r>
        <w:rPr>
          <w:rFonts w:hint="eastAsia"/>
          <w:vertAlign w:val="superscript"/>
        </w:rPr>
        <w:t>2+</w:t>
      </w:r>
      <w:r>
        <w:rPr>
          <w:rFonts w:hint="eastAsia"/>
        </w:rPr>
        <w:t>-Mg</w:t>
      </w:r>
      <w:r>
        <w:rPr>
          <w:rFonts w:hint="eastAsia"/>
          <w:vertAlign w:val="superscript"/>
        </w:rPr>
        <w:t>2+</w:t>
      </w:r>
      <w:r>
        <w:rPr>
          <w:rFonts w:hint="eastAsia"/>
        </w:rPr>
        <w:t>型为主，地下水矿化度小于1.00g/L，总硬度小于450mg/L。</w:t>
      </w:r>
    </w:p>
    <w:p>
      <w:pPr>
        <w:ind w:firstLine="482"/>
        <w:rPr>
          <w:b/>
          <w:bCs/>
        </w:rPr>
      </w:pPr>
      <w:r>
        <w:rPr>
          <w:rFonts w:hint="eastAsia"/>
          <w:b/>
          <w:bCs/>
        </w:rPr>
        <w:t>8、</w:t>
      </w:r>
      <w:r>
        <w:rPr>
          <w:b/>
          <w:bCs/>
        </w:rPr>
        <w:t>地下水敏感点调查</w:t>
      </w:r>
    </w:p>
    <w:p>
      <w:pPr>
        <w:ind w:firstLine="480"/>
      </w:pPr>
      <w:r>
        <w:t>根据现场踏勘与调查，本项目拟建地点周边3.5km范围内无地下水敏感点，3.5km范围以外含村庄及饮用水源地保护区，按照地下水流向村庄多位于地下水下游区域，目前村庄供水方式均为自来水供水，村庄内部机井及水井井水多用于当地农田灌溉。滨河集中式饮用水水源保护区及位于项目东侧，按照地下水流向，保护区均位于拟建项目边侧区域，但本项目厂界距离滨河集中水源地二级保护区边界</w:t>
      </w:r>
      <w:r>
        <w:rPr>
          <w:rFonts w:hint="eastAsia"/>
        </w:rPr>
        <w:t>7.2</w:t>
      </w:r>
      <w:r>
        <w:t>km；沙井镇一水厂供水井位于项目西北侧，本项目距离沙井镇一水厂供水井二级保护区边界</w:t>
      </w:r>
      <w:r>
        <w:rPr>
          <w:rFonts w:hint="eastAsia"/>
        </w:rPr>
        <w:t>4.8</w:t>
      </w:r>
      <w:r>
        <w:t>km。</w:t>
      </w:r>
    </w:p>
    <w:p>
      <w:pPr>
        <w:pStyle w:val="7"/>
        <w:ind w:firstLine="482"/>
      </w:pPr>
      <w:r>
        <w:rPr>
          <w:rFonts w:hint="eastAsia"/>
          <w:lang w:val="en-US" w:eastAsia="zh-CN"/>
        </w:rPr>
        <w:t>5</w:t>
      </w:r>
      <w:r>
        <w:rPr>
          <w:rFonts w:hint="eastAsia"/>
        </w:rPr>
        <w:t>.2.2.2、</w:t>
      </w:r>
      <w:r>
        <w:t>地下水环境影响预测</w:t>
      </w:r>
    </w:p>
    <w:p>
      <w:pPr>
        <w:ind w:firstLine="480"/>
      </w:pPr>
      <w:r>
        <w:t>依据本项目的实际情况给定地下水污染预测情景设定正常和事故工况2种条件。正常工况下，各生产环节按照设计参数运行；事故工况包括污水处理站达不到设计要求或污水处理站运行异常同时在线监测设备异常，导致事故废水直接作为饲草灌溉用水，衍生地下水污染事故。</w:t>
      </w:r>
    </w:p>
    <w:p>
      <w:pPr>
        <w:ind w:firstLine="482"/>
        <w:rPr>
          <w:b/>
          <w:bCs/>
        </w:rPr>
      </w:pPr>
      <w:r>
        <w:rPr>
          <w:rFonts w:hint="eastAsia"/>
          <w:b/>
          <w:bCs/>
        </w:rPr>
        <w:t>1、</w:t>
      </w:r>
      <w:r>
        <w:rPr>
          <w:b/>
          <w:bCs/>
        </w:rPr>
        <w:t>正常工况预测</w:t>
      </w:r>
    </w:p>
    <w:p>
      <w:pPr>
        <w:ind w:firstLine="480"/>
      </w:pPr>
      <w:r>
        <w:t>根据《环境影响评价技术导则 地下水环境》（HJ610-2016）中9.4.2条：</w:t>
      </w:r>
      <w:r>
        <w:rPr>
          <w:rFonts w:hint="eastAsia"/>
        </w:rPr>
        <w:t>“</w:t>
      </w:r>
      <w:r>
        <w:t>已依据GB16889、GB18597、GB18598、GB18599、GB/T50934设计地下水污染防渗措施的建设项目，可不进行正常状况情景下的预测</w:t>
      </w:r>
      <w:r>
        <w:rPr>
          <w:rFonts w:hint="eastAsia"/>
        </w:rPr>
        <w:t>”</w:t>
      </w:r>
      <w:r>
        <w:t>。</w:t>
      </w:r>
    </w:p>
    <w:p>
      <w:pPr>
        <w:ind w:firstLine="480"/>
      </w:pPr>
      <w:r>
        <w:t>本项目经过对生产车间、固废暂存场所及污水管道等进行严格的防渗措施，发生跑冒滴漏时，防渗层能有效的阻隔污染物与包气带的联系，污染物一般不可能渗入地下进入含水层，对地下水环境的影响小。</w:t>
      </w:r>
    </w:p>
    <w:p>
      <w:pPr>
        <w:ind w:firstLine="482"/>
        <w:rPr>
          <w:b/>
          <w:bCs/>
        </w:rPr>
      </w:pPr>
      <w:r>
        <w:rPr>
          <w:rFonts w:hint="eastAsia"/>
          <w:b/>
          <w:bCs/>
        </w:rPr>
        <w:t>2、</w:t>
      </w:r>
      <w:r>
        <w:rPr>
          <w:b/>
          <w:bCs/>
        </w:rPr>
        <w:t>非正常工况预测</w:t>
      </w:r>
    </w:p>
    <w:p>
      <w:pPr>
        <w:ind w:firstLine="482"/>
        <w:rPr>
          <w:b/>
          <w:bCs/>
        </w:rPr>
      </w:pPr>
      <w:r>
        <w:rPr>
          <w:rFonts w:hint="eastAsia"/>
          <w:b/>
          <w:bCs/>
        </w:rPr>
        <w:t>（1）</w:t>
      </w:r>
      <w:r>
        <w:rPr>
          <w:b/>
          <w:bCs/>
        </w:rPr>
        <w:t>预测情景</w:t>
      </w:r>
    </w:p>
    <w:p>
      <w:pPr>
        <w:ind w:firstLine="480"/>
      </w:pPr>
      <w:r>
        <w:rPr>
          <w:rFonts w:hint="eastAsia"/>
        </w:rPr>
        <w:t>本次预测情形主要考虑</w:t>
      </w:r>
      <w:r>
        <w:t>污水处理站</w:t>
      </w:r>
      <w:r>
        <w:rPr>
          <w:rFonts w:hint="eastAsia"/>
        </w:rPr>
        <w:t>系统破裂、防渗系统损毁的情况下污水下水对评价区域地下水水质的影响范围及程度。</w:t>
      </w:r>
      <w:r>
        <w:t>本次预测按最不利情况考虑，预测情景假设污水处理站</w:t>
      </w:r>
      <w:r>
        <w:rPr>
          <w:rFonts w:hint="eastAsia"/>
        </w:rPr>
        <w:t>废水原水未经处理直接</w:t>
      </w:r>
      <w:r>
        <w:t>渗入地下潜水层。</w:t>
      </w:r>
    </w:p>
    <w:p>
      <w:pPr>
        <w:ind w:firstLine="482"/>
        <w:rPr>
          <w:b/>
          <w:bCs/>
        </w:rPr>
      </w:pPr>
      <w:r>
        <w:rPr>
          <w:rFonts w:hint="eastAsia"/>
          <w:b/>
          <w:bCs/>
        </w:rPr>
        <w:t>（2）</w:t>
      </w:r>
      <w:r>
        <w:rPr>
          <w:b/>
          <w:bCs/>
        </w:rPr>
        <w:t>预测因子</w:t>
      </w:r>
    </w:p>
    <w:p>
      <w:pPr>
        <w:ind w:firstLine="480"/>
      </w:pPr>
      <w:r>
        <w:t>筛选氨氮及CODcr</w:t>
      </w:r>
      <w:r>
        <w:rPr>
          <w:rFonts w:hint="eastAsia"/>
          <w:lang w:eastAsia="zh-CN"/>
        </w:rPr>
        <w:t>（</w:t>
      </w:r>
      <w:r>
        <w:rPr>
          <w:rFonts w:hint="eastAsia"/>
          <w:lang w:val="en-US" w:eastAsia="zh-CN"/>
        </w:rPr>
        <w:t>以耗氧量计</w:t>
      </w:r>
      <w:r>
        <w:rPr>
          <w:rFonts w:hint="eastAsia"/>
          <w:lang w:eastAsia="zh-CN"/>
        </w:rPr>
        <w:t>）</w:t>
      </w:r>
      <w:r>
        <w:t>作为本次预测因子。</w:t>
      </w:r>
    </w:p>
    <w:p>
      <w:pPr>
        <w:ind w:firstLine="482"/>
        <w:rPr>
          <w:b/>
          <w:bCs/>
        </w:rPr>
      </w:pPr>
      <w:r>
        <w:rPr>
          <w:rFonts w:hint="eastAsia"/>
          <w:b/>
          <w:bCs/>
        </w:rPr>
        <w:t>（3）</w:t>
      </w:r>
      <w:r>
        <w:rPr>
          <w:b/>
          <w:bCs/>
        </w:rPr>
        <w:t>预测时段</w:t>
      </w:r>
    </w:p>
    <w:p>
      <w:pPr>
        <w:ind w:firstLine="480"/>
      </w:pPr>
      <w:r>
        <w:rPr>
          <w:rFonts w:hint="eastAsia"/>
        </w:rPr>
        <w:t>根据《环境影响评价技术导则（地下水环境）》（</w:t>
      </w:r>
      <w:r>
        <w:t>HJ610-2016</w:t>
      </w:r>
      <w:r>
        <w:rPr>
          <w:rFonts w:hint="eastAsia"/>
        </w:rPr>
        <w:t>）规定，预测试段应包括建设项目建设、生产运行期。由于施工期间产生的生活污水、施工生产废水等数量较少，并及时进行处理，项目在施工期间基本不会对地下水造成影响。因此本次影响预测重点对生产运行期进行预测。生产运行期</w:t>
      </w:r>
      <w:r>
        <w:t>地下水环境影响预测时段选取以可能产生地下水污染的关键时段为标准，确定的预测时段包括污染发生后10</w:t>
      </w:r>
      <w:r>
        <w:rPr>
          <w:rFonts w:hint="eastAsia"/>
        </w:rPr>
        <w:t>0</w:t>
      </w:r>
      <w:r>
        <w:t>d、</w:t>
      </w:r>
      <w:r>
        <w:rPr>
          <w:rFonts w:hint="eastAsia"/>
        </w:rPr>
        <w:t>365</w:t>
      </w:r>
      <w:r>
        <w:t>d、1000d三个时段。</w:t>
      </w:r>
    </w:p>
    <w:p>
      <w:pPr>
        <w:ind w:firstLine="482"/>
      </w:pPr>
      <w:r>
        <w:rPr>
          <w:rFonts w:hint="eastAsia"/>
          <w:b/>
          <w:bCs/>
        </w:rPr>
        <w:t>（4）</w:t>
      </w:r>
      <w:r>
        <w:rPr>
          <w:b/>
          <w:bCs/>
        </w:rPr>
        <w:t>预测方法</w:t>
      </w:r>
    </w:p>
    <w:p>
      <w:pPr>
        <w:ind w:firstLine="480"/>
      </w:pPr>
      <w:r>
        <w:t>依据《环境影响评价技术导则 地下水环境》（HJ610-2016），本项目评价区水文地质条件简单，场区含水层结构基本一致，同时泄露污水的排放也不会对地下水流场造成明显影响，故本次评价采用解析模型预测污染物在含水层中的扩散特征。</w:t>
      </w:r>
    </w:p>
    <w:p>
      <w:pPr>
        <w:ind w:firstLine="480"/>
      </w:pPr>
      <w:r>
        <w:t>在非正常状况下，对于某一时刻的污染物扩散特征采用一维</w:t>
      </w:r>
      <w:r>
        <w:rPr>
          <w:rFonts w:hint="eastAsia"/>
        </w:rPr>
        <w:t>半</w:t>
      </w:r>
      <w:r>
        <w:t>无限长多孔介质柱体，一端为定浓度边界模型进行微分解析，具体公式如下：</w:t>
      </w:r>
    </w:p>
    <w:p>
      <w:pPr>
        <w:widowControl/>
        <w:ind w:firstLine="480"/>
        <w:jc w:val="center"/>
      </w:pPr>
      <w:r>
        <w:drawing>
          <wp:inline distT="0" distB="0" distL="114300" distR="114300">
            <wp:extent cx="2628900" cy="514350"/>
            <wp:effectExtent l="0" t="0" r="0" b="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71"/>
                    <a:stretch>
                      <a:fillRect/>
                    </a:stretch>
                  </pic:blipFill>
                  <pic:spPr>
                    <a:xfrm>
                      <a:off x="0" y="0"/>
                      <a:ext cx="2628900" cy="514350"/>
                    </a:xfrm>
                    <a:prstGeom prst="rect">
                      <a:avLst/>
                    </a:prstGeom>
                    <a:noFill/>
                    <a:ln w="9525">
                      <a:noFill/>
                    </a:ln>
                  </pic:spPr>
                </pic:pic>
              </a:graphicData>
            </a:graphic>
          </wp:inline>
        </w:drawing>
      </w:r>
    </w:p>
    <w:p>
      <w:pPr>
        <w:ind w:firstLine="480"/>
      </w:pPr>
      <w:r>
        <w:t>式中：x—距注入点的距离；m；</w:t>
      </w:r>
    </w:p>
    <w:p>
      <w:pPr>
        <w:ind w:firstLine="1200" w:firstLineChars="500"/>
      </w:pPr>
      <w:r>
        <w:t>t—时间，d；</w:t>
      </w:r>
    </w:p>
    <w:p>
      <w:pPr>
        <w:ind w:firstLine="1200" w:firstLineChars="500"/>
      </w:pPr>
      <w:r>
        <w:t>C—t时刻x处的示踪剂浓度，mg/L；</w:t>
      </w:r>
    </w:p>
    <w:p>
      <w:pPr>
        <w:ind w:firstLine="1200" w:firstLineChars="500"/>
      </w:pPr>
      <w:r>
        <w:t>C</w:t>
      </w:r>
      <w:r>
        <w:rPr>
          <w:vertAlign w:val="subscript"/>
        </w:rPr>
        <w:t>0</w:t>
      </w:r>
      <w:r>
        <w:t>—污染物浓度，mg/L；</w:t>
      </w:r>
    </w:p>
    <w:p>
      <w:pPr>
        <w:ind w:firstLine="1200" w:firstLineChars="500"/>
      </w:pPr>
      <w:r>
        <w:t>u—水流速度，m/d；</w:t>
      </w:r>
    </w:p>
    <w:p>
      <w:pPr>
        <w:ind w:firstLine="1200" w:firstLineChars="500"/>
      </w:pPr>
      <w:r>
        <w:t>DL—纵向弥散系数，m</w:t>
      </w:r>
      <w:r>
        <w:rPr>
          <w:vertAlign w:val="superscript"/>
        </w:rPr>
        <w:t>2</w:t>
      </w:r>
      <w:r>
        <w:t>/d；</w:t>
      </w:r>
    </w:p>
    <w:p>
      <w:pPr>
        <w:ind w:firstLine="1200" w:firstLineChars="500"/>
      </w:pPr>
      <w:r>
        <w:t>erfc（）—余误差函数（可查《水文地质手册》获得）。</w:t>
      </w:r>
    </w:p>
    <w:p>
      <w:pPr>
        <w:ind w:firstLine="482"/>
        <w:rPr>
          <w:b/>
          <w:bCs/>
        </w:rPr>
      </w:pPr>
      <w:r>
        <w:rPr>
          <w:rFonts w:hint="eastAsia"/>
          <w:b/>
          <w:bCs/>
        </w:rPr>
        <w:t>（5）预测</w:t>
      </w:r>
      <w:r>
        <w:rPr>
          <w:b/>
          <w:bCs/>
        </w:rPr>
        <w:t>参数及源强</w:t>
      </w:r>
    </w:p>
    <w:p>
      <w:pPr>
        <w:ind w:firstLine="482"/>
        <w:rPr>
          <w:b/>
          <w:bCs/>
        </w:rPr>
      </w:pPr>
      <w:r>
        <w:rPr>
          <w:b/>
          <w:bCs/>
        </w:rPr>
        <w:t>①预测参数</w:t>
      </w:r>
    </w:p>
    <w:p>
      <w:pPr>
        <w:ind w:firstLine="480"/>
        <w:rPr>
          <w:color w:val="FF0000"/>
        </w:rPr>
      </w:pPr>
      <w:r>
        <w:t>根据评价区水文地质资料及相关经验参数，确定溶质运移模型所涉及到的各项参数，具体数值见表</w:t>
      </w:r>
      <w:r>
        <w:rPr>
          <w:rFonts w:hint="eastAsia"/>
          <w:lang w:val="en-US" w:eastAsia="zh-CN"/>
        </w:rPr>
        <w:t>5</w:t>
      </w:r>
      <w:r>
        <w:rPr>
          <w:rFonts w:hint="eastAsia"/>
        </w:rPr>
        <w:t>.4</w:t>
      </w:r>
      <w:r>
        <w:t>。</w:t>
      </w:r>
    </w:p>
    <w:p>
      <w:pPr>
        <w:widowControl/>
        <w:spacing w:line="240" w:lineRule="auto"/>
        <w:ind w:firstLine="422"/>
        <w:jc w:val="center"/>
        <w:rPr>
          <w:b/>
          <w:sz w:val="21"/>
          <w:szCs w:val="21"/>
        </w:rPr>
      </w:pPr>
      <w:r>
        <w:rPr>
          <w:b/>
          <w:sz w:val="21"/>
          <w:szCs w:val="21"/>
        </w:rPr>
        <w:t>表</w:t>
      </w:r>
      <w:r>
        <w:rPr>
          <w:rFonts w:hint="eastAsia"/>
          <w:b/>
          <w:sz w:val="21"/>
          <w:szCs w:val="21"/>
          <w:lang w:val="en-US" w:eastAsia="zh-CN"/>
        </w:rPr>
        <w:t>5</w:t>
      </w:r>
      <w:r>
        <w:rPr>
          <w:rFonts w:hint="eastAsia"/>
          <w:b/>
          <w:sz w:val="21"/>
          <w:szCs w:val="21"/>
        </w:rPr>
        <w:t>.4</w:t>
      </w:r>
      <w:r>
        <w:rPr>
          <w:b/>
          <w:sz w:val="21"/>
          <w:szCs w:val="21"/>
        </w:rPr>
        <w:t xml:space="preserve">    溶质迁移模型参数</w:t>
      </w:r>
    </w:p>
    <w:tbl>
      <w:tblPr>
        <w:tblStyle w:val="32"/>
        <w:tblW w:w="51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23"/>
        <w:gridCol w:w="3012"/>
        <w:gridCol w:w="2066"/>
        <w:gridCol w:w="3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1" w:type="pct"/>
            <w:vMerge w:val="restart"/>
            <w:tcBorders>
              <w:tl2br w:val="nil"/>
              <w:tr2bl w:val="nil"/>
            </w:tcBorders>
            <w:vAlign w:val="center"/>
          </w:tcPr>
          <w:p>
            <w:pPr>
              <w:spacing w:line="240" w:lineRule="auto"/>
              <w:ind w:firstLine="0" w:firstLineChars="0"/>
              <w:jc w:val="center"/>
              <w:rPr>
                <w:b/>
                <w:sz w:val="21"/>
                <w:szCs w:val="21"/>
              </w:rPr>
            </w:pPr>
            <w:r>
              <w:rPr>
                <w:b/>
                <w:sz w:val="21"/>
                <w:szCs w:val="21"/>
              </w:rPr>
              <w:t>参数</w:t>
            </w:r>
          </w:p>
        </w:tc>
        <w:tc>
          <w:tcPr>
            <w:tcW w:w="1505" w:type="pct"/>
            <w:tcBorders>
              <w:tl2br w:val="nil"/>
              <w:tr2bl w:val="nil"/>
            </w:tcBorders>
            <w:vAlign w:val="center"/>
          </w:tcPr>
          <w:p>
            <w:pPr>
              <w:spacing w:line="240" w:lineRule="auto"/>
              <w:ind w:firstLine="0" w:firstLineChars="0"/>
              <w:jc w:val="center"/>
              <w:rPr>
                <w:b/>
                <w:sz w:val="21"/>
                <w:szCs w:val="21"/>
              </w:rPr>
            </w:pPr>
            <w:r>
              <w:rPr>
                <w:b/>
                <w:sz w:val="21"/>
                <w:szCs w:val="21"/>
              </w:rPr>
              <w:t>纵向弥散系数（m</w:t>
            </w:r>
            <w:r>
              <w:rPr>
                <w:b/>
                <w:sz w:val="21"/>
                <w:szCs w:val="21"/>
                <w:vertAlign w:val="superscript"/>
              </w:rPr>
              <w:t>2</w:t>
            </w:r>
            <w:r>
              <w:rPr>
                <w:b/>
                <w:sz w:val="21"/>
                <w:szCs w:val="21"/>
              </w:rPr>
              <w:t>/d）</w:t>
            </w:r>
          </w:p>
        </w:tc>
        <w:tc>
          <w:tcPr>
            <w:tcW w:w="1032" w:type="pct"/>
            <w:tcBorders>
              <w:tl2br w:val="nil"/>
              <w:tr2bl w:val="nil"/>
            </w:tcBorders>
            <w:vAlign w:val="center"/>
          </w:tcPr>
          <w:p>
            <w:pPr>
              <w:spacing w:line="240" w:lineRule="auto"/>
              <w:ind w:firstLine="0" w:firstLineChars="0"/>
              <w:jc w:val="center"/>
              <w:rPr>
                <w:b/>
                <w:sz w:val="21"/>
                <w:szCs w:val="21"/>
              </w:rPr>
            </w:pPr>
            <w:r>
              <w:rPr>
                <w:b/>
                <w:sz w:val="21"/>
                <w:szCs w:val="21"/>
              </w:rPr>
              <w:t>有效孔隙度n</w:t>
            </w:r>
          </w:p>
        </w:tc>
        <w:tc>
          <w:tcPr>
            <w:tcW w:w="1951" w:type="pct"/>
            <w:tcBorders>
              <w:tl2br w:val="nil"/>
              <w:tr2bl w:val="nil"/>
            </w:tcBorders>
            <w:vAlign w:val="center"/>
          </w:tcPr>
          <w:p>
            <w:pPr>
              <w:spacing w:line="240" w:lineRule="auto"/>
              <w:ind w:firstLine="0" w:firstLineChars="0"/>
              <w:jc w:val="center"/>
              <w:rPr>
                <w:b/>
                <w:sz w:val="21"/>
                <w:szCs w:val="21"/>
              </w:rPr>
            </w:pPr>
            <w:r>
              <w:rPr>
                <w:b/>
                <w:sz w:val="21"/>
                <w:szCs w:val="21"/>
              </w:rPr>
              <w:t>地下水流速u（m/d）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11" w:type="pct"/>
            <w:vMerge w:val="continue"/>
            <w:tcBorders>
              <w:tl2br w:val="nil"/>
              <w:tr2bl w:val="nil"/>
            </w:tcBorders>
            <w:vAlign w:val="center"/>
          </w:tcPr>
          <w:p>
            <w:pPr>
              <w:spacing w:line="240" w:lineRule="auto"/>
              <w:ind w:firstLine="0" w:firstLineChars="0"/>
              <w:jc w:val="center"/>
              <w:rPr>
                <w:bCs/>
                <w:sz w:val="21"/>
                <w:szCs w:val="21"/>
              </w:rPr>
            </w:pPr>
          </w:p>
        </w:tc>
        <w:tc>
          <w:tcPr>
            <w:tcW w:w="1505" w:type="pct"/>
            <w:tcBorders>
              <w:tl2br w:val="nil"/>
              <w:tr2bl w:val="nil"/>
            </w:tcBorders>
            <w:vAlign w:val="center"/>
          </w:tcPr>
          <w:p>
            <w:pPr>
              <w:spacing w:line="240" w:lineRule="auto"/>
              <w:ind w:firstLine="0" w:firstLineChars="0"/>
              <w:jc w:val="center"/>
              <w:rPr>
                <w:bCs/>
                <w:sz w:val="21"/>
                <w:szCs w:val="21"/>
              </w:rPr>
            </w:pPr>
            <w:r>
              <w:rPr>
                <w:rFonts w:hint="eastAsia"/>
                <w:bCs/>
                <w:sz w:val="21"/>
                <w:szCs w:val="21"/>
              </w:rPr>
              <w:t>0.2</w:t>
            </w:r>
          </w:p>
        </w:tc>
        <w:tc>
          <w:tcPr>
            <w:tcW w:w="1032" w:type="pct"/>
            <w:tcBorders>
              <w:tl2br w:val="nil"/>
              <w:tr2bl w:val="nil"/>
            </w:tcBorders>
            <w:vAlign w:val="center"/>
          </w:tcPr>
          <w:p>
            <w:pPr>
              <w:spacing w:line="240" w:lineRule="auto"/>
              <w:ind w:firstLine="0" w:firstLineChars="0"/>
              <w:jc w:val="center"/>
              <w:rPr>
                <w:bCs/>
                <w:sz w:val="21"/>
                <w:szCs w:val="21"/>
              </w:rPr>
            </w:pPr>
            <w:r>
              <w:rPr>
                <w:bCs/>
                <w:sz w:val="21"/>
                <w:szCs w:val="21"/>
              </w:rPr>
              <w:t>0.25</w:t>
            </w:r>
          </w:p>
        </w:tc>
        <w:tc>
          <w:tcPr>
            <w:tcW w:w="1951" w:type="pct"/>
            <w:tcBorders>
              <w:tl2br w:val="nil"/>
              <w:tr2bl w:val="nil"/>
            </w:tcBorders>
            <w:vAlign w:val="center"/>
          </w:tcPr>
          <w:p>
            <w:pPr>
              <w:spacing w:line="240" w:lineRule="auto"/>
              <w:ind w:firstLine="0" w:firstLineChars="0"/>
              <w:jc w:val="center"/>
              <w:rPr>
                <w:bCs/>
                <w:sz w:val="21"/>
                <w:szCs w:val="21"/>
              </w:rPr>
            </w:pPr>
            <w:r>
              <w:rPr>
                <w:bCs/>
                <w:sz w:val="21"/>
                <w:szCs w:val="21"/>
              </w:rPr>
              <w:t>0.</w:t>
            </w:r>
            <w:r>
              <w:rPr>
                <w:rFonts w:hint="eastAsia"/>
                <w:bCs/>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4"/>
            <w:tcBorders>
              <w:tl2br w:val="nil"/>
              <w:tr2bl w:val="nil"/>
            </w:tcBorders>
            <w:vAlign w:val="center"/>
          </w:tcPr>
          <w:p>
            <w:pPr>
              <w:spacing w:line="240" w:lineRule="auto"/>
              <w:ind w:firstLine="0" w:firstLineChars="0"/>
              <w:rPr>
                <w:bCs/>
                <w:sz w:val="21"/>
                <w:szCs w:val="21"/>
              </w:rPr>
            </w:pPr>
            <w:r>
              <w:rPr>
                <w:rFonts w:hint="eastAsia"/>
                <w:bCs/>
                <w:sz w:val="21"/>
                <w:szCs w:val="21"/>
              </w:rPr>
              <w:t>备注：水流速度u=KI/n，其中水力坡度I取区域平均值0.003；含水层渗透系数K取25m/d；n有效孔隙度以0.25计，确定水流速度为0.6m/d；纵向弥散系数采用经验值，取0.2，横向弥散系数DT为DL的十分之一。</w:t>
            </w:r>
          </w:p>
        </w:tc>
      </w:tr>
    </w:tbl>
    <w:p>
      <w:pPr>
        <w:ind w:firstLine="482"/>
        <w:rPr>
          <w:b/>
          <w:bCs/>
        </w:rPr>
      </w:pPr>
      <w:r>
        <w:rPr>
          <w:b/>
          <w:bCs/>
        </w:rPr>
        <w:t>②预测源强</w:t>
      </w:r>
    </w:p>
    <w:p>
      <w:pPr>
        <w:ind w:firstLine="480"/>
      </w:pPr>
      <w:r>
        <w:t>本项目</w:t>
      </w:r>
      <w:r>
        <w:rPr>
          <w:rFonts w:hint="eastAsia"/>
        </w:rPr>
        <w:t>污水</w:t>
      </w:r>
      <w:r>
        <w:rPr>
          <w:rFonts w:hint="eastAsia"/>
          <w:bCs/>
          <w:snapToGrid w:val="0"/>
          <w:kern w:val="0"/>
          <w:szCs w:val="20"/>
        </w:rPr>
        <w:t>处理设施串联设置，预测时选取有效容积最大的</w:t>
      </w:r>
      <w:r>
        <w:rPr>
          <w:rFonts w:hint="eastAsia"/>
        </w:rPr>
        <w:t>调节池进行预测</w:t>
      </w:r>
      <w:r>
        <w:rPr>
          <w:bCs/>
          <w:snapToGrid w:val="0"/>
          <w:kern w:val="0"/>
          <w:szCs w:val="20"/>
        </w:rPr>
        <w:t>，尺寸为</w:t>
      </w:r>
      <w:r>
        <w:rPr>
          <w:rFonts w:hint="eastAsia"/>
        </w:rPr>
        <w:t>16m×10m×4m</w:t>
      </w:r>
      <w:r>
        <w:rPr>
          <w:rFonts w:hint="eastAsia"/>
          <w:bCs/>
          <w:snapToGrid w:val="0"/>
          <w:kern w:val="0"/>
          <w:szCs w:val="20"/>
        </w:rPr>
        <w:t>，</w:t>
      </w:r>
      <w:r>
        <w:rPr>
          <w:bCs/>
          <w:snapToGrid w:val="0"/>
          <w:kern w:val="0"/>
          <w:szCs w:val="20"/>
        </w:rPr>
        <w:t>有效容积</w:t>
      </w:r>
      <w:r>
        <w:rPr>
          <w:rFonts w:hint="eastAsia"/>
        </w:rPr>
        <w:t>640m</w:t>
      </w:r>
      <w:r>
        <w:rPr>
          <w:rFonts w:hint="eastAsia"/>
          <w:vertAlign w:val="superscript"/>
        </w:rPr>
        <w:t>3</w:t>
      </w:r>
      <w:r>
        <w:rPr>
          <w:rFonts w:hint="eastAsia"/>
          <w:bCs/>
          <w:snapToGrid w:val="0"/>
          <w:kern w:val="0"/>
          <w:szCs w:val="20"/>
        </w:rPr>
        <w:t>。</w:t>
      </w:r>
      <w:r>
        <w:t>根据人们对误差的认识，一般情况下，当裂缝面积小于总面积0.1%时不易发觉</w:t>
      </w:r>
      <w:r>
        <w:rPr>
          <w:rFonts w:hint="eastAsia"/>
        </w:rPr>
        <w:t>，为保守起见本环评取</w:t>
      </w:r>
      <w:r>
        <w:t>0.</w:t>
      </w:r>
      <w:r>
        <w:rPr>
          <w:rFonts w:hint="eastAsia"/>
        </w:rPr>
        <w:t>2</w:t>
      </w:r>
      <w:r>
        <w:t>%</w:t>
      </w:r>
      <w:r>
        <w:rPr>
          <w:rFonts w:hint="eastAsia"/>
        </w:rPr>
        <w:t>。因此，</w:t>
      </w:r>
      <w:r>
        <w:rPr>
          <w:bCs/>
          <w:snapToGrid w:val="0"/>
          <w:kern w:val="0"/>
          <w:szCs w:val="20"/>
        </w:rPr>
        <w:t>渗漏面积按池底、池壁总面积的</w:t>
      </w:r>
      <w:r>
        <w:rPr>
          <w:rFonts w:hint="eastAsia"/>
          <w:bCs/>
          <w:snapToGrid w:val="0"/>
          <w:kern w:val="0"/>
          <w:szCs w:val="20"/>
        </w:rPr>
        <w:t>0.</w:t>
      </w:r>
      <w:r>
        <w:rPr>
          <w:bCs/>
          <w:snapToGrid w:val="0"/>
          <w:kern w:val="0"/>
          <w:szCs w:val="20"/>
        </w:rPr>
        <w:t>2%进行计算</w:t>
      </w:r>
      <w:r>
        <w:rPr>
          <w:rFonts w:hint="eastAsia"/>
          <w:bCs/>
          <w:snapToGrid w:val="0"/>
          <w:kern w:val="0"/>
          <w:szCs w:val="20"/>
        </w:rPr>
        <w:t>，取0.42</w:t>
      </w:r>
      <w:r>
        <w:rPr>
          <w:bCs/>
          <w:snapToGrid w:val="0"/>
          <w:kern w:val="0"/>
          <w:szCs w:val="20"/>
        </w:rPr>
        <w:t>m</w:t>
      </w:r>
      <w:r>
        <w:rPr>
          <w:bCs/>
          <w:snapToGrid w:val="0"/>
          <w:kern w:val="0"/>
          <w:szCs w:val="20"/>
          <w:vertAlign w:val="superscript"/>
        </w:rPr>
        <w:t>2</w:t>
      </w:r>
      <w:r>
        <w:rPr>
          <w:bCs/>
          <w:snapToGrid w:val="0"/>
          <w:kern w:val="0"/>
          <w:szCs w:val="20"/>
        </w:rPr>
        <w:t>，根据《给水排水构筑物工程施工及验收规范》</w:t>
      </w:r>
      <w:r>
        <w:rPr>
          <w:rFonts w:hint="eastAsia"/>
          <w:bCs/>
          <w:snapToGrid w:val="0"/>
          <w:kern w:val="0"/>
          <w:szCs w:val="20"/>
        </w:rPr>
        <w:t>（</w:t>
      </w:r>
      <w:r>
        <w:rPr>
          <w:bCs/>
          <w:snapToGrid w:val="0"/>
          <w:kern w:val="0"/>
          <w:szCs w:val="20"/>
        </w:rPr>
        <w:t>GB50141-2008</w:t>
      </w:r>
      <w:r>
        <w:rPr>
          <w:rFonts w:hint="eastAsia"/>
          <w:bCs/>
          <w:snapToGrid w:val="0"/>
          <w:kern w:val="0"/>
          <w:szCs w:val="20"/>
        </w:rPr>
        <w:t>）</w:t>
      </w:r>
      <w:r>
        <w:rPr>
          <w:bCs/>
          <w:snapToGrid w:val="0"/>
          <w:kern w:val="0"/>
          <w:szCs w:val="20"/>
        </w:rPr>
        <w:t>，钢筋混凝土结构水池渗水量不得超过2L/</w:t>
      </w:r>
      <w:r>
        <w:rPr>
          <w:rFonts w:hint="eastAsia"/>
          <w:bCs/>
          <w:snapToGrid w:val="0"/>
          <w:kern w:val="0"/>
          <w:szCs w:val="20"/>
          <w:lang w:eastAsia="zh-CN"/>
        </w:rPr>
        <w:t>（</w:t>
      </w:r>
      <w:r>
        <w:rPr>
          <w:bCs/>
          <w:snapToGrid w:val="0"/>
          <w:kern w:val="0"/>
          <w:szCs w:val="20"/>
        </w:rPr>
        <w:t>m</w:t>
      </w:r>
      <w:r>
        <w:rPr>
          <w:bCs/>
          <w:snapToGrid w:val="0"/>
          <w:kern w:val="0"/>
          <w:szCs w:val="20"/>
          <w:vertAlign w:val="superscript"/>
        </w:rPr>
        <w:t>2</w:t>
      </w:r>
      <w:r>
        <w:rPr>
          <w:bCs/>
          <w:snapToGrid w:val="0"/>
          <w:kern w:val="0"/>
          <w:szCs w:val="20"/>
        </w:rPr>
        <w:t>▪d</w:t>
      </w:r>
      <w:r>
        <w:rPr>
          <w:rFonts w:hint="eastAsia"/>
          <w:bCs/>
          <w:snapToGrid w:val="0"/>
          <w:kern w:val="0"/>
          <w:szCs w:val="20"/>
          <w:lang w:eastAsia="zh-CN"/>
        </w:rPr>
        <w:t>）</w:t>
      </w:r>
      <w:r>
        <w:rPr>
          <w:bCs/>
          <w:snapToGrid w:val="0"/>
          <w:kern w:val="0"/>
          <w:szCs w:val="20"/>
        </w:rPr>
        <w:t>，非正常状况渗漏量应不小于正常状况允许渗漏量限值的10倍，假定不考虑渗漏过程中包气带对污染物的吸附阻滞过程，视为污染物全部进入潜水含水层，则非正常状况渗漏量为渗漏强度×渗漏面积×10，渗漏强度≤2L/</w:t>
      </w:r>
      <w:r>
        <w:rPr>
          <w:rFonts w:hint="eastAsia"/>
          <w:bCs/>
          <w:snapToGrid w:val="0"/>
          <w:kern w:val="0"/>
          <w:szCs w:val="20"/>
          <w:lang w:eastAsia="zh-CN"/>
        </w:rPr>
        <w:t>（</w:t>
      </w:r>
      <w:r>
        <w:rPr>
          <w:bCs/>
          <w:snapToGrid w:val="0"/>
          <w:kern w:val="0"/>
          <w:szCs w:val="20"/>
        </w:rPr>
        <w:t>m</w:t>
      </w:r>
      <w:r>
        <w:rPr>
          <w:bCs/>
          <w:snapToGrid w:val="0"/>
          <w:kern w:val="0"/>
          <w:szCs w:val="20"/>
          <w:vertAlign w:val="superscript"/>
        </w:rPr>
        <w:t>2</w:t>
      </w:r>
      <w:r>
        <w:rPr>
          <w:bCs/>
          <w:snapToGrid w:val="0"/>
          <w:kern w:val="0"/>
          <w:szCs w:val="20"/>
        </w:rPr>
        <w:t>•d</w:t>
      </w:r>
      <w:r>
        <w:rPr>
          <w:rFonts w:hint="eastAsia"/>
          <w:bCs/>
          <w:snapToGrid w:val="0"/>
          <w:kern w:val="0"/>
          <w:szCs w:val="20"/>
          <w:lang w:eastAsia="zh-CN"/>
        </w:rPr>
        <w:t>）</w:t>
      </w:r>
      <w:r>
        <w:rPr>
          <w:bCs/>
          <w:snapToGrid w:val="0"/>
          <w:kern w:val="0"/>
          <w:szCs w:val="20"/>
        </w:rPr>
        <w:t>，因此，总渗漏量为</w:t>
      </w:r>
      <w:r>
        <w:rPr>
          <w:rFonts w:hint="eastAsia"/>
          <w:bCs/>
          <w:snapToGrid w:val="0"/>
          <w:kern w:val="0"/>
          <w:szCs w:val="20"/>
        </w:rPr>
        <w:t>8.4</w:t>
      </w:r>
      <w:r>
        <w:rPr>
          <w:bCs/>
          <w:snapToGrid w:val="0"/>
          <w:kern w:val="0"/>
          <w:szCs w:val="20"/>
        </w:rPr>
        <w:t>m</w:t>
      </w:r>
      <w:r>
        <w:rPr>
          <w:bCs/>
          <w:snapToGrid w:val="0"/>
          <w:kern w:val="0"/>
          <w:szCs w:val="20"/>
          <w:vertAlign w:val="superscript"/>
        </w:rPr>
        <w:t>3</w:t>
      </w:r>
      <w:r>
        <w:rPr>
          <w:rFonts w:hint="eastAsia"/>
          <w:bCs/>
          <w:snapToGrid w:val="0"/>
          <w:kern w:val="0"/>
          <w:szCs w:val="20"/>
        </w:rPr>
        <w:t>/d</w:t>
      </w:r>
      <w:r>
        <w:rPr>
          <w:bCs/>
          <w:snapToGrid w:val="0"/>
          <w:kern w:val="0"/>
          <w:szCs w:val="20"/>
        </w:rPr>
        <w:t>，</w:t>
      </w:r>
      <w:r>
        <w:rPr>
          <w:rFonts w:hint="eastAsia"/>
          <w:bCs/>
          <w:snapToGrid w:val="0"/>
          <w:kern w:val="0"/>
          <w:szCs w:val="20"/>
        </w:rPr>
        <w:t>综合废水</w:t>
      </w:r>
      <w:r>
        <w:rPr>
          <w:bCs/>
          <w:snapToGrid w:val="0"/>
          <w:kern w:val="0"/>
          <w:szCs w:val="20"/>
        </w:rPr>
        <w:t>COD</w:t>
      </w:r>
      <w:r>
        <w:rPr>
          <w:rFonts w:hint="eastAsia"/>
          <w:bCs/>
          <w:snapToGrid w:val="0"/>
          <w:kern w:val="0"/>
          <w:szCs w:val="20"/>
        </w:rPr>
        <w:t>cr</w:t>
      </w:r>
      <w:r>
        <w:rPr>
          <w:bCs/>
          <w:snapToGrid w:val="0"/>
          <w:kern w:val="0"/>
          <w:szCs w:val="20"/>
        </w:rPr>
        <w:t>初始浓度分别为</w:t>
      </w:r>
      <w:r>
        <w:rPr>
          <w:rFonts w:hint="eastAsia"/>
          <w:bCs/>
          <w:snapToGrid w:val="0"/>
          <w:kern w:val="0"/>
          <w:szCs w:val="20"/>
          <w:lang w:val="en-US" w:eastAsia="zh-CN"/>
        </w:rPr>
        <w:t>1814.593</w:t>
      </w:r>
      <w:r>
        <w:rPr>
          <w:bCs/>
          <w:snapToGrid w:val="0"/>
          <w:kern w:val="0"/>
          <w:szCs w:val="20"/>
        </w:rPr>
        <w:t>mg/L</w:t>
      </w:r>
      <w:r>
        <w:rPr>
          <w:rFonts w:hint="eastAsia"/>
          <w:bCs/>
          <w:snapToGrid w:val="0"/>
          <w:kern w:val="0"/>
          <w:szCs w:val="20"/>
        </w:rPr>
        <w:t>，NH</w:t>
      </w:r>
      <w:r>
        <w:rPr>
          <w:rFonts w:hint="eastAsia"/>
          <w:bCs/>
          <w:snapToGrid w:val="0"/>
          <w:kern w:val="0"/>
          <w:szCs w:val="20"/>
          <w:vertAlign w:val="subscript"/>
        </w:rPr>
        <w:t>3</w:t>
      </w:r>
      <w:r>
        <w:rPr>
          <w:rFonts w:hint="eastAsia"/>
          <w:bCs/>
          <w:snapToGrid w:val="0"/>
          <w:kern w:val="0"/>
          <w:szCs w:val="20"/>
        </w:rPr>
        <w:t>-N</w:t>
      </w:r>
      <w:r>
        <w:rPr>
          <w:bCs/>
          <w:snapToGrid w:val="0"/>
          <w:kern w:val="0"/>
          <w:szCs w:val="20"/>
        </w:rPr>
        <w:t>初始浓度分别为</w:t>
      </w:r>
      <w:r>
        <w:rPr>
          <w:rFonts w:hint="eastAsia"/>
          <w:bCs/>
          <w:snapToGrid w:val="0"/>
          <w:kern w:val="0"/>
          <w:szCs w:val="20"/>
          <w:lang w:val="en-US" w:eastAsia="zh-CN"/>
        </w:rPr>
        <w:t>112.386</w:t>
      </w:r>
      <w:r>
        <w:rPr>
          <w:bCs/>
          <w:snapToGrid w:val="0"/>
          <w:kern w:val="0"/>
          <w:szCs w:val="20"/>
        </w:rPr>
        <w:t>mg/L，则污染物渗漏量</w:t>
      </w:r>
      <w:r>
        <w:rPr>
          <w:rFonts w:hint="eastAsia"/>
          <w:bCs/>
          <w:snapToGrid w:val="0"/>
          <w:kern w:val="0"/>
          <w:szCs w:val="20"/>
        </w:rPr>
        <w:t>NH</w:t>
      </w:r>
      <w:r>
        <w:rPr>
          <w:rFonts w:hint="eastAsia"/>
          <w:bCs/>
          <w:snapToGrid w:val="0"/>
          <w:kern w:val="0"/>
          <w:szCs w:val="20"/>
          <w:vertAlign w:val="subscript"/>
        </w:rPr>
        <w:t>3</w:t>
      </w:r>
      <w:r>
        <w:rPr>
          <w:rFonts w:hint="eastAsia"/>
          <w:bCs/>
          <w:snapToGrid w:val="0"/>
          <w:kern w:val="0"/>
          <w:szCs w:val="20"/>
        </w:rPr>
        <w:t>-N</w:t>
      </w:r>
      <w:r>
        <w:rPr>
          <w:bCs/>
          <w:snapToGrid w:val="0"/>
          <w:kern w:val="0"/>
          <w:szCs w:val="20"/>
        </w:rPr>
        <w:t>为</w:t>
      </w:r>
      <w:r>
        <w:rPr>
          <w:rFonts w:hint="eastAsia"/>
          <w:bCs/>
          <w:snapToGrid w:val="0"/>
          <w:kern w:val="0"/>
          <w:szCs w:val="20"/>
          <w:lang w:val="en-US" w:eastAsia="zh-CN"/>
        </w:rPr>
        <w:t>0.94</w:t>
      </w:r>
      <w:r>
        <w:rPr>
          <w:rFonts w:hint="eastAsia"/>
          <w:bCs/>
          <w:snapToGrid w:val="0"/>
          <w:kern w:val="0"/>
          <w:szCs w:val="20"/>
        </w:rPr>
        <w:t>kg，</w:t>
      </w:r>
      <w:r>
        <w:rPr>
          <w:bCs/>
          <w:snapToGrid w:val="0"/>
          <w:kern w:val="0"/>
          <w:szCs w:val="20"/>
        </w:rPr>
        <w:t>COD</w:t>
      </w:r>
      <w:r>
        <w:rPr>
          <w:rFonts w:hint="eastAsia"/>
          <w:bCs/>
          <w:snapToGrid w:val="0"/>
          <w:kern w:val="0"/>
          <w:szCs w:val="20"/>
        </w:rPr>
        <w:t>cr</w:t>
      </w:r>
      <w:r>
        <w:rPr>
          <w:bCs/>
          <w:snapToGrid w:val="0"/>
          <w:kern w:val="0"/>
          <w:szCs w:val="20"/>
        </w:rPr>
        <w:t>为</w:t>
      </w:r>
      <w:r>
        <w:rPr>
          <w:rFonts w:hint="eastAsia"/>
          <w:bCs/>
          <w:snapToGrid w:val="0"/>
          <w:kern w:val="0"/>
          <w:szCs w:val="20"/>
          <w:lang w:val="en-US" w:eastAsia="zh-CN"/>
        </w:rPr>
        <w:t>15.24</w:t>
      </w:r>
      <w:r>
        <w:rPr>
          <w:rFonts w:hint="eastAsia"/>
          <w:bCs/>
          <w:snapToGrid w:val="0"/>
          <w:kern w:val="0"/>
          <w:szCs w:val="20"/>
        </w:rPr>
        <w:t>kg</w:t>
      </w:r>
      <w:r>
        <w:rPr>
          <w:bCs/>
          <w:snapToGrid w:val="0"/>
          <w:kern w:val="0"/>
          <w:szCs w:val="20"/>
        </w:rPr>
        <w:t>。</w:t>
      </w:r>
    </w:p>
    <w:p>
      <w:pPr>
        <w:ind w:firstLine="482"/>
      </w:pPr>
      <w:r>
        <w:rPr>
          <w:rFonts w:hint="eastAsia"/>
          <w:b/>
          <w:bCs/>
        </w:rPr>
        <w:t>（6）</w:t>
      </w:r>
      <w:r>
        <w:rPr>
          <w:b/>
          <w:bCs/>
        </w:rPr>
        <w:t>预测结果</w:t>
      </w:r>
    </w:p>
    <w:p>
      <w:pPr>
        <w:ind w:firstLine="480"/>
      </w:pPr>
      <w:r>
        <w:t>污染物随时间在松散层中运移距离以及浓度统计见表</w:t>
      </w:r>
      <w:r>
        <w:rPr>
          <w:rFonts w:hint="eastAsia"/>
          <w:lang w:val="en-US" w:eastAsia="zh-CN"/>
        </w:rPr>
        <w:t>5</w:t>
      </w:r>
      <w:r>
        <w:rPr>
          <w:rFonts w:hint="eastAsia"/>
        </w:rPr>
        <w:t>.5</w:t>
      </w:r>
      <w:r>
        <w:t>。</w:t>
      </w:r>
    </w:p>
    <w:p>
      <w:pPr>
        <w:spacing w:line="240" w:lineRule="auto"/>
        <w:ind w:firstLine="0" w:firstLineChars="0"/>
        <w:jc w:val="center"/>
        <w:rPr>
          <w:b/>
          <w:bCs/>
        </w:rPr>
      </w:pPr>
      <w:r>
        <w:rPr>
          <w:b/>
          <w:bCs/>
        </w:rPr>
        <w:t>表</w:t>
      </w:r>
      <w:r>
        <w:rPr>
          <w:rFonts w:hint="eastAsia"/>
          <w:b/>
          <w:bCs/>
          <w:lang w:val="en-US" w:eastAsia="zh-CN"/>
        </w:rPr>
        <w:t>5</w:t>
      </w:r>
      <w:r>
        <w:rPr>
          <w:rFonts w:hint="eastAsia"/>
          <w:b/>
          <w:bCs/>
        </w:rPr>
        <w:t xml:space="preserve">.5  </w:t>
      </w:r>
      <w:r>
        <w:rPr>
          <w:b/>
          <w:bCs/>
        </w:rPr>
        <w:t xml:space="preserve">  溶质在松散层中浓度随时间、距离的变化统计表（预测值）</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4311"/>
        <w:gridCol w:w="4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距离（m）</w:t>
            </w:r>
          </w:p>
        </w:tc>
        <w:tc>
          <w:tcPr>
            <w:tcW w:w="2164" w:type="pct"/>
            <w:tcBorders>
              <w:tl2br w:val="nil"/>
              <w:tr2bl w:val="nil"/>
            </w:tcBorders>
            <w:vAlign w:val="center"/>
          </w:tcPr>
          <w:p>
            <w:pPr>
              <w:spacing w:line="240" w:lineRule="auto"/>
              <w:ind w:firstLine="0" w:firstLineChars="0"/>
              <w:jc w:val="center"/>
              <w:rPr>
                <w:b/>
                <w:bCs/>
                <w:sz w:val="21"/>
                <w:szCs w:val="21"/>
              </w:rPr>
            </w:pPr>
            <w:r>
              <w:rPr>
                <w:b/>
                <w:bCs/>
                <w:sz w:val="21"/>
                <w:szCs w:val="21"/>
              </w:rPr>
              <w:t>氨氮浓度（mg/L）</w:t>
            </w:r>
          </w:p>
        </w:tc>
        <w:tc>
          <w:tcPr>
            <w:tcW w:w="2237" w:type="pct"/>
            <w:tcBorders>
              <w:tl2br w:val="nil"/>
              <w:tr2bl w:val="nil"/>
            </w:tcBorders>
            <w:vAlign w:val="center"/>
          </w:tcPr>
          <w:p>
            <w:pPr>
              <w:spacing w:line="240" w:lineRule="auto"/>
              <w:ind w:firstLine="0" w:firstLineChars="0"/>
              <w:jc w:val="center"/>
              <w:rPr>
                <w:b/>
                <w:bCs/>
                <w:sz w:val="21"/>
                <w:szCs w:val="21"/>
              </w:rPr>
            </w:pPr>
            <w:r>
              <w:rPr>
                <w:b/>
                <w:bCs/>
                <w:sz w:val="21"/>
                <w:szCs w:val="21"/>
              </w:rPr>
              <w:t>COD</w:t>
            </w:r>
            <w:r>
              <w:rPr>
                <w:rFonts w:hint="eastAsia"/>
                <w:b/>
                <w:bCs/>
                <w:sz w:val="21"/>
                <w:szCs w:val="21"/>
              </w:rPr>
              <w:t>cr</w:t>
            </w:r>
            <w:r>
              <w:rPr>
                <w:b/>
                <w:bCs/>
                <w:sz w:val="21"/>
                <w:szCs w:val="21"/>
              </w:rPr>
              <w:t>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Merge w:val="continue"/>
            <w:tcBorders>
              <w:tl2br w:val="nil"/>
              <w:tr2bl w:val="nil"/>
            </w:tcBorders>
            <w:vAlign w:val="center"/>
          </w:tcPr>
          <w:p>
            <w:pPr>
              <w:spacing w:line="240" w:lineRule="auto"/>
              <w:ind w:firstLine="0" w:firstLineChars="0"/>
              <w:jc w:val="center"/>
              <w:rPr>
                <w:b/>
                <w:bCs/>
                <w:sz w:val="21"/>
                <w:szCs w:val="21"/>
              </w:rPr>
            </w:pPr>
          </w:p>
        </w:tc>
        <w:tc>
          <w:tcPr>
            <w:tcW w:w="2164" w:type="pct"/>
            <w:tcBorders>
              <w:tl2br w:val="nil"/>
              <w:tr2bl w:val="nil"/>
            </w:tcBorders>
            <w:vAlign w:val="center"/>
          </w:tcPr>
          <w:p>
            <w:pPr>
              <w:spacing w:line="240" w:lineRule="auto"/>
              <w:ind w:firstLine="0" w:firstLineChars="0"/>
              <w:jc w:val="center"/>
              <w:rPr>
                <w:b/>
                <w:bCs/>
                <w:sz w:val="21"/>
                <w:szCs w:val="21"/>
              </w:rPr>
            </w:pPr>
            <w:r>
              <w:rPr>
                <w:b/>
                <w:bCs/>
                <w:sz w:val="21"/>
                <w:szCs w:val="21"/>
              </w:rPr>
              <w:t>100天</w:t>
            </w:r>
          </w:p>
        </w:tc>
        <w:tc>
          <w:tcPr>
            <w:tcW w:w="2237"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100</w:t>
            </w:r>
            <w:r>
              <w:rPr>
                <w:b/>
                <w:bCs/>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8.05E-03</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1.30E-01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10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4.17E+00</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6.75E+01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20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1.77E+02</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2.87E+03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30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6.19E+02</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1.00E+04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40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1.77E+02</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2.87E+03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50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4.17E+00</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6.75E+01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60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8.05E-03</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1.30E-01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70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1.28E-06</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2.06E-05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80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1.66E-11</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2.68E-10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90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1.77E-17</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2.87E-16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100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1.55E-24</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2.51E-23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110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1.12E-32</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1.81E-31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120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6.59E-42</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1.07E-40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130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140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150</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预测</w:t>
            </w:r>
          </w:p>
          <w:p>
            <w:pPr>
              <w:spacing w:line="240" w:lineRule="auto"/>
              <w:ind w:firstLine="0" w:firstLineChars="0"/>
              <w:jc w:val="center"/>
              <w:rPr>
                <w:sz w:val="21"/>
                <w:szCs w:val="21"/>
              </w:rPr>
            </w:pPr>
            <w:r>
              <w:rPr>
                <w:sz w:val="21"/>
                <w:szCs w:val="21"/>
              </w:rPr>
              <w:t>结果</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1</w:t>
            </w:r>
            <w:r>
              <w:rPr>
                <w:sz w:val="21"/>
                <w:szCs w:val="21"/>
              </w:rPr>
              <w:t>00天时，预测的最大值为618.7682mg/</w:t>
            </w:r>
            <w:r>
              <w:rPr>
                <w:rFonts w:hint="eastAsia"/>
                <w:sz w:val="21"/>
                <w:szCs w:val="21"/>
              </w:rPr>
              <w:t>L</w:t>
            </w:r>
            <w:r>
              <w:rPr>
                <w:sz w:val="21"/>
                <w:szCs w:val="21"/>
              </w:rPr>
              <w:t>，预测超标距离最远为53m；影响距离最远为58m</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100天时，预测的最大值为10014.43mg/</w:t>
            </w:r>
            <w:r>
              <w:rPr>
                <w:rFonts w:hint="eastAsia"/>
                <w:sz w:val="21"/>
                <w:szCs w:val="21"/>
              </w:rPr>
              <w:t>L</w:t>
            </w:r>
            <w:r>
              <w:rPr>
                <w:sz w:val="21"/>
                <w:szCs w:val="21"/>
              </w:rPr>
              <w:t>，预测超标距离最远为55m；影响距离最远为61m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距离（m）</w:t>
            </w:r>
          </w:p>
        </w:tc>
        <w:tc>
          <w:tcPr>
            <w:tcW w:w="2164" w:type="pct"/>
            <w:tcBorders>
              <w:tl2br w:val="nil"/>
              <w:tr2bl w:val="nil"/>
            </w:tcBorders>
            <w:vAlign w:val="center"/>
          </w:tcPr>
          <w:p>
            <w:pPr>
              <w:spacing w:line="240" w:lineRule="auto"/>
              <w:ind w:firstLine="0" w:firstLineChars="0"/>
              <w:jc w:val="center"/>
              <w:rPr>
                <w:b/>
                <w:bCs/>
                <w:sz w:val="21"/>
                <w:szCs w:val="21"/>
              </w:rPr>
            </w:pPr>
            <w:r>
              <w:rPr>
                <w:b/>
                <w:bCs/>
                <w:sz w:val="21"/>
                <w:szCs w:val="21"/>
              </w:rPr>
              <w:t>氨氮浓度（mg/L）</w:t>
            </w:r>
          </w:p>
        </w:tc>
        <w:tc>
          <w:tcPr>
            <w:tcW w:w="2237" w:type="pct"/>
            <w:tcBorders>
              <w:tl2br w:val="nil"/>
              <w:tr2bl w:val="nil"/>
            </w:tcBorders>
            <w:vAlign w:val="center"/>
          </w:tcPr>
          <w:p>
            <w:pPr>
              <w:spacing w:line="240" w:lineRule="auto"/>
              <w:ind w:firstLine="0" w:firstLineChars="0"/>
              <w:jc w:val="center"/>
              <w:rPr>
                <w:b/>
                <w:bCs/>
                <w:sz w:val="21"/>
                <w:szCs w:val="21"/>
              </w:rPr>
            </w:pPr>
            <w:r>
              <w:rPr>
                <w:b/>
                <w:bCs/>
                <w:sz w:val="21"/>
                <w:szCs w:val="21"/>
              </w:rPr>
              <w:t>COD</w:t>
            </w:r>
            <w:r>
              <w:rPr>
                <w:rFonts w:hint="eastAsia"/>
                <w:b/>
                <w:bCs/>
                <w:sz w:val="21"/>
                <w:szCs w:val="21"/>
              </w:rPr>
              <w:t>cr</w:t>
            </w:r>
            <w:r>
              <w:rPr>
                <w:b/>
                <w:bCs/>
                <w:sz w:val="21"/>
                <w:szCs w:val="21"/>
              </w:rPr>
              <w:t>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Merge w:val="continue"/>
            <w:tcBorders>
              <w:tl2br w:val="nil"/>
              <w:tr2bl w:val="nil"/>
            </w:tcBorders>
            <w:vAlign w:val="center"/>
          </w:tcPr>
          <w:p>
            <w:pPr>
              <w:spacing w:line="240" w:lineRule="auto"/>
              <w:ind w:firstLine="0" w:firstLineChars="0"/>
              <w:jc w:val="center"/>
              <w:rPr>
                <w:b/>
                <w:bCs/>
                <w:sz w:val="21"/>
                <w:szCs w:val="21"/>
              </w:rPr>
            </w:pPr>
          </w:p>
        </w:tc>
        <w:tc>
          <w:tcPr>
            <w:tcW w:w="216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365</w:t>
            </w:r>
            <w:r>
              <w:rPr>
                <w:b/>
                <w:bCs/>
                <w:sz w:val="21"/>
                <w:szCs w:val="21"/>
              </w:rPr>
              <w:t>天</w:t>
            </w:r>
          </w:p>
        </w:tc>
        <w:tc>
          <w:tcPr>
            <w:tcW w:w="2237"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365</w:t>
            </w:r>
            <w:r>
              <w:rPr>
                <w:b/>
                <w:bCs/>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4.76E-16</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7.70E-15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30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1.29E-07</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2.09E-06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60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7.35E-02</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1.19E+00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90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8.81E+01</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1.43E+03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120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2.22E+02</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3.59E+03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150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1.18E+00</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1.91E+01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180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1.31E-05</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2.12E-04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210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3.08E-13</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4.98E-12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240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1.52E-23</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2.46E-22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270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1.57E-36</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2.55E-35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300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330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360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390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预测</w:t>
            </w:r>
          </w:p>
          <w:p>
            <w:pPr>
              <w:spacing w:line="240" w:lineRule="auto"/>
              <w:ind w:firstLine="0" w:firstLineChars="0"/>
              <w:jc w:val="center"/>
              <w:rPr>
                <w:sz w:val="21"/>
                <w:szCs w:val="21"/>
              </w:rPr>
            </w:pPr>
            <w:r>
              <w:rPr>
                <w:sz w:val="21"/>
                <w:szCs w:val="21"/>
              </w:rPr>
              <w:t>结果</w:t>
            </w:r>
          </w:p>
        </w:tc>
        <w:tc>
          <w:tcPr>
            <w:tcW w:w="2164" w:type="pct"/>
            <w:tcBorders>
              <w:tl2br w:val="nil"/>
              <w:tr2bl w:val="nil"/>
            </w:tcBorders>
            <w:vAlign w:val="center"/>
          </w:tcPr>
          <w:p>
            <w:pPr>
              <w:spacing w:line="240" w:lineRule="auto"/>
              <w:ind w:firstLine="0" w:firstLineChars="0"/>
              <w:jc w:val="center"/>
              <w:rPr>
                <w:sz w:val="21"/>
                <w:szCs w:val="21"/>
              </w:rPr>
            </w:pPr>
            <w:r>
              <w:rPr>
                <w:sz w:val="21"/>
                <w:szCs w:val="21"/>
              </w:rPr>
              <w:t>365天时，预测的最大值为323.8781mg/</w:t>
            </w:r>
            <w:r>
              <w:rPr>
                <w:rFonts w:hint="eastAsia"/>
                <w:sz w:val="21"/>
                <w:szCs w:val="21"/>
              </w:rPr>
              <w:t>L</w:t>
            </w:r>
            <w:r>
              <w:rPr>
                <w:sz w:val="21"/>
                <w:szCs w:val="21"/>
              </w:rPr>
              <w:t>，预测超标距离最远为152m；影响距离最远为162m</w:t>
            </w:r>
          </w:p>
        </w:tc>
        <w:tc>
          <w:tcPr>
            <w:tcW w:w="2237" w:type="pct"/>
            <w:tcBorders>
              <w:tl2br w:val="nil"/>
              <w:tr2bl w:val="nil"/>
            </w:tcBorders>
            <w:vAlign w:val="center"/>
          </w:tcPr>
          <w:p>
            <w:pPr>
              <w:spacing w:line="240" w:lineRule="auto"/>
              <w:ind w:firstLine="0" w:firstLineChars="0"/>
              <w:jc w:val="center"/>
              <w:rPr>
                <w:sz w:val="21"/>
                <w:szCs w:val="21"/>
              </w:rPr>
            </w:pPr>
            <w:r>
              <w:rPr>
                <w:sz w:val="21"/>
                <w:szCs w:val="21"/>
              </w:rPr>
              <w:t>365天时，预测的最大值为5241.794mg/</w:t>
            </w:r>
            <w:r>
              <w:rPr>
                <w:rFonts w:hint="eastAsia"/>
                <w:sz w:val="21"/>
                <w:szCs w:val="21"/>
              </w:rPr>
              <w:t>L</w:t>
            </w:r>
            <w:r>
              <w:rPr>
                <w:sz w:val="21"/>
                <w:szCs w:val="21"/>
              </w:rPr>
              <w:t>，预测超标距离最远为156m；影响距离最远为167m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距离（m）</w:t>
            </w:r>
          </w:p>
        </w:tc>
        <w:tc>
          <w:tcPr>
            <w:tcW w:w="2164" w:type="pct"/>
            <w:tcBorders>
              <w:tl2br w:val="nil"/>
              <w:tr2bl w:val="nil"/>
            </w:tcBorders>
            <w:vAlign w:val="center"/>
          </w:tcPr>
          <w:p>
            <w:pPr>
              <w:spacing w:line="240" w:lineRule="auto"/>
              <w:ind w:firstLine="0" w:firstLineChars="0"/>
              <w:jc w:val="center"/>
              <w:rPr>
                <w:b/>
                <w:bCs/>
                <w:sz w:val="21"/>
                <w:szCs w:val="21"/>
              </w:rPr>
            </w:pPr>
            <w:r>
              <w:rPr>
                <w:b/>
                <w:bCs/>
                <w:sz w:val="21"/>
                <w:szCs w:val="21"/>
              </w:rPr>
              <w:t>氨氮浓度（mg/L）</w:t>
            </w:r>
          </w:p>
        </w:tc>
        <w:tc>
          <w:tcPr>
            <w:tcW w:w="2237" w:type="pct"/>
            <w:tcBorders>
              <w:tl2br w:val="nil"/>
              <w:tr2bl w:val="nil"/>
            </w:tcBorders>
            <w:vAlign w:val="center"/>
          </w:tcPr>
          <w:p>
            <w:pPr>
              <w:spacing w:line="240" w:lineRule="auto"/>
              <w:ind w:firstLine="0" w:firstLineChars="0"/>
              <w:jc w:val="center"/>
              <w:rPr>
                <w:b/>
                <w:bCs/>
                <w:sz w:val="21"/>
                <w:szCs w:val="21"/>
              </w:rPr>
            </w:pPr>
            <w:r>
              <w:rPr>
                <w:b/>
                <w:bCs/>
                <w:sz w:val="21"/>
                <w:szCs w:val="21"/>
              </w:rPr>
              <w:t>COD</w:t>
            </w:r>
            <w:r>
              <w:rPr>
                <w:rFonts w:hint="eastAsia"/>
                <w:b/>
                <w:bCs/>
                <w:sz w:val="21"/>
                <w:szCs w:val="21"/>
              </w:rPr>
              <w:t>cr</w:t>
            </w:r>
            <w:r>
              <w:rPr>
                <w:b/>
                <w:bCs/>
                <w:sz w:val="21"/>
                <w:szCs w:val="21"/>
              </w:rPr>
              <w:t>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8" w:type="pct"/>
            <w:vMerge w:val="continue"/>
            <w:tcBorders>
              <w:tl2br w:val="nil"/>
              <w:tr2bl w:val="nil"/>
            </w:tcBorders>
            <w:vAlign w:val="center"/>
          </w:tcPr>
          <w:p>
            <w:pPr>
              <w:spacing w:line="240" w:lineRule="auto"/>
              <w:ind w:firstLine="0" w:firstLineChars="0"/>
              <w:jc w:val="center"/>
              <w:rPr>
                <w:b/>
                <w:bCs/>
                <w:sz w:val="21"/>
                <w:szCs w:val="21"/>
              </w:rPr>
            </w:pPr>
          </w:p>
        </w:tc>
        <w:tc>
          <w:tcPr>
            <w:tcW w:w="2164"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1000</w:t>
            </w:r>
            <w:r>
              <w:rPr>
                <w:b/>
                <w:bCs/>
                <w:sz w:val="21"/>
                <w:szCs w:val="21"/>
              </w:rPr>
              <w:t>天</w:t>
            </w:r>
          </w:p>
        </w:tc>
        <w:tc>
          <w:tcPr>
            <w:tcW w:w="2237"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1000</w:t>
            </w:r>
            <w:r>
              <w:rPr>
                <w:b/>
                <w:bCs/>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sz w:val="21"/>
                <w:szCs w:val="21"/>
              </w:rPr>
              <w:t>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50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2.30E-32</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3.73E-31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tcBorders>
              <w:tl2br w:val="nil"/>
              <w:tr2bl w:val="nil"/>
            </w:tcBorders>
            <w:vAlign w:val="center"/>
          </w:tcPr>
          <w:p>
            <w:pPr>
              <w:spacing w:line="240" w:lineRule="auto"/>
              <w:ind w:firstLine="0" w:firstLineChars="0"/>
              <w:jc w:val="center"/>
              <w:rPr>
                <w:sz w:val="21"/>
                <w:szCs w:val="21"/>
              </w:rPr>
            </w:pPr>
            <w:r>
              <w:rPr>
                <w:rFonts w:hint="eastAsia"/>
                <w:sz w:val="21"/>
                <w:szCs w:val="21"/>
              </w:rPr>
              <w:t>100</w:t>
            </w:r>
          </w:p>
        </w:tc>
        <w:tc>
          <w:tcPr>
            <w:tcW w:w="2164" w:type="pct"/>
            <w:tcBorders>
              <w:tl2br w:val="nil"/>
              <w:tr2bl w:val="nil"/>
            </w:tcBorders>
            <w:vAlign w:val="center"/>
          </w:tcPr>
          <w:p>
            <w:pPr>
              <w:spacing w:line="240" w:lineRule="auto"/>
              <w:ind w:firstLine="0" w:firstLineChars="0"/>
              <w:jc w:val="center"/>
              <w:rPr>
                <w:sz w:val="21"/>
                <w:szCs w:val="21"/>
              </w:rPr>
            </w:pPr>
            <w:r>
              <w:rPr>
                <w:rFonts w:hint="eastAsia"/>
                <w:sz w:val="21"/>
                <w:szCs w:val="21"/>
              </w:rPr>
              <w:t>3.77E-20</w:t>
            </w:r>
          </w:p>
        </w:tc>
        <w:tc>
          <w:tcPr>
            <w:tcW w:w="2237" w:type="pct"/>
            <w:tcBorders>
              <w:tl2br w:val="nil"/>
              <w:tr2bl w:val="nil"/>
            </w:tcBorders>
            <w:vAlign w:val="center"/>
          </w:tcPr>
          <w:p>
            <w:pPr>
              <w:spacing w:line="240" w:lineRule="auto"/>
              <w:ind w:firstLine="0" w:firstLineChars="0"/>
              <w:jc w:val="center"/>
              <w:rPr>
                <w:sz w:val="21"/>
                <w:szCs w:val="21"/>
              </w:rPr>
            </w:pPr>
            <w:r>
              <w:rPr>
                <w:rFonts w:hint="eastAsia"/>
                <w:sz w:val="21"/>
                <w:szCs w:val="21"/>
              </w:rPr>
              <w:t>6.11E-19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150</w:t>
            </w:r>
          </w:p>
        </w:tc>
        <w:tc>
          <w:tcPr>
            <w:tcW w:w="2164" w:type="pct"/>
            <w:vAlign w:val="center"/>
          </w:tcPr>
          <w:p>
            <w:pPr>
              <w:spacing w:line="240" w:lineRule="auto"/>
              <w:ind w:firstLine="0" w:firstLineChars="0"/>
              <w:jc w:val="center"/>
              <w:rPr>
                <w:sz w:val="21"/>
                <w:szCs w:val="21"/>
              </w:rPr>
            </w:pPr>
            <w:r>
              <w:rPr>
                <w:rFonts w:hint="eastAsia"/>
                <w:sz w:val="21"/>
                <w:szCs w:val="21"/>
              </w:rPr>
              <w:t>1.19E-10</w:t>
            </w:r>
          </w:p>
        </w:tc>
        <w:tc>
          <w:tcPr>
            <w:tcW w:w="2237" w:type="pct"/>
            <w:vAlign w:val="center"/>
          </w:tcPr>
          <w:p>
            <w:pPr>
              <w:spacing w:line="240" w:lineRule="auto"/>
              <w:ind w:firstLine="0" w:firstLineChars="0"/>
              <w:jc w:val="center"/>
              <w:rPr>
                <w:sz w:val="21"/>
                <w:szCs w:val="21"/>
              </w:rPr>
            </w:pPr>
            <w:r>
              <w:rPr>
                <w:rFonts w:hint="eastAsia"/>
                <w:sz w:val="21"/>
                <w:szCs w:val="21"/>
              </w:rPr>
              <w:t>1.93E-09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200</w:t>
            </w:r>
          </w:p>
        </w:tc>
        <w:tc>
          <w:tcPr>
            <w:tcW w:w="2164" w:type="pct"/>
            <w:vAlign w:val="center"/>
          </w:tcPr>
          <w:p>
            <w:pPr>
              <w:spacing w:line="240" w:lineRule="auto"/>
              <w:ind w:firstLine="0" w:firstLineChars="0"/>
              <w:jc w:val="center"/>
              <w:rPr>
                <w:sz w:val="21"/>
                <w:szCs w:val="21"/>
              </w:rPr>
            </w:pPr>
            <w:r>
              <w:rPr>
                <w:rFonts w:hint="eastAsia"/>
                <w:sz w:val="21"/>
                <w:szCs w:val="21"/>
              </w:rPr>
              <w:t>7.29E-04</w:t>
            </w:r>
          </w:p>
        </w:tc>
        <w:tc>
          <w:tcPr>
            <w:tcW w:w="2237" w:type="pct"/>
            <w:vAlign w:val="center"/>
          </w:tcPr>
          <w:p>
            <w:pPr>
              <w:spacing w:line="240" w:lineRule="auto"/>
              <w:ind w:firstLine="0" w:firstLineChars="0"/>
              <w:jc w:val="center"/>
              <w:rPr>
                <w:sz w:val="21"/>
                <w:szCs w:val="21"/>
              </w:rPr>
            </w:pPr>
            <w:r>
              <w:rPr>
                <w:rFonts w:hint="eastAsia"/>
                <w:sz w:val="21"/>
                <w:szCs w:val="21"/>
              </w:rPr>
              <w:t>1.18E-02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250</w:t>
            </w:r>
          </w:p>
        </w:tc>
        <w:tc>
          <w:tcPr>
            <w:tcW w:w="2164" w:type="pct"/>
            <w:vAlign w:val="center"/>
          </w:tcPr>
          <w:p>
            <w:pPr>
              <w:spacing w:line="240" w:lineRule="auto"/>
              <w:ind w:firstLine="0" w:firstLineChars="0"/>
              <w:jc w:val="center"/>
              <w:rPr>
                <w:sz w:val="21"/>
                <w:szCs w:val="21"/>
              </w:rPr>
            </w:pPr>
            <w:r>
              <w:rPr>
                <w:rFonts w:hint="eastAsia"/>
                <w:sz w:val="21"/>
                <w:szCs w:val="21"/>
              </w:rPr>
              <w:t>8.60E+00</w:t>
            </w:r>
          </w:p>
        </w:tc>
        <w:tc>
          <w:tcPr>
            <w:tcW w:w="2237" w:type="pct"/>
            <w:vAlign w:val="center"/>
          </w:tcPr>
          <w:p>
            <w:pPr>
              <w:spacing w:line="240" w:lineRule="auto"/>
              <w:ind w:firstLine="0" w:firstLineChars="0"/>
              <w:jc w:val="center"/>
              <w:rPr>
                <w:sz w:val="21"/>
                <w:szCs w:val="21"/>
              </w:rPr>
            </w:pPr>
            <w:r>
              <w:rPr>
                <w:rFonts w:hint="eastAsia"/>
                <w:sz w:val="21"/>
                <w:szCs w:val="21"/>
              </w:rPr>
              <w:t>1.39E+02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300</w:t>
            </w:r>
          </w:p>
        </w:tc>
        <w:tc>
          <w:tcPr>
            <w:tcW w:w="2164" w:type="pct"/>
            <w:vAlign w:val="center"/>
          </w:tcPr>
          <w:p>
            <w:pPr>
              <w:spacing w:line="240" w:lineRule="auto"/>
              <w:ind w:firstLine="0" w:firstLineChars="0"/>
              <w:jc w:val="center"/>
              <w:rPr>
                <w:sz w:val="21"/>
                <w:szCs w:val="21"/>
              </w:rPr>
            </w:pPr>
            <w:r>
              <w:rPr>
                <w:rFonts w:hint="eastAsia"/>
                <w:sz w:val="21"/>
                <w:szCs w:val="21"/>
              </w:rPr>
              <w:t>1.96E+02</w:t>
            </w:r>
          </w:p>
        </w:tc>
        <w:tc>
          <w:tcPr>
            <w:tcW w:w="2237" w:type="pct"/>
            <w:vAlign w:val="center"/>
          </w:tcPr>
          <w:p>
            <w:pPr>
              <w:spacing w:line="240" w:lineRule="auto"/>
              <w:ind w:firstLine="0" w:firstLineChars="0"/>
              <w:jc w:val="center"/>
              <w:rPr>
                <w:sz w:val="21"/>
                <w:szCs w:val="21"/>
              </w:rPr>
            </w:pPr>
            <w:r>
              <w:rPr>
                <w:rFonts w:hint="eastAsia"/>
                <w:sz w:val="21"/>
                <w:szCs w:val="21"/>
              </w:rPr>
              <w:t>3.17E+03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350</w:t>
            </w:r>
          </w:p>
        </w:tc>
        <w:tc>
          <w:tcPr>
            <w:tcW w:w="2164" w:type="pct"/>
            <w:vAlign w:val="center"/>
          </w:tcPr>
          <w:p>
            <w:pPr>
              <w:spacing w:line="240" w:lineRule="auto"/>
              <w:ind w:firstLine="0" w:firstLineChars="0"/>
              <w:jc w:val="center"/>
              <w:rPr>
                <w:sz w:val="21"/>
                <w:szCs w:val="21"/>
              </w:rPr>
            </w:pPr>
            <w:r>
              <w:rPr>
                <w:rFonts w:hint="eastAsia"/>
                <w:sz w:val="21"/>
                <w:szCs w:val="21"/>
              </w:rPr>
              <w:t>8.60E+00</w:t>
            </w:r>
          </w:p>
        </w:tc>
        <w:tc>
          <w:tcPr>
            <w:tcW w:w="2237" w:type="pct"/>
            <w:vAlign w:val="center"/>
          </w:tcPr>
          <w:p>
            <w:pPr>
              <w:spacing w:line="240" w:lineRule="auto"/>
              <w:ind w:firstLine="0" w:firstLineChars="0"/>
              <w:jc w:val="center"/>
              <w:rPr>
                <w:sz w:val="21"/>
                <w:szCs w:val="21"/>
              </w:rPr>
            </w:pPr>
            <w:r>
              <w:rPr>
                <w:rFonts w:hint="eastAsia"/>
                <w:sz w:val="21"/>
                <w:szCs w:val="21"/>
              </w:rPr>
              <w:t>1.39E+02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400</w:t>
            </w:r>
          </w:p>
        </w:tc>
        <w:tc>
          <w:tcPr>
            <w:tcW w:w="2164" w:type="pct"/>
            <w:vAlign w:val="center"/>
          </w:tcPr>
          <w:p>
            <w:pPr>
              <w:spacing w:line="240" w:lineRule="auto"/>
              <w:ind w:firstLine="0" w:firstLineChars="0"/>
              <w:jc w:val="center"/>
              <w:rPr>
                <w:sz w:val="21"/>
                <w:szCs w:val="21"/>
              </w:rPr>
            </w:pPr>
            <w:r>
              <w:rPr>
                <w:rFonts w:hint="eastAsia"/>
                <w:sz w:val="21"/>
                <w:szCs w:val="21"/>
              </w:rPr>
              <w:t>7.29E-04</w:t>
            </w:r>
          </w:p>
        </w:tc>
        <w:tc>
          <w:tcPr>
            <w:tcW w:w="2237" w:type="pct"/>
            <w:vAlign w:val="center"/>
          </w:tcPr>
          <w:p>
            <w:pPr>
              <w:spacing w:line="240" w:lineRule="auto"/>
              <w:ind w:firstLine="0" w:firstLineChars="0"/>
              <w:jc w:val="center"/>
              <w:rPr>
                <w:sz w:val="21"/>
                <w:szCs w:val="21"/>
              </w:rPr>
            </w:pPr>
            <w:r>
              <w:rPr>
                <w:rFonts w:hint="eastAsia"/>
                <w:sz w:val="21"/>
                <w:szCs w:val="21"/>
              </w:rPr>
              <w:t>1.18E-02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450</w:t>
            </w:r>
          </w:p>
        </w:tc>
        <w:tc>
          <w:tcPr>
            <w:tcW w:w="2164" w:type="pct"/>
            <w:vAlign w:val="center"/>
          </w:tcPr>
          <w:p>
            <w:pPr>
              <w:spacing w:line="240" w:lineRule="auto"/>
              <w:ind w:firstLine="0" w:firstLineChars="0"/>
              <w:jc w:val="center"/>
              <w:rPr>
                <w:sz w:val="21"/>
                <w:szCs w:val="21"/>
              </w:rPr>
            </w:pPr>
            <w:r>
              <w:rPr>
                <w:rFonts w:hint="eastAsia"/>
                <w:sz w:val="21"/>
                <w:szCs w:val="21"/>
              </w:rPr>
              <w:t>1.19E-10</w:t>
            </w:r>
          </w:p>
        </w:tc>
        <w:tc>
          <w:tcPr>
            <w:tcW w:w="2237" w:type="pct"/>
            <w:vAlign w:val="center"/>
          </w:tcPr>
          <w:p>
            <w:pPr>
              <w:spacing w:line="240" w:lineRule="auto"/>
              <w:ind w:firstLine="0" w:firstLineChars="0"/>
              <w:jc w:val="center"/>
              <w:rPr>
                <w:sz w:val="21"/>
                <w:szCs w:val="21"/>
              </w:rPr>
            </w:pPr>
            <w:r>
              <w:rPr>
                <w:rFonts w:hint="eastAsia"/>
                <w:sz w:val="21"/>
                <w:szCs w:val="21"/>
              </w:rPr>
              <w:t>1.93E-09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500</w:t>
            </w:r>
          </w:p>
        </w:tc>
        <w:tc>
          <w:tcPr>
            <w:tcW w:w="2164" w:type="pct"/>
            <w:vAlign w:val="center"/>
          </w:tcPr>
          <w:p>
            <w:pPr>
              <w:spacing w:line="240" w:lineRule="auto"/>
              <w:ind w:firstLine="0" w:firstLineChars="0"/>
              <w:jc w:val="center"/>
              <w:rPr>
                <w:sz w:val="21"/>
                <w:szCs w:val="21"/>
              </w:rPr>
            </w:pPr>
            <w:r>
              <w:rPr>
                <w:rFonts w:hint="eastAsia"/>
                <w:sz w:val="21"/>
                <w:szCs w:val="21"/>
              </w:rPr>
              <w:t>3.77E-20</w:t>
            </w:r>
          </w:p>
        </w:tc>
        <w:tc>
          <w:tcPr>
            <w:tcW w:w="2237" w:type="pct"/>
            <w:vAlign w:val="center"/>
          </w:tcPr>
          <w:p>
            <w:pPr>
              <w:spacing w:line="240" w:lineRule="auto"/>
              <w:ind w:firstLine="0" w:firstLineChars="0"/>
              <w:jc w:val="center"/>
              <w:rPr>
                <w:sz w:val="21"/>
                <w:szCs w:val="21"/>
              </w:rPr>
            </w:pPr>
            <w:r>
              <w:rPr>
                <w:rFonts w:hint="eastAsia"/>
                <w:sz w:val="21"/>
                <w:szCs w:val="21"/>
              </w:rPr>
              <w:t>6.11E-19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550</w:t>
            </w:r>
          </w:p>
        </w:tc>
        <w:tc>
          <w:tcPr>
            <w:tcW w:w="2164" w:type="pct"/>
            <w:vAlign w:val="center"/>
          </w:tcPr>
          <w:p>
            <w:pPr>
              <w:spacing w:line="240" w:lineRule="auto"/>
              <w:ind w:firstLine="0" w:firstLineChars="0"/>
              <w:jc w:val="center"/>
              <w:rPr>
                <w:sz w:val="21"/>
                <w:szCs w:val="21"/>
              </w:rPr>
            </w:pPr>
            <w:r>
              <w:rPr>
                <w:rFonts w:hint="eastAsia"/>
                <w:sz w:val="21"/>
                <w:szCs w:val="21"/>
              </w:rPr>
              <w:t>2.30E-32</w:t>
            </w:r>
          </w:p>
        </w:tc>
        <w:tc>
          <w:tcPr>
            <w:tcW w:w="2237" w:type="pct"/>
            <w:vAlign w:val="center"/>
          </w:tcPr>
          <w:p>
            <w:pPr>
              <w:spacing w:line="240" w:lineRule="auto"/>
              <w:ind w:firstLine="0" w:firstLineChars="0"/>
              <w:jc w:val="center"/>
              <w:rPr>
                <w:sz w:val="21"/>
                <w:szCs w:val="21"/>
              </w:rPr>
            </w:pPr>
            <w:r>
              <w:rPr>
                <w:sz w:val="21"/>
                <w:szCs w:val="21"/>
              </w:rPr>
              <w:t>3.73E-31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600</w:t>
            </w:r>
          </w:p>
        </w:tc>
        <w:tc>
          <w:tcPr>
            <w:tcW w:w="2164" w:type="pct"/>
            <w:vAlign w:val="center"/>
          </w:tcPr>
          <w:p>
            <w:pPr>
              <w:spacing w:line="240" w:lineRule="auto"/>
              <w:ind w:firstLine="0" w:firstLineChars="0"/>
              <w:jc w:val="center"/>
              <w:rPr>
                <w:sz w:val="21"/>
                <w:szCs w:val="21"/>
              </w:rPr>
            </w:pPr>
            <w:r>
              <w:rPr>
                <w:rFonts w:hint="eastAsia"/>
                <w:sz w:val="21"/>
                <w:szCs w:val="21"/>
              </w:rPr>
              <w:t>0.00E+00</w:t>
            </w:r>
          </w:p>
        </w:tc>
        <w:tc>
          <w:tcPr>
            <w:tcW w:w="2237" w:type="pct"/>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650</w:t>
            </w:r>
          </w:p>
        </w:tc>
        <w:tc>
          <w:tcPr>
            <w:tcW w:w="2164" w:type="pct"/>
            <w:vAlign w:val="center"/>
          </w:tcPr>
          <w:p>
            <w:pPr>
              <w:spacing w:line="240" w:lineRule="auto"/>
              <w:ind w:firstLine="0" w:firstLineChars="0"/>
              <w:jc w:val="center"/>
              <w:rPr>
                <w:sz w:val="21"/>
                <w:szCs w:val="21"/>
              </w:rPr>
            </w:pPr>
            <w:r>
              <w:rPr>
                <w:rFonts w:hint="eastAsia"/>
                <w:sz w:val="21"/>
                <w:szCs w:val="21"/>
              </w:rPr>
              <w:t>0.00E+00</w:t>
            </w:r>
          </w:p>
        </w:tc>
        <w:tc>
          <w:tcPr>
            <w:tcW w:w="2237" w:type="pct"/>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700</w:t>
            </w:r>
          </w:p>
        </w:tc>
        <w:tc>
          <w:tcPr>
            <w:tcW w:w="2164" w:type="pct"/>
            <w:vAlign w:val="center"/>
          </w:tcPr>
          <w:p>
            <w:pPr>
              <w:spacing w:line="240" w:lineRule="auto"/>
              <w:ind w:firstLine="0" w:firstLineChars="0"/>
              <w:jc w:val="center"/>
              <w:rPr>
                <w:sz w:val="21"/>
                <w:szCs w:val="21"/>
              </w:rPr>
            </w:pPr>
            <w:r>
              <w:rPr>
                <w:rFonts w:hint="eastAsia"/>
                <w:sz w:val="21"/>
                <w:szCs w:val="21"/>
              </w:rPr>
              <w:t>0.00E+00</w:t>
            </w:r>
          </w:p>
        </w:tc>
        <w:tc>
          <w:tcPr>
            <w:tcW w:w="2237" w:type="pct"/>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750</w:t>
            </w:r>
          </w:p>
        </w:tc>
        <w:tc>
          <w:tcPr>
            <w:tcW w:w="2164" w:type="pct"/>
            <w:vAlign w:val="center"/>
          </w:tcPr>
          <w:p>
            <w:pPr>
              <w:spacing w:line="240" w:lineRule="auto"/>
              <w:ind w:firstLine="0" w:firstLineChars="0"/>
              <w:jc w:val="center"/>
              <w:rPr>
                <w:sz w:val="21"/>
                <w:szCs w:val="21"/>
              </w:rPr>
            </w:pPr>
            <w:r>
              <w:rPr>
                <w:rFonts w:hint="eastAsia"/>
                <w:sz w:val="21"/>
                <w:szCs w:val="21"/>
              </w:rPr>
              <w:t>0.00E+00</w:t>
            </w:r>
          </w:p>
        </w:tc>
        <w:tc>
          <w:tcPr>
            <w:tcW w:w="2237" w:type="pct"/>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rFonts w:hint="eastAsia"/>
                <w:sz w:val="21"/>
                <w:szCs w:val="21"/>
              </w:rPr>
              <w:t>800</w:t>
            </w:r>
          </w:p>
        </w:tc>
        <w:tc>
          <w:tcPr>
            <w:tcW w:w="2164" w:type="pct"/>
            <w:vAlign w:val="center"/>
          </w:tcPr>
          <w:p>
            <w:pPr>
              <w:spacing w:line="240" w:lineRule="auto"/>
              <w:ind w:firstLine="0" w:firstLineChars="0"/>
              <w:jc w:val="center"/>
              <w:rPr>
                <w:sz w:val="21"/>
                <w:szCs w:val="21"/>
              </w:rPr>
            </w:pPr>
            <w:r>
              <w:rPr>
                <w:rFonts w:hint="eastAsia"/>
                <w:sz w:val="21"/>
                <w:szCs w:val="21"/>
              </w:rPr>
              <w:t>0.00E+00</w:t>
            </w:r>
          </w:p>
        </w:tc>
        <w:tc>
          <w:tcPr>
            <w:tcW w:w="2237" w:type="pct"/>
            <w:vAlign w:val="center"/>
          </w:tcPr>
          <w:p>
            <w:pPr>
              <w:spacing w:line="240" w:lineRule="auto"/>
              <w:ind w:firstLine="0" w:firstLineChars="0"/>
              <w:jc w:val="center"/>
              <w:rPr>
                <w:sz w:val="21"/>
                <w:szCs w:val="21"/>
              </w:rPr>
            </w:pPr>
            <w:r>
              <w:rPr>
                <w:sz w:val="21"/>
                <w:szCs w:val="21"/>
              </w:rPr>
              <w:t>0.00E+00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pct"/>
            <w:vAlign w:val="center"/>
          </w:tcPr>
          <w:p>
            <w:pPr>
              <w:spacing w:line="240" w:lineRule="auto"/>
              <w:ind w:firstLine="0" w:firstLineChars="0"/>
              <w:jc w:val="center"/>
              <w:rPr>
                <w:sz w:val="21"/>
                <w:szCs w:val="21"/>
              </w:rPr>
            </w:pPr>
            <w:r>
              <w:rPr>
                <w:sz w:val="21"/>
                <w:szCs w:val="21"/>
              </w:rPr>
              <w:t>预测</w:t>
            </w:r>
          </w:p>
          <w:p>
            <w:pPr>
              <w:spacing w:line="240" w:lineRule="auto"/>
              <w:ind w:firstLine="0" w:firstLineChars="0"/>
              <w:jc w:val="center"/>
              <w:rPr>
                <w:sz w:val="21"/>
                <w:szCs w:val="21"/>
              </w:rPr>
            </w:pPr>
            <w:r>
              <w:rPr>
                <w:sz w:val="21"/>
                <w:szCs w:val="21"/>
              </w:rPr>
              <w:t>结果</w:t>
            </w:r>
          </w:p>
        </w:tc>
        <w:tc>
          <w:tcPr>
            <w:tcW w:w="2164" w:type="pct"/>
            <w:vAlign w:val="center"/>
          </w:tcPr>
          <w:p>
            <w:pPr>
              <w:spacing w:line="240" w:lineRule="auto"/>
              <w:ind w:firstLine="0" w:firstLineChars="0"/>
              <w:jc w:val="center"/>
              <w:rPr>
                <w:sz w:val="21"/>
                <w:szCs w:val="21"/>
              </w:rPr>
            </w:pPr>
            <w:r>
              <w:rPr>
                <w:sz w:val="21"/>
                <w:szCs w:val="21"/>
              </w:rPr>
              <w:t>1000天时，预测的最大值为195.6717mg/</w:t>
            </w:r>
            <w:r>
              <w:rPr>
                <w:rFonts w:hint="eastAsia"/>
                <w:sz w:val="21"/>
                <w:szCs w:val="21"/>
              </w:rPr>
              <w:t>L</w:t>
            </w:r>
            <w:r>
              <w:rPr>
                <w:sz w:val="21"/>
                <w:szCs w:val="21"/>
              </w:rPr>
              <w:t>，预测超标距离最远为369m；影响距离最远为384m</w:t>
            </w:r>
          </w:p>
        </w:tc>
        <w:tc>
          <w:tcPr>
            <w:tcW w:w="2237" w:type="pct"/>
            <w:vAlign w:val="center"/>
          </w:tcPr>
          <w:p>
            <w:pPr>
              <w:spacing w:line="240" w:lineRule="auto"/>
              <w:ind w:firstLine="0" w:firstLineChars="0"/>
              <w:jc w:val="center"/>
              <w:rPr>
                <w:sz w:val="21"/>
                <w:szCs w:val="21"/>
              </w:rPr>
            </w:pPr>
            <w:r>
              <w:rPr>
                <w:sz w:val="21"/>
                <w:szCs w:val="21"/>
              </w:rPr>
              <w:t>1000天时，预测的最大值为3166.842mg/</w:t>
            </w:r>
            <w:r>
              <w:rPr>
                <w:rFonts w:hint="eastAsia"/>
                <w:sz w:val="21"/>
                <w:szCs w:val="21"/>
              </w:rPr>
              <w:t>L</w:t>
            </w:r>
            <w:r>
              <w:rPr>
                <w:sz w:val="21"/>
                <w:szCs w:val="21"/>
              </w:rPr>
              <w:t>，预测超标距离最远为374m；影响距离最远为394m</w:t>
            </w:r>
          </w:p>
        </w:tc>
      </w:tr>
    </w:tbl>
    <w:p>
      <w:pPr>
        <w:ind w:firstLine="480"/>
      </w:pPr>
      <w:r>
        <w:rPr>
          <w:rFonts w:hint="eastAsia"/>
        </w:rPr>
        <w:t>地下水预测结果图如下：</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tcBorders>
              <w:tl2br w:val="nil"/>
              <w:tr2bl w:val="nil"/>
            </w:tcBorders>
            <w:vAlign w:val="center"/>
          </w:tcPr>
          <w:p>
            <w:pPr>
              <w:spacing w:line="240" w:lineRule="auto"/>
              <w:ind w:firstLine="0" w:firstLineChars="0"/>
              <w:jc w:val="center"/>
              <w:rPr>
                <w:sz w:val="21"/>
                <w:szCs w:val="21"/>
              </w:rPr>
            </w:pPr>
            <w:r>
              <mc:AlternateContent>
                <mc:Choice Requires="wps">
                  <w:drawing>
                    <wp:anchor distT="0" distB="0" distL="114300" distR="114300" simplePos="0" relativeHeight="251661312" behindDoc="0" locked="0" layoutInCell="1" allowOverlap="1">
                      <wp:simplePos x="0" y="0"/>
                      <wp:positionH relativeFrom="column">
                        <wp:posOffset>400685</wp:posOffset>
                      </wp:positionH>
                      <wp:positionV relativeFrom="paragraph">
                        <wp:posOffset>377825</wp:posOffset>
                      </wp:positionV>
                      <wp:extent cx="730250" cy="383540"/>
                      <wp:effectExtent l="0" t="0" r="0" b="0"/>
                      <wp:wrapNone/>
                      <wp:docPr id="1" name="文本框 1"/>
                      <wp:cNvGraphicFramePr/>
                      <a:graphic xmlns:a="http://schemas.openxmlformats.org/drawingml/2006/main">
                        <a:graphicData uri="http://schemas.microsoft.com/office/word/2010/wordprocessingShape">
                          <wps:wsp>
                            <wps:cNvSpPr txBox="1"/>
                            <wps:spPr>
                              <a:xfrm>
                                <a:off x="1240155" y="1421130"/>
                                <a:ext cx="7302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jc w:val="left"/>
                                    <w:rPr>
                                      <w:sz w:val="15"/>
                                      <w:szCs w:val="15"/>
                                    </w:rPr>
                                  </w:pPr>
                                  <w:r>
                                    <w:rPr>
                                      <w:rFonts w:hint="eastAsia"/>
                                      <w:sz w:val="15"/>
                                      <w:szCs w:val="15"/>
                                    </w:rPr>
                                    <w:t>浓度（mg/L）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5pt;margin-top:29.75pt;height:30.2pt;width:57.5pt;z-index:251661312;mso-width-relative:page;mso-height-relative:page;" filled="f" stroked="f" coordsize="21600,21600" o:gfxdata="UEsDBAoAAAAAAIdO4kAAAAAAAAAAAAAAAAAEAAAAZHJzL1BLAwQUAAAACACHTuJAuvCra9oAAAAJ&#10;AQAADwAAAGRycy9kb3ducmV2LnhtbE2PzU7DMBCE70i8g7VI3KiTopQkxKlQpAoJlUNLL9w28TaJ&#10;iO0Quz/06dme4La7M5r9pliezSCONPneWQXxLAJBtnG6t62C3cfqIQXhA1qNg7Ok4Ic8LMvbmwJz&#10;7U52Q8dtaAWHWJ+jgi6EMZfSNx0Z9DM3kmVt7yaDgdeplXrCE4ebQc6jaCEN9pY/dDhS1VHztT0Y&#10;BW/V6h039dykl6F6Xe9fxu/dZ6LU/V0cPYMIdA5/ZrjiMzqUzFS7g9VeDAoWjzE7FSRZAuKqP6V8&#10;qHmIswxkWcj/DcpfUEsDBBQAAAAIAIdO4kAdWCHfQwIAAHEEAAAOAAAAZHJzL2Uyb0RvYy54bWyt&#10;VMtuEzEU3SPxD5b3dDJ5tCXqpAqtipAqWikg1o7H0xnJL2wnM+ED4A9YsWHPd+U7OPZM2lJYdMHG&#10;ufY9c67Pudc5O++UJFvhfGN0QfOjESVCc1M2+q6gHz9cvTqlxAemSyaNFgXdCU/PFy9fnLV2Lsam&#10;NrIUjoBE+3lrC1qHYOdZ5nktFPNHxgqNZGWcYgFbd5eVjrVgVzIbj0bHWWtcaZ3hwnucXvZJOjC6&#10;5xCaqmq4uDR8o4QOPasTkgVI8nVjPV2k21aV4OGmqrwIRBYUSkNaUQTxOq7Z4ozN7xyzdcOHK7Dn&#10;XOGJJsUajaL3VJcsMLJxzV9UquHOeFOFI25U1gtJjkBFPnrizapmViQtsNrbe9P9/6Pl77e3jjQl&#10;JoESzRQavv/+bf/j1/7nV5JHe1rr50CtLHChe2O6CB3OPQ6j6q5yKv5CD4n58XSUz2aU7BBPx3k+&#10;GYwWXSAcgJPJaDxDCzgAk9PJbJry2QORdT68FUaRGBTUoY/JXra99gHFAT1AYl1trhopUy+lJm1B&#10;jyeg/yODL6TGh1FOf+0YhW7dDVrWptxBojP9jHjLrxoUv2Y+3DKHocB98WzCDZZKGhQxQ0RJbdyX&#10;f51HPHqFLCUthqyg/vOGOUGJfKfRxdf5FNJJSJvp7GSMjXucWT/O6I26MJhjdAq3S2HEB3kIK2fU&#10;J7yuZayKFNMctQsaDuFF6Ecfr5OL5TKBMIeWhWu9sjxS96YtN8FUTXI62tR7M7iHSUwNGF5NHPXH&#10;+4R6+KdY/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68Ktr2gAAAAkBAAAPAAAAAAAAAAEAIAAA&#10;ACIAAABkcnMvZG93bnJldi54bWxQSwECFAAUAAAACACHTuJAHVgh30MCAABxBAAADgAAAAAAAAAB&#10;ACAAAAApAQAAZHJzL2Uyb0RvYy54bWxQSwUGAAAAAAYABgBZAQAA3gUAAAAA&#10;">
                      <v:fill on="f" focussize="0,0"/>
                      <v:stroke on="f" weight="0.5pt"/>
                      <v:imagedata o:title=""/>
                      <o:lock v:ext="edit" aspectratio="f"/>
                      <v:textbox>
                        <w:txbxContent>
                          <w:p>
                            <w:pPr>
                              <w:spacing w:line="240" w:lineRule="auto"/>
                              <w:ind w:firstLine="0" w:firstLineChars="0"/>
                              <w:jc w:val="left"/>
                              <w:rPr>
                                <w:sz w:val="15"/>
                                <w:szCs w:val="15"/>
                              </w:rPr>
                            </w:pPr>
                            <w:r>
                              <w:rPr>
                                <w:rFonts w:hint="eastAsia"/>
                                <w:sz w:val="15"/>
                                <w:szCs w:val="15"/>
                              </w:rPr>
                              <w:t>浓度（mg/L）</w:t>
                            </w:r>
                          </w:p>
                        </w:txbxContent>
                      </v:textbox>
                    </v:shape>
                  </w:pict>
                </mc:Fallback>
              </mc:AlternateContent>
            </w:r>
            <w:r>
              <w:drawing>
                <wp:inline distT="0" distB="0" distL="114300" distR="114300">
                  <wp:extent cx="6227445" cy="3487420"/>
                  <wp:effectExtent l="4445" t="4445" r="16510" b="51435"/>
                  <wp:docPr id="18" name="图表 2" descr="7b0a202020202263686172745265734964223a202232303437323139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tcBorders>
              <w:tl2br w:val="nil"/>
              <w:tr2bl w:val="nil"/>
            </w:tcBorders>
            <w:vAlign w:val="center"/>
          </w:tcPr>
          <w:p>
            <w:pPr>
              <w:spacing w:line="240" w:lineRule="auto"/>
              <w:ind w:firstLine="0" w:firstLineChars="0"/>
              <w:rPr>
                <w:sz w:val="21"/>
                <w:szCs w:val="21"/>
              </w:rPr>
            </w:pPr>
            <w:r>
              <w:rPr>
                <w:sz w:val="21"/>
                <w:szCs w:val="21"/>
              </w:rPr>
              <w:t>100天时，预测最大值为618.7682mg/</w:t>
            </w:r>
            <w:r>
              <w:rPr>
                <w:rFonts w:hint="eastAsia"/>
                <w:sz w:val="21"/>
                <w:szCs w:val="21"/>
              </w:rPr>
              <w:t>L</w:t>
            </w:r>
            <w:r>
              <w:rPr>
                <w:sz w:val="21"/>
                <w:szCs w:val="21"/>
              </w:rPr>
              <w:t>，预测超标距离最远为53m；影响距离最远为58m</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tcBorders>
              <w:tl2br w:val="nil"/>
              <w:tr2bl w:val="nil"/>
            </w:tcBorders>
            <w:vAlign w:val="center"/>
          </w:tcPr>
          <w:p>
            <w:pPr>
              <w:spacing w:line="240" w:lineRule="auto"/>
              <w:ind w:firstLine="0" w:firstLineChars="0"/>
              <w:rPr>
                <w:sz w:val="21"/>
                <w:szCs w:val="21"/>
              </w:rPr>
            </w:pPr>
            <w:r>
              <mc:AlternateContent>
                <mc:Choice Requires="wps">
                  <w:drawing>
                    <wp:anchor distT="0" distB="0" distL="114300" distR="114300" simplePos="0" relativeHeight="251662336" behindDoc="0" locked="0" layoutInCell="1" allowOverlap="1">
                      <wp:simplePos x="0" y="0"/>
                      <wp:positionH relativeFrom="column">
                        <wp:posOffset>-33020</wp:posOffset>
                      </wp:positionH>
                      <wp:positionV relativeFrom="paragraph">
                        <wp:posOffset>453390</wp:posOffset>
                      </wp:positionV>
                      <wp:extent cx="730250" cy="383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302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jc w:val="left"/>
                                    <w:rPr>
                                      <w:sz w:val="15"/>
                                      <w:szCs w:val="15"/>
                                    </w:rPr>
                                  </w:pPr>
                                  <w:r>
                                    <w:rPr>
                                      <w:rFonts w:hint="eastAsia"/>
                                      <w:sz w:val="15"/>
                                      <w:szCs w:val="15"/>
                                    </w:rPr>
                                    <w:t>浓度（mg/L）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pt;margin-top:35.7pt;height:30.2pt;width:57.5pt;z-index:251662336;mso-width-relative:page;mso-height-relative:page;" filled="f" stroked="f" coordsize="21600,21600" o:gfxdata="UEsDBAoAAAAAAIdO4kAAAAAAAAAAAAAAAAAEAAAAZHJzL1BLAwQUAAAACACHTuJAsfphNtoAAAAJ&#10;AQAADwAAAGRycy9kb3ducmV2LnhtbE2PzU7DMBCE70i8g7VI3Fo7gUIIcSoUqUJCcGjphdsm3iYR&#10;8TrE7g88Pe4Jbjua0ew3xfJkB3GgyfeONSRzBYK4cabnVsP2fTXLQPiAbHBwTBq+ycOyvLwoMDfu&#10;yGs6bEIrYgn7HDV0IYy5lL7pyKKfu5E4ejs3WQxRTq00Ex5juR1kqtSdtNhz/NDhSFVHzedmbzW8&#10;VKs3XNepzX6G6vl19zR+bT8WWl9fJeoRRKBT+AvDGT+iQxmZardn48WgYbZIY1LDfXIL4uyrhzil&#10;jsdNkoEsC/l/QfkLUEsDBBQAAAAIAIdO4kAe84O/OgIAAGUEAAAOAAAAZHJzL2Uyb0RvYy54bWyt&#10;VM1u1DAQviPxDpbvNPvTP1abrZZWRUgVrVQQZ6/jbCLZHmN7m5QHgDfgxIU7z9Xn4LOz25bCoQcu&#10;znhmPDPfNzOZn/RGsxvlQ0u25OO9EWfKSqpauy75xw/nr445C1HYSmiyquS3KvCTxcsX887N1IQa&#10;0pXyDEFsmHWu5E2MblYUQTbKiLBHTlkYa/JGRFz9uqi86BDd6GIyGh0WHfnKeZIqBGjPBiPfRvTP&#10;CUh13Up1RnJjlI1DVK+0iIAUmtYFvsjV1rWS8bKug4pMlxxIYz6RBPIqncViLmZrL1zTym0J4jkl&#10;PMFkRGuR9D7UmYiCbXz7VyjTSk+B6rgnyRQDkMwIUIxHT7i5boRTGQuoDu6e9PD/wsr3N1eetVXJ&#10;J5xZYdDwu+/f7n78uvv5lU0SPZ0LM3hdO/jF/g31GJqdPkCZUPe1N+kLPAx2kHt7T67qI5NQHk1H&#10;kwNYJEzT4+nBfia/eHjsfIhvFRmWhJJ79C5TKm4uQkQhcN25pFyWzlutc/+0ZV3JD6cI/4cFL7TF&#10;wwRhKDVJsV/1W1wrqm4By9MwF8HJ8xbJL0SIV8JjEFAvViVe4qg1IQltJc4a8l/+pU/+6A+snHUY&#10;rJKHzxvhFWf6nUXnXo/3AZ3FfNk/OJrg4h9bVo8tdmNOCbM7xlI6mcXkH/VOrD2ZT9ioZcoKk7AS&#10;uUsed+JpHMYdGynVcpmdMHtOxAt77WQKPZC23ESq28x0omngZssepi83YLspabwf37PXw99h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x+mE22gAAAAkBAAAPAAAAAAAAAAEAIAAAACIAAABkcnMv&#10;ZG93bnJldi54bWxQSwECFAAUAAAACACHTuJAHvODvzoCAABlBAAADgAAAAAAAAABACAAAAApAQAA&#10;ZHJzL2Uyb0RvYy54bWxQSwUGAAAAAAYABgBZAQAA1QUAAAAA&#10;">
                      <v:fill on="f" focussize="0,0"/>
                      <v:stroke on="f" weight="0.5pt"/>
                      <v:imagedata o:title=""/>
                      <o:lock v:ext="edit" aspectratio="f"/>
                      <v:textbox>
                        <w:txbxContent>
                          <w:p>
                            <w:pPr>
                              <w:spacing w:line="240" w:lineRule="auto"/>
                              <w:ind w:firstLine="0" w:firstLineChars="0"/>
                              <w:jc w:val="left"/>
                              <w:rPr>
                                <w:sz w:val="15"/>
                                <w:szCs w:val="15"/>
                              </w:rPr>
                            </w:pPr>
                            <w:r>
                              <w:rPr>
                                <w:rFonts w:hint="eastAsia"/>
                                <w:sz w:val="15"/>
                                <w:szCs w:val="15"/>
                              </w:rPr>
                              <w:t>浓度（mg/L）</w:t>
                            </w:r>
                          </w:p>
                        </w:txbxContent>
                      </v:textbox>
                    </v:shape>
                  </w:pict>
                </mc:Fallback>
              </mc:AlternateContent>
            </w:r>
            <w:r>
              <w:drawing>
                <wp:inline distT="0" distB="0" distL="114300" distR="114300">
                  <wp:extent cx="6157595" cy="3032125"/>
                  <wp:effectExtent l="4445" t="4445" r="10160" b="49530"/>
                  <wp:docPr id="19" name="图表 3" descr="7b0a202020202263686172745265734964223a202232303437323139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tcBorders>
              <w:tl2br w:val="nil"/>
              <w:tr2bl w:val="nil"/>
            </w:tcBorders>
            <w:vAlign w:val="center"/>
          </w:tcPr>
          <w:p>
            <w:pPr>
              <w:spacing w:line="240" w:lineRule="auto"/>
              <w:ind w:firstLine="0" w:firstLineChars="0"/>
              <w:rPr>
                <w:sz w:val="21"/>
                <w:szCs w:val="21"/>
              </w:rPr>
            </w:pPr>
            <w:r>
              <w:rPr>
                <w:sz w:val="21"/>
                <w:szCs w:val="21"/>
              </w:rPr>
              <w:t>365天时，预测最大值为323.8781mg/</w:t>
            </w:r>
            <w:r>
              <w:rPr>
                <w:rFonts w:hint="eastAsia"/>
                <w:sz w:val="21"/>
                <w:szCs w:val="21"/>
              </w:rPr>
              <w:t>L</w:t>
            </w:r>
            <w:r>
              <w:rPr>
                <w:sz w:val="21"/>
                <w:szCs w:val="21"/>
              </w:rPr>
              <w:t>，预测超标距离最远为152m；影响距离最远为162m</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tcBorders>
              <w:tl2br w:val="nil"/>
              <w:tr2bl w:val="nil"/>
            </w:tcBorders>
            <w:vAlign w:val="center"/>
          </w:tcPr>
          <w:p>
            <w:pPr>
              <w:spacing w:line="240" w:lineRule="auto"/>
              <w:ind w:firstLine="0" w:firstLineChars="0"/>
              <w:rPr>
                <w:sz w:val="21"/>
                <w:szCs w:val="21"/>
              </w:rPr>
            </w:pPr>
            <w:r>
              <mc:AlternateContent>
                <mc:Choice Requires="wps">
                  <w:drawing>
                    <wp:anchor distT="0" distB="0" distL="114300" distR="114300" simplePos="0" relativeHeight="251663360" behindDoc="0" locked="0" layoutInCell="1" allowOverlap="1">
                      <wp:simplePos x="0" y="0"/>
                      <wp:positionH relativeFrom="column">
                        <wp:posOffset>-36195</wp:posOffset>
                      </wp:positionH>
                      <wp:positionV relativeFrom="paragraph">
                        <wp:posOffset>323850</wp:posOffset>
                      </wp:positionV>
                      <wp:extent cx="730250" cy="38354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302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jc w:val="left"/>
                                    <w:rPr>
                                      <w:sz w:val="15"/>
                                      <w:szCs w:val="15"/>
                                    </w:rPr>
                                  </w:pPr>
                                  <w:r>
                                    <w:rPr>
                                      <w:rFonts w:hint="eastAsia"/>
                                      <w:sz w:val="15"/>
                                      <w:szCs w:val="15"/>
                                    </w:rPr>
                                    <w:t>浓度（mg/L）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pt;margin-top:25.5pt;height:30.2pt;width:57.5pt;z-index:251663360;mso-width-relative:page;mso-height-relative:page;" filled="f" stroked="f" coordsize="21600,21600" o:gfxdata="UEsDBAoAAAAAAIdO4kAAAAAAAAAAAAAAAAAEAAAAZHJzL1BLAwQUAAAACACHTuJANsYBjtoAAAAJ&#10;AQAADwAAAGRycy9kb3ducmV2LnhtbE2PzU7DMBCE70i8g7VI3FrbhdAS4lQoUoWE4NDSS29OvE0i&#10;7HWI3R94etwT3HY0o9lviuXZWXbEMfSeFMipAIbUeNNTq2D7sZosgIWoyWjrCRV8Y4BleX1V6Nz4&#10;E63xuIktSyUUcq2gi3HIOQ9Nh06HqR+Qkrf3o9MxybHlZtSnVO4snwnxwJ3uKX3o9IBVh83n5uAU&#10;vFard72uZ27xY6uXt/3z8LXdZUrd3kjxBCziOf6F4YKf0KFMTLU/kAnMKphk85RUkMk06eKLxztg&#10;dTqkvAdeFvz/gvIXUEsDBBQAAAAIAIdO4kCpnq43OgIAAGUEAAAOAAAAZHJzL2Uyb0RvYy54bWyt&#10;VM1u1DAQviPxDpbvNPvTP1abrZZWRUgVrVQQZ6/jbCLZHmN7m5QHgDfgxIU7z9Xn4LOz25bCoQcu&#10;znhmPDPfNzOZn/RGsxvlQ0u25OO9EWfKSqpauy75xw/nr445C1HYSmiyquS3KvCTxcsX887N1IQa&#10;0pXyDEFsmHWu5E2MblYUQTbKiLBHTlkYa/JGRFz9uqi86BDd6GIyGh0WHfnKeZIqBGjPBiPfRvTP&#10;CUh13Up1RnJjlI1DVK+0iIAUmtYFvsjV1rWS8bKug4pMlxxIYz6RBPIqncViLmZrL1zTym0J4jkl&#10;PMFkRGuR9D7UmYiCbXz7VyjTSk+B6rgnyRQDkMwIUIxHT7i5boRTGQuoDu6e9PD/wsr3N1eetVXJ&#10;p5xZYdDwu+/f7n78uvv5lU0TPZ0LM3hdO/jF/g31GJqdPkCZUPe1N+kLPAx2kHt7T67qI5NQHk1H&#10;kwNYJEzT4+nBfia/eHjsfIhvFRmWhJJ79C5TKm4uQkQhcN25pFyWzlutc/+0ZV3JD6cI/4cFL7TF&#10;wwRhKDVJsV/1W1wrqm4By9MwF8HJ8xbJL0SIV8JjEFAvViVe4qg1IQltJc4a8l/+pU/+6A+snHUY&#10;rJKHzxvhFWf6nUXnXo/3AZ3FfNk/OJrg4h9bVo8tdmNOCbM7xlI6mcXkH/VOrD2ZT9ioZcoKk7AS&#10;uUsed+JpHMYdGynVcpmdMHtOxAt77WQKPZC23ESq28x0omngZssepi83YLspabwf37PXw99h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2xgGO2gAAAAkBAAAPAAAAAAAAAAEAIAAAACIAAABkcnMv&#10;ZG93bnJldi54bWxQSwECFAAUAAAACACHTuJAqZ6uNzoCAABlBAAADgAAAAAAAAABACAAAAApAQAA&#10;ZHJzL2Uyb0RvYy54bWxQSwUGAAAAAAYABgBZAQAA1QUAAAAA&#10;">
                      <v:fill on="f" focussize="0,0"/>
                      <v:stroke on="f" weight="0.5pt"/>
                      <v:imagedata o:title=""/>
                      <o:lock v:ext="edit" aspectratio="f"/>
                      <v:textbox>
                        <w:txbxContent>
                          <w:p>
                            <w:pPr>
                              <w:spacing w:line="240" w:lineRule="auto"/>
                              <w:ind w:firstLine="0" w:firstLineChars="0"/>
                              <w:jc w:val="left"/>
                              <w:rPr>
                                <w:sz w:val="15"/>
                                <w:szCs w:val="15"/>
                              </w:rPr>
                            </w:pPr>
                            <w:r>
                              <w:rPr>
                                <w:rFonts w:hint="eastAsia"/>
                                <w:sz w:val="15"/>
                                <w:szCs w:val="15"/>
                              </w:rPr>
                              <w:t>浓度（mg/L）</w:t>
                            </w:r>
                          </w:p>
                        </w:txbxContent>
                      </v:textbox>
                    </v:shape>
                  </w:pict>
                </mc:Fallback>
              </mc:AlternateContent>
            </w:r>
            <w:r>
              <w:drawing>
                <wp:inline distT="0" distB="0" distL="114300" distR="114300">
                  <wp:extent cx="6221730" cy="3242945"/>
                  <wp:effectExtent l="4445" t="4445" r="22225" b="48260"/>
                  <wp:docPr id="20" name="图表 4" descr="7b0a202020202263686172745265734964223a202232303437323139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tcBorders>
              <w:tl2br w:val="nil"/>
              <w:tr2bl w:val="nil"/>
            </w:tcBorders>
            <w:vAlign w:val="center"/>
          </w:tcPr>
          <w:p>
            <w:pPr>
              <w:spacing w:line="240" w:lineRule="auto"/>
              <w:ind w:firstLine="0" w:firstLineChars="0"/>
              <w:rPr>
                <w:sz w:val="21"/>
                <w:szCs w:val="21"/>
              </w:rPr>
            </w:pPr>
            <w:r>
              <w:rPr>
                <w:sz w:val="21"/>
                <w:szCs w:val="21"/>
              </w:rPr>
              <w:t>1000天时，预测最大值为195.6717mg/</w:t>
            </w:r>
            <w:r>
              <w:rPr>
                <w:rFonts w:hint="eastAsia"/>
                <w:sz w:val="21"/>
                <w:szCs w:val="21"/>
              </w:rPr>
              <w:t>L</w:t>
            </w:r>
            <w:r>
              <w:rPr>
                <w:sz w:val="21"/>
                <w:szCs w:val="21"/>
              </w:rPr>
              <w:t>，预测超标距离最远为369m；影响距离最远为384m</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vAlign w:val="center"/>
          </w:tcPr>
          <w:p>
            <w:pPr>
              <w:spacing w:line="240" w:lineRule="auto"/>
              <w:ind w:firstLine="0" w:firstLineChars="0"/>
              <w:rPr>
                <w:sz w:val="21"/>
                <w:szCs w:val="21"/>
              </w:rPr>
            </w:pPr>
            <w:r>
              <mc:AlternateContent>
                <mc:Choice Requires="wps">
                  <w:drawing>
                    <wp:anchor distT="0" distB="0" distL="114300" distR="114300" simplePos="0" relativeHeight="251663360" behindDoc="0" locked="0" layoutInCell="1" allowOverlap="1">
                      <wp:simplePos x="0" y="0"/>
                      <wp:positionH relativeFrom="column">
                        <wp:posOffset>6350</wp:posOffset>
                      </wp:positionH>
                      <wp:positionV relativeFrom="paragraph">
                        <wp:posOffset>357505</wp:posOffset>
                      </wp:positionV>
                      <wp:extent cx="730250" cy="38354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7302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jc w:val="left"/>
                                    <w:rPr>
                                      <w:sz w:val="15"/>
                                      <w:szCs w:val="15"/>
                                    </w:rPr>
                                  </w:pPr>
                                  <w:r>
                                    <w:rPr>
                                      <w:rFonts w:hint="eastAsia"/>
                                      <w:sz w:val="15"/>
                                      <w:szCs w:val="15"/>
                                    </w:rPr>
                                    <w:t>浓度（mg/L）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5pt;margin-top:28.15pt;height:30.2pt;width:57.5pt;z-index:251663360;mso-width-relative:page;mso-height-relative:page;" filled="f" stroked="f" coordsize="21600,21600" o:gfxdata="UEsDBAoAAAAAAIdO4kAAAAAAAAAAAAAAAAAEAAAAZHJzL1BLAwQUAAAACACHTuJAW51RmdgAAAAI&#10;AQAADwAAAGRycy9kb3ducmV2LnhtbE2PzU7DMBCE70i8g7WVuFEnRQ1ViFOhSBUSgkNLL9yceJtE&#10;tdchdn/g6dlyKbedndXsN8Xy7Kw44hh6TwrSaQICqfGmp1bB9mN1vwARoiajrSdU8I0BluXtTaFz&#10;40+0xuMmtoJDKORaQRfjkEsZmg6dDlM/ILG386PTkeXYSjPqE4c7K2dJkkmne+IPnR6w6rDZbw5O&#10;wWu1etfreuYWP7Z6eds9D1/bz7lSd5M0eQIR8Ryvx3DBZ3Qoman2BzJBWNbcJCqYZw8gLnaa8aL+&#10;Gx5BloX8X6D8BVBLAwQUAAAACACHTuJA3/dQQzoCAABnBAAADgAAAGRycy9lMm9Eb2MueG1srVTN&#10;btQwEL4j8Q6W7zT71x9WzVZLqyKkilYqiLPXcZpItsfY3iblAeANOHHhznPtc/DZ2W1L4dADF2c8&#10;M56Z75uZHJ/0RrNb5UNLtuTjvRFnykqqWntT8o8fzl8dcRaisJXQZFXJ71TgJ4uXL447N1cTakhX&#10;yjMEsWHeuZI3Mbp5UQTZKCPCHjllYazJGxFx9TdF5UWH6EYXk9HooOjIV86TVCFAezYY+Taif05A&#10;qutWqjOSa6NsHKJ6pUUEpNC0LvBFrraulYyXdR1UZLrkQBrziSSQV+ksFsdifuOFa1q5LUE8p4Qn&#10;mIxoLZLehzoTUbC1b/8KZVrpKVAd9ySZYgCSGQGK8egJN9eNcCpjAdXB3ZMe/l9Y+f72yrO2wiTM&#10;OLPCoOOb7982P35tfn5l0IGgzoU5/K4dPGP/hno47/QByoS7r71JXyBisIPeu3t6VR+ZhPJwOprs&#10;wyJhmh5N92eZ/uLhsfMhvlVkWBJK7tG9TKq4vQgRhcB155JyWTpvtc4d1JZ1JT+YIvwfFrzQFg8T&#10;hKHUJMV+1W9xrai6AyxPw2QEJ89bJL8QIV4Jj1FAvViWeImj1oQktJU4a8h/+Zc++aNDsHLWYbRK&#10;Hj6vhVec6XcWvXs9ngE6i/ky2z+c4OIfW1aPLXZtTgnTO8ZaOpnF5B/1Tqw9mU/YqWXKCpOwErlL&#10;HnfiaRwGHjsp1XKZnTB9TsQLe+1kCj2QtlxHqtvMdKJp4GbLHuYvN2C7K2nAH9+z18P/Yf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51RmdgAAAAIAQAADwAAAAAAAAABACAAAAAiAAAAZHJzL2Rv&#10;d25yZXYueG1sUEsBAhQAFAAAAAgAh07iQN/3UEM6AgAAZwQAAA4AAAAAAAAAAQAgAAAAJwEAAGRy&#10;cy9lMm9Eb2MueG1sUEsFBgAAAAAGAAYAWQEAANMFAAAAAA==&#10;">
                      <v:fill on="f" focussize="0,0"/>
                      <v:stroke on="f" weight="0.5pt"/>
                      <v:imagedata o:title=""/>
                      <o:lock v:ext="edit" aspectratio="f"/>
                      <v:textbox>
                        <w:txbxContent>
                          <w:p>
                            <w:pPr>
                              <w:spacing w:line="240" w:lineRule="auto"/>
                              <w:ind w:firstLine="0" w:firstLineChars="0"/>
                              <w:jc w:val="left"/>
                              <w:rPr>
                                <w:sz w:val="15"/>
                                <w:szCs w:val="15"/>
                              </w:rPr>
                            </w:pPr>
                            <w:r>
                              <w:rPr>
                                <w:rFonts w:hint="eastAsia"/>
                                <w:sz w:val="15"/>
                                <w:szCs w:val="15"/>
                              </w:rPr>
                              <w:t>浓度（mg/L）</w:t>
                            </w:r>
                          </w:p>
                        </w:txbxContent>
                      </v:textbox>
                    </v:shape>
                  </w:pict>
                </mc:Fallback>
              </mc:AlternateContent>
            </w:r>
            <w:r>
              <w:drawing>
                <wp:inline distT="0" distB="0" distL="114300" distR="114300">
                  <wp:extent cx="6225540" cy="2962275"/>
                  <wp:effectExtent l="4445" t="4445" r="18415" b="62230"/>
                  <wp:docPr id="22" name="图表 5" descr="7b0a202020202263686172745265734964223a202232303437323139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vAlign w:val="center"/>
          </w:tcPr>
          <w:p>
            <w:pPr>
              <w:spacing w:line="240" w:lineRule="auto"/>
              <w:ind w:firstLine="0" w:firstLineChars="0"/>
              <w:rPr>
                <w:sz w:val="21"/>
                <w:szCs w:val="21"/>
              </w:rPr>
            </w:pPr>
            <w:r>
              <w:rPr>
                <w:sz w:val="21"/>
                <w:szCs w:val="21"/>
              </w:rPr>
              <w:t>100天时，预测最大值为10014.43mg/</w:t>
            </w:r>
            <w:r>
              <w:rPr>
                <w:rFonts w:hint="eastAsia"/>
                <w:sz w:val="21"/>
                <w:szCs w:val="21"/>
              </w:rPr>
              <w:t>L</w:t>
            </w:r>
            <w:r>
              <w:rPr>
                <w:sz w:val="21"/>
                <w:szCs w:val="21"/>
              </w:rPr>
              <w:t>，预测超标距离最远为55m；影响距离最远为61m</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vAlign w:val="center"/>
          </w:tcPr>
          <w:p>
            <w:pPr>
              <w:spacing w:line="240" w:lineRule="auto"/>
              <w:ind w:firstLine="0" w:firstLineChars="0"/>
              <w:rPr>
                <w:sz w:val="21"/>
                <w:szCs w:val="21"/>
              </w:rPr>
            </w:pPr>
            <w:r>
              <mc:AlternateContent>
                <mc:Choice Requires="wps">
                  <w:drawing>
                    <wp:anchor distT="0" distB="0" distL="114300" distR="114300" simplePos="0" relativeHeight="251664384" behindDoc="0" locked="0" layoutInCell="1" allowOverlap="1">
                      <wp:simplePos x="0" y="0"/>
                      <wp:positionH relativeFrom="column">
                        <wp:posOffset>-10160</wp:posOffset>
                      </wp:positionH>
                      <wp:positionV relativeFrom="paragraph">
                        <wp:posOffset>464820</wp:posOffset>
                      </wp:positionV>
                      <wp:extent cx="730250" cy="38354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7302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jc w:val="left"/>
                                    <w:rPr>
                                      <w:sz w:val="15"/>
                                      <w:szCs w:val="15"/>
                                    </w:rPr>
                                  </w:pPr>
                                  <w:r>
                                    <w:rPr>
                                      <w:rFonts w:hint="eastAsia"/>
                                      <w:sz w:val="15"/>
                                      <w:szCs w:val="15"/>
                                    </w:rPr>
                                    <w:t>浓度（mg/L）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pt;margin-top:36.6pt;height:30.2pt;width:57.5pt;z-index:251664384;mso-width-relative:page;mso-height-relative:page;" filled="f" stroked="f" coordsize="21600,21600" o:gfxdata="UEsDBAoAAAAAAIdO4kAAAAAAAAAAAAAAAAAEAAAAZHJzL1BLAwQUAAAACACHTuJAblInhNoAAAAJ&#10;AQAADwAAAGRycy9kb3ducmV2LnhtbE2PS0/DMBCE70j8B2uRuLXOA0KVxqlQpAoJwaGll9428TaJ&#10;iNchdh/w63FPcJvVjGa+LVYXM4gTTa63rCCeRyCIG6t7bhXsPtazBQjnkTUOlknBNzlYlbc3Beba&#10;nnlDp61vRShhl6OCzvsxl9I1HRl0czsSB+9gJ4M+nFMr9YTnUG4GmURRJg32HBY6HKnqqPncHo2C&#10;12r9jps6MYufoXp5OzyPX7v9o1L3d3G0BOHp4v/CcMUP6FAGptoeWTsxKJjFWUgqeEoTEFc/Th9A&#10;1EGkaQayLOT/D8pfUEsDBBQAAAAIAIdO4kCFiJOrOwIAAGcEAAAOAAAAZHJzL2Uyb0RvYy54bWyt&#10;VM1u1DAQviPxDpbvNPvTbcuq2WppVYRU0UoFcfY6ThPJ9hjb26Q8ALwBJy7cea59Dj47u20pHHrg&#10;4oxnxjPzfTOT45PeaHarfGjJlny8N+JMWUlVa29K/vHD+asjzkIUthKarCr5nQr8ZPHyxXHn5mpC&#10;DelKeYYgNsw7V/ImRjcviiAbZUTYI6csjDV5IyKu/qaovOgQ3ehiMhodFB35ynmSKgRozwYj30b0&#10;zwlIdd1KdUZybZSNQ1SvtIiAFJrWBb7I1da1kvGyroOKTJccSGM+kQTyKp3F4ljMb7xwTSu3JYjn&#10;lPAEkxGtRdL7UGciCrb27V+hTCs9BarjniRTDEAyI0AxHj3h5roRTmUsoDq4e9LD/wsr399eedZW&#10;mIQZZ1YYdHzz/dvmx6/Nz68MOhDUuTCH37WDZ+zfUA/nnT5AmXD3tTfpC0QMdtB7d0+v6iOTUB5O&#10;R5MZLBKm6dF0tp/pLx4eOx/iW0WGJaHkHt3LpIrbixBRCFx3LimXpfNW69xBbVlX8oMpwv9hwQtt&#10;8TBBGEpNUuxX/RbXiqo7wPI0TEZw8rxF8gsR4pXwGAXUi2WJlzhqTUhCW4mzhvyXf+mTPzoEK2cd&#10;Rqvk4fNaeMWZfmfRu9fjfUBnMV/2Z4cTXPxjy+qxxa7NKWF6x1hLJ7OY/KPeibUn8wk7tUxZYRJW&#10;InfJ4048jcPAYyelWi6zE6bPiXhhr51MoQfSlutIdZuZTjQN3GzZw/zlBmx3JQ3443v2evg/LH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blInhNoAAAAJAQAADwAAAAAAAAABACAAAAAiAAAAZHJz&#10;L2Rvd25yZXYueG1sUEsBAhQAFAAAAAgAh07iQIWIk6s7AgAAZwQAAA4AAAAAAAAAAQAgAAAAKQEA&#10;AGRycy9lMm9Eb2MueG1sUEsFBgAAAAAGAAYAWQEAANYFAAAAAA==&#10;">
                      <v:fill on="f" focussize="0,0"/>
                      <v:stroke on="f" weight="0.5pt"/>
                      <v:imagedata o:title=""/>
                      <o:lock v:ext="edit" aspectratio="f"/>
                      <v:textbox>
                        <w:txbxContent>
                          <w:p>
                            <w:pPr>
                              <w:spacing w:line="240" w:lineRule="auto"/>
                              <w:ind w:firstLine="0" w:firstLineChars="0"/>
                              <w:jc w:val="left"/>
                              <w:rPr>
                                <w:sz w:val="15"/>
                                <w:szCs w:val="15"/>
                              </w:rPr>
                            </w:pPr>
                            <w:r>
                              <w:rPr>
                                <w:rFonts w:hint="eastAsia"/>
                                <w:sz w:val="15"/>
                                <w:szCs w:val="15"/>
                              </w:rPr>
                              <w:t>浓度（mg/L）</w:t>
                            </w:r>
                          </w:p>
                        </w:txbxContent>
                      </v:textbox>
                    </v:shape>
                  </w:pict>
                </mc:Fallback>
              </mc:AlternateContent>
            </w:r>
            <w:r>
              <w:drawing>
                <wp:inline distT="0" distB="0" distL="114300" distR="114300">
                  <wp:extent cx="6197600" cy="2930525"/>
                  <wp:effectExtent l="4445" t="4445" r="8255" b="55880"/>
                  <wp:docPr id="23" name="图表 6" descr="7b0a202020202263686172745265734964223a202232303437323139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vAlign w:val="center"/>
          </w:tcPr>
          <w:p>
            <w:pPr>
              <w:spacing w:line="240" w:lineRule="auto"/>
              <w:ind w:firstLine="0" w:firstLineChars="0"/>
              <w:rPr>
                <w:sz w:val="21"/>
                <w:szCs w:val="21"/>
              </w:rPr>
            </w:pPr>
            <w:r>
              <w:rPr>
                <w:sz w:val="21"/>
                <w:szCs w:val="21"/>
              </w:rPr>
              <w:t>365天时，预测的最大值为5241.794mg/</w:t>
            </w:r>
            <w:r>
              <w:rPr>
                <w:rFonts w:hint="eastAsia"/>
                <w:sz w:val="21"/>
                <w:szCs w:val="21"/>
              </w:rPr>
              <w:t>L</w:t>
            </w:r>
            <w:r>
              <w:rPr>
                <w:sz w:val="21"/>
                <w:szCs w:val="21"/>
              </w:rPr>
              <w:t>，预测超标距离最远为156m；影响距离最远为167m</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vAlign w:val="center"/>
          </w:tcPr>
          <w:p>
            <w:pPr>
              <w:spacing w:line="240" w:lineRule="auto"/>
              <w:ind w:firstLine="0" w:firstLineChars="0"/>
              <w:rPr>
                <w:sz w:val="21"/>
                <w:szCs w:val="21"/>
              </w:rPr>
            </w:pPr>
            <w:r>
              <mc:AlternateContent>
                <mc:Choice Requires="wps">
                  <w:drawing>
                    <wp:anchor distT="0" distB="0" distL="114300" distR="114300" simplePos="0" relativeHeight="251665408" behindDoc="0" locked="0" layoutInCell="1" allowOverlap="1">
                      <wp:simplePos x="0" y="0"/>
                      <wp:positionH relativeFrom="column">
                        <wp:posOffset>-40005</wp:posOffset>
                      </wp:positionH>
                      <wp:positionV relativeFrom="paragraph">
                        <wp:posOffset>358140</wp:posOffset>
                      </wp:positionV>
                      <wp:extent cx="730250" cy="38354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730250" cy="383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firstLine="0" w:firstLineChars="0"/>
                                    <w:jc w:val="left"/>
                                    <w:rPr>
                                      <w:sz w:val="15"/>
                                      <w:szCs w:val="15"/>
                                    </w:rPr>
                                  </w:pPr>
                                  <w:r>
                                    <w:rPr>
                                      <w:rFonts w:hint="eastAsia"/>
                                      <w:sz w:val="15"/>
                                      <w:szCs w:val="15"/>
                                    </w:rPr>
                                    <w:t>浓度（mg/L）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pt;margin-top:28.2pt;height:30.2pt;width:57.5pt;z-index:251665408;mso-width-relative:page;mso-height-relative:page;" filled="f" stroked="f" coordsize="21600,21600" o:gfxdata="UEsDBAoAAAAAAIdO4kAAAAAAAAAAAAAAAAAEAAAAZHJzL1BLAwQUAAAACACHTuJAR/HG8doAAAAJ&#10;AQAADwAAAGRycy9kb3ducmV2LnhtbE2PzU7DMBCE70i8g7VI3Fo7hYYoxKlQpAoJwaGlF26beJtE&#10;xOsQuz/w9LgnuM1qRjPfFquzHcSRJt871pDMFQjixpmeWw279/UsA+EDssHBMWn4Jg+r8vqqwNy4&#10;E2/ouA2tiCXsc9TQhTDmUvqmI4t+7kbi6O3dZDHEc2qlmfAUy+0gF0ql0mLPcaHDkaqOms/twWp4&#10;qdZvuKkXNvsZqufX/dP4tftYan17k6hHEIHO4S8MF/yIDmVkqt2BjReDhll6F5Maluk9iIuvsgcQ&#10;dRRJmoEsC/n/g/IXUEsDBBQAAAAIAIdO4kBwcGShOgIAAGcEAAAOAAAAZHJzL2Uyb0RvYy54bWyt&#10;VM1u1DAQviPxDpbvNPvTP1abrZZWRUgVrVQQZ6/jbCLZHmN7m5QHgDfgxIU7z9Xn4LOz25bCoQcu&#10;znhmPDPfNzOZn/RGsxvlQ0u25OO9EWfKSqpauy75xw/nr445C1HYSmiyquS3KvCTxcsX887N1IQa&#10;0pXyDEFsmHWu5E2MblYUQTbKiLBHTlkYa/JGRFz9uqi86BDd6GIyGh0WHfnKeZIqBGjPBiPfRvTP&#10;CUh13Up1RnJjlI1DVK+0iIAUmtYFvsjV1rWS8bKug4pMlxxIYz6RBPIqncViLmZrL1zTym0J4jkl&#10;PMFkRGuR9D7UmYiCbXz7VyjTSk+B6rgnyRQDkMwIUIxHT7i5boRTGQuoDu6e9PD/wsr3N1eetRUm&#10;4YgzKww6fvf9292PX3c/vzLoQFDnwgx+1w6esX9DPZx3+gBlwt3X3qQvEDHYQe/tPb2qj0xCeTQd&#10;TQ5gkTBNj6cH+5n+4uGx8yG+VWRYEkru0b1Mqri5CBGFwHXnknJZOm+1zh3UlnUlP5wi/B8WvNAW&#10;DxOEodQkxX7Vb3GtqLoFLE/DZAQnz1skvxAhXgmPUUC9WJZ4iaPWhCS0lThryH/5lz75o0OwctZh&#10;tEoePm+EV5zpdxa9ez3eB3QW82X/4GiCi39sWT222I05JUzvGGvpZBaTf9Q7sfZkPmGnlikrTMJK&#10;5C553ImncRh47KRUy2V2wvQ5ES/stZMp9EDachOpbjPTiaaBmy17mL/cgO2upAF/fM9eD/+Hx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H8cbx2gAAAAkBAAAPAAAAAAAAAAEAIAAAACIAAABkcnMv&#10;ZG93bnJldi54bWxQSwECFAAUAAAACACHTuJAcHBkoToCAABnBAAADgAAAAAAAAABACAAAAApAQAA&#10;ZHJzL2Uyb0RvYy54bWxQSwUGAAAAAAYABgBZAQAA1QUAAAAA&#10;">
                      <v:fill on="f" focussize="0,0"/>
                      <v:stroke on="f" weight="0.5pt"/>
                      <v:imagedata o:title=""/>
                      <o:lock v:ext="edit" aspectratio="f"/>
                      <v:textbox>
                        <w:txbxContent>
                          <w:p>
                            <w:pPr>
                              <w:spacing w:line="240" w:lineRule="auto"/>
                              <w:ind w:firstLine="0" w:firstLineChars="0"/>
                              <w:jc w:val="left"/>
                              <w:rPr>
                                <w:sz w:val="15"/>
                                <w:szCs w:val="15"/>
                              </w:rPr>
                            </w:pPr>
                            <w:r>
                              <w:rPr>
                                <w:rFonts w:hint="eastAsia"/>
                                <w:sz w:val="15"/>
                                <w:szCs w:val="15"/>
                              </w:rPr>
                              <w:t>浓度（mg/L）</w:t>
                            </w:r>
                          </w:p>
                        </w:txbxContent>
                      </v:textbox>
                    </v:shape>
                  </w:pict>
                </mc:Fallback>
              </mc:AlternateContent>
            </w:r>
            <w:r>
              <w:drawing>
                <wp:inline distT="0" distB="0" distL="114300" distR="114300">
                  <wp:extent cx="6191885" cy="2890520"/>
                  <wp:effectExtent l="4445" t="4445" r="13970" b="57785"/>
                  <wp:docPr id="24" name="图表 7" descr="7b0a202020202263686172745265734964223a20223230343732313939220a7d0a"/>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l2br w:val="nil"/>
              <w:tr2bl w:val="nil"/>
            </w:tcBorders>
            <w:vAlign w:val="center"/>
          </w:tcPr>
          <w:p>
            <w:pPr>
              <w:spacing w:line="240" w:lineRule="auto"/>
              <w:ind w:firstLine="0" w:firstLineChars="0"/>
              <w:rPr>
                <w:sz w:val="21"/>
                <w:szCs w:val="21"/>
              </w:rPr>
            </w:pPr>
            <w:r>
              <w:rPr>
                <w:sz w:val="21"/>
                <w:szCs w:val="21"/>
              </w:rPr>
              <w:t>1000天时，预测最大值为3166.842mg/</w:t>
            </w:r>
            <w:r>
              <w:rPr>
                <w:rFonts w:hint="eastAsia"/>
                <w:sz w:val="21"/>
                <w:szCs w:val="21"/>
              </w:rPr>
              <w:t>L</w:t>
            </w:r>
            <w:r>
              <w:rPr>
                <w:sz w:val="21"/>
                <w:szCs w:val="21"/>
              </w:rPr>
              <w:t>，预测超标距离最远为374m；影响距离最远为394m</w:t>
            </w:r>
            <w:r>
              <w:rPr>
                <w:rFonts w:hint="eastAsia"/>
                <w:sz w:val="21"/>
                <w:szCs w:val="21"/>
              </w:rPr>
              <w:t>。</w:t>
            </w:r>
          </w:p>
        </w:tc>
      </w:tr>
    </w:tbl>
    <w:p>
      <w:pPr>
        <w:pStyle w:val="7"/>
        <w:ind w:firstLine="482"/>
      </w:pPr>
      <w:r>
        <w:rPr>
          <w:rFonts w:hint="eastAsia"/>
          <w:lang w:val="en-US" w:eastAsia="zh-CN"/>
        </w:rPr>
        <w:t>5</w:t>
      </w:r>
      <w:r>
        <w:rPr>
          <w:rFonts w:hint="eastAsia"/>
        </w:rPr>
        <w:t>.2.2.3、</w:t>
      </w:r>
      <w:r>
        <w:t>地下水环境影响评价</w:t>
      </w:r>
    </w:p>
    <w:p>
      <w:pPr>
        <w:ind w:firstLine="482"/>
        <w:rPr>
          <w:b/>
          <w:bCs/>
        </w:rPr>
      </w:pPr>
      <w:r>
        <w:rPr>
          <w:rFonts w:hint="eastAsia"/>
          <w:b/>
          <w:bCs/>
        </w:rPr>
        <w:t>1、</w:t>
      </w:r>
      <w:r>
        <w:rPr>
          <w:b/>
          <w:bCs/>
        </w:rPr>
        <w:t>对潜水含水层的影响评价</w:t>
      </w:r>
    </w:p>
    <w:p>
      <w:pPr>
        <w:ind w:firstLine="480"/>
      </w:pPr>
      <w:r>
        <w:t>通过预测分析，发生事故工况时，</w:t>
      </w:r>
      <w:bookmarkStart w:id="712" w:name="OLE_LINK16"/>
      <w:r>
        <w:t>污水处理站池体在泄露情况下，若不及时采取截污措施，随着时间的推移，污水处理站污水会向下渗漏和向下游运移，下游将出现污染物的积累从而对地下水造成污染。</w:t>
      </w:r>
      <w:bookmarkEnd w:id="712"/>
      <w:r>
        <w:t>根据预测</w:t>
      </w:r>
      <w:r>
        <w:rPr>
          <w:rFonts w:hint="eastAsia"/>
          <w:lang w:val="en-US" w:eastAsia="zh-CN"/>
        </w:rPr>
        <w:t>结果可知</w:t>
      </w:r>
      <w:r>
        <w:rPr>
          <w:rFonts w:hint="eastAsia"/>
        </w:rPr>
        <w:t>，事故状态下，</w:t>
      </w:r>
      <w:r>
        <w:rPr>
          <w:rFonts w:hint="eastAsia"/>
          <w:lang w:val="en-US" w:eastAsia="zh-CN"/>
        </w:rPr>
        <w:t>CODcr在泄漏1000d时的</w:t>
      </w:r>
      <w:r>
        <w:rPr>
          <w:rFonts w:hint="eastAsia"/>
        </w:rPr>
        <w:t>最远影响距离为394m</w:t>
      </w:r>
      <w:r>
        <w:t>。因此污水处理站等污水产生区必须采取全面、严格的防渗措施，防渗系数应满足分区防渗要求，并做好粘土防渗保护层，避免污水下渗污染地下水。同时要求对污水池等定期检查监测，避免污水泄漏事故发生。在实施了严格的防渗措施、监测计划、检查处置及应急措施后，可有效降低污水影响范围，将其影响程度降至环境可接受程度。</w:t>
      </w:r>
    </w:p>
    <w:p>
      <w:pPr>
        <w:ind w:firstLine="482"/>
        <w:rPr>
          <w:b/>
          <w:bCs/>
        </w:rPr>
      </w:pPr>
      <w:r>
        <w:rPr>
          <w:rFonts w:hint="eastAsia"/>
          <w:b/>
          <w:bCs/>
        </w:rPr>
        <w:t>2、</w:t>
      </w:r>
      <w:r>
        <w:rPr>
          <w:b/>
          <w:bCs/>
        </w:rPr>
        <w:t>对水源地的影响评价</w:t>
      </w:r>
    </w:p>
    <w:p>
      <w:pPr>
        <w:ind w:firstLine="480"/>
      </w:pPr>
      <w:r>
        <w:t>项目位于张掖市经济技术开发区农产品加工产业园，拟建项目周边主要水源地为</w:t>
      </w:r>
      <w:r>
        <w:rPr>
          <w:color w:val="auto"/>
        </w:rPr>
        <w:t>滨河集中式水源保护区</w:t>
      </w:r>
      <w:r>
        <w:rPr>
          <w:rFonts w:hint="eastAsia"/>
          <w:color w:val="auto"/>
        </w:rPr>
        <w:t>和</w:t>
      </w:r>
      <w:r>
        <w:rPr>
          <w:color w:val="auto"/>
        </w:rPr>
        <w:t>沙井镇一水厂供水井。</w:t>
      </w:r>
      <w:r>
        <w:t>根据</w:t>
      </w:r>
      <w:r>
        <w:rPr>
          <w:rFonts w:hint="eastAsia"/>
        </w:rPr>
        <w:t>相关资料</w:t>
      </w:r>
      <w:r>
        <w:t>，</w:t>
      </w:r>
      <w:r>
        <w:rPr>
          <w:rFonts w:hint="eastAsia"/>
        </w:rPr>
        <w:t>项目区域地下水自东南流向西北，地下水埋深较大，降水稀少，蒸发强烈，使得大气降水几乎无法补给地下水，同时受含水层结构、地形地貌及地下水补给条件等限制，项目周边各饮用水水源地保护区主要接受来自南东方向的侧向径流补给。</w:t>
      </w:r>
    </w:p>
    <w:p>
      <w:pPr>
        <w:ind w:firstLine="482"/>
        <w:rPr>
          <w:b/>
          <w:bCs/>
        </w:rPr>
      </w:pPr>
      <w:r>
        <w:rPr>
          <w:b/>
          <w:bCs/>
        </w:rPr>
        <w:t>①滨河集中饮用水水源地保护区</w:t>
      </w:r>
    </w:p>
    <w:p>
      <w:pPr>
        <w:ind w:firstLine="480"/>
      </w:pPr>
      <w:r>
        <w:t>滨河集中式饮用水水源保护区：一级保护区呈不规则十边形，周长6.39km，面积2.88km</w:t>
      </w:r>
      <w:r>
        <w:rPr>
          <w:vertAlign w:val="superscript"/>
        </w:rPr>
        <w:t>2</w:t>
      </w:r>
      <w:r>
        <w:t>，北边界距离山临高速550m，南边界距离张肃公路650m，西边界距离沿河一社250m，东边界距离黑河河床350m；二级保护区呈不规格九边型，周长20.86km，面积15.05km</w:t>
      </w:r>
      <w:r>
        <w:rPr>
          <w:vertAlign w:val="superscript"/>
        </w:rPr>
        <w:t>2</w:t>
      </w:r>
      <w:r>
        <w:t>，北达山临高速，南至上头闸四社，东西以黑河西干渠和黑河东岸防洪坝未接；准保护区为水源地上游延伸至莺落峡口段的黑河河床；滨河集中式水源保护区基本信息如下：</w:t>
      </w:r>
    </w:p>
    <w:p>
      <w:pPr>
        <w:spacing w:line="240" w:lineRule="auto"/>
        <w:ind w:firstLine="482"/>
        <w:jc w:val="center"/>
        <w:rPr>
          <w:b/>
          <w:bCs/>
        </w:rPr>
      </w:pPr>
      <w:r>
        <w:rPr>
          <w:b/>
          <w:bCs/>
        </w:rPr>
        <w:t>表</w:t>
      </w:r>
      <w:r>
        <w:rPr>
          <w:rFonts w:hint="eastAsia"/>
          <w:b/>
          <w:bCs/>
          <w:lang w:val="en-US" w:eastAsia="zh-CN"/>
        </w:rPr>
        <w:t>5</w:t>
      </w:r>
      <w:r>
        <w:rPr>
          <w:rFonts w:hint="eastAsia"/>
          <w:b/>
          <w:bCs/>
        </w:rPr>
        <w:t>.6</w:t>
      </w:r>
      <w:r>
        <w:rPr>
          <w:b/>
          <w:bCs/>
        </w:rPr>
        <w:t xml:space="preserve">  </w:t>
      </w:r>
      <w:r>
        <w:rPr>
          <w:rFonts w:hint="eastAsia"/>
          <w:b/>
          <w:bCs/>
        </w:rPr>
        <w:t xml:space="preserve"> </w:t>
      </w:r>
      <w:r>
        <w:rPr>
          <w:b/>
          <w:bCs/>
        </w:rPr>
        <w:t xml:space="preserve"> 滨河集中饮用水源地保护区信息</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596"/>
        <w:gridCol w:w="2350"/>
        <w:gridCol w:w="722"/>
        <w:gridCol w:w="2364"/>
        <w:gridCol w:w="1402"/>
        <w:gridCol w:w="1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tcBorders>
              <w:tl2br w:val="nil"/>
              <w:tr2bl w:val="nil"/>
            </w:tcBorders>
            <w:vAlign w:val="center"/>
          </w:tcPr>
          <w:p>
            <w:pPr>
              <w:spacing w:line="240" w:lineRule="auto"/>
              <w:ind w:firstLine="0" w:firstLineChars="0"/>
              <w:jc w:val="center"/>
              <w:rPr>
                <w:b/>
                <w:bCs/>
                <w:sz w:val="21"/>
                <w:szCs w:val="21"/>
              </w:rPr>
            </w:pPr>
            <w:r>
              <w:rPr>
                <w:b/>
                <w:bCs/>
                <w:sz w:val="21"/>
                <w:szCs w:val="21"/>
              </w:rPr>
              <w:t>保护区</w:t>
            </w:r>
          </w:p>
        </w:tc>
        <w:tc>
          <w:tcPr>
            <w:tcW w:w="3028" w:type="pct"/>
            <w:gridSpan w:val="4"/>
            <w:tcBorders>
              <w:tl2br w:val="nil"/>
              <w:tr2bl w:val="nil"/>
            </w:tcBorders>
            <w:vAlign w:val="center"/>
          </w:tcPr>
          <w:p>
            <w:pPr>
              <w:spacing w:line="240" w:lineRule="auto"/>
              <w:ind w:firstLine="422"/>
              <w:jc w:val="center"/>
              <w:rPr>
                <w:b/>
                <w:bCs/>
                <w:sz w:val="21"/>
                <w:szCs w:val="21"/>
              </w:rPr>
            </w:pPr>
            <w:r>
              <w:rPr>
                <w:b/>
                <w:bCs/>
                <w:sz w:val="21"/>
                <w:szCs w:val="21"/>
              </w:rPr>
              <w:t>拐点坐标（西安80坐标系）</w:t>
            </w:r>
          </w:p>
        </w:tc>
        <w:tc>
          <w:tcPr>
            <w:tcW w:w="704" w:type="pct"/>
            <w:tcBorders>
              <w:tl2br w:val="nil"/>
              <w:tr2bl w:val="nil"/>
            </w:tcBorders>
            <w:vAlign w:val="center"/>
          </w:tcPr>
          <w:p>
            <w:pPr>
              <w:spacing w:line="240" w:lineRule="auto"/>
              <w:ind w:firstLine="0" w:firstLineChars="0"/>
              <w:jc w:val="center"/>
              <w:rPr>
                <w:b/>
                <w:bCs/>
                <w:sz w:val="21"/>
                <w:szCs w:val="21"/>
              </w:rPr>
            </w:pPr>
            <w:r>
              <w:rPr>
                <w:b/>
                <w:bCs/>
                <w:sz w:val="21"/>
                <w:szCs w:val="21"/>
              </w:rPr>
              <w:t>周长（km）</w:t>
            </w:r>
          </w:p>
        </w:tc>
        <w:tc>
          <w:tcPr>
            <w:tcW w:w="733" w:type="pct"/>
            <w:tcBorders>
              <w:tl2br w:val="nil"/>
              <w:tr2bl w:val="nil"/>
            </w:tcBorders>
            <w:vAlign w:val="center"/>
          </w:tcPr>
          <w:p>
            <w:pPr>
              <w:spacing w:line="240" w:lineRule="auto"/>
              <w:ind w:firstLine="0" w:firstLineChars="0"/>
              <w:jc w:val="center"/>
              <w:rPr>
                <w:b/>
                <w:bCs/>
                <w:sz w:val="21"/>
                <w:szCs w:val="21"/>
              </w:rPr>
            </w:pPr>
            <w:r>
              <w:rPr>
                <w:b/>
                <w:bCs/>
                <w:sz w:val="21"/>
                <w:szCs w:val="21"/>
              </w:rPr>
              <w:t>面积（km</w:t>
            </w:r>
            <w:r>
              <w:rPr>
                <w:b/>
                <w:bCs/>
                <w:sz w:val="21"/>
                <w:szCs w:val="21"/>
                <w:vertAlign w:val="superscript"/>
              </w:rPr>
              <w:t>2</w:t>
            </w:r>
            <w:r>
              <w:rPr>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vMerge w:val="restart"/>
            <w:tcBorders>
              <w:tl2br w:val="nil"/>
              <w:tr2bl w:val="nil"/>
            </w:tcBorders>
            <w:vAlign w:val="center"/>
          </w:tcPr>
          <w:p>
            <w:pPr>
              <w:spacing w:line="240" w:lineRule="auto"/>
              <w:ind w:firstLine="0" w:firstLineChars="0"/>
              <w:jc w:val="center"/>
              <w:rPr>
                <w:sz w:val="21"/>
                <w:szCs w:val="21"/>
              </w:rPr>
            </w:pPr>
            <w:r>
              <w:rPr>
                <w:sz w:val="21"/>
                <w:szCs w:val="21"/>
              </w:rPr>
              <w:t>一级保护区</w:t>
            </w: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A1</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4311599；33615120</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A2</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4312674；33615519</w:t>
            </w:r>
          </w:p>
        </w:tc>
        <w:tc>
          <w:tcPr>
            <w:tcW w:w="704" w:type="pct"/>
            <w:vMerge w:val="restart"/>
            <w:tcBorders>
              <w:tl2br w:val="nil"/>
              <w:tr2bl w:val="nil"/>
            </w:tcBorders>
            <w:vAlign w:val="center"/>
          </w:tcPr>
          <w:p>
            <w:pPr>
              <w:spacing w:line="240" w:lineRule="auto"/>
              <w:ind w:firstLine="0" w:firstLineChars="0"/>
              <w:jc w:val="center"/>
              <w:rPr>
                <w:sz w:val="21"/>
                <w:szCs w:val="21"/>
              </w:rPr>
            </w:pPr>
            <w:r>
              <w:rPr>
                <w:sz w:val="21"/>
                <w:szCs w:val="21"/>
              </w:rPr>
              <w:t>6.39</w:t>
            </w:r>
          </w:p>
        </w:tc>
        <w:tc>
          <w:tcPr>
            <w:tcW w:w="733" w:type="pct"/>
            <w:vMerge w:val="restart"/>
            <w:tcBorders>
              <w:tl2br w:val="nil"/>
              <w:tr2bl w:val="nil"/>
            </w:tcBorders>
            <w:vAlign w:val="center"/>
          </w:tcPr>
          <w:p>
            <w:pPr>
              <w:spacing w:line="240" w:lineRule="auto"/>
              <w:ind w:firstLine="0" w:firstLineChars="0"/>
              <w:jc w:val="center"/>
              <w:rPr>
                <w:sz w:val="21"/>
                <w:szCs w:val="21"/>
              </w:rPr>
            </w:pPr>
            <w:r>
              <w:rPr>
                <w:sz w:val="21"/>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vMerge w:val="continue"/>
            <w:tcBorders>
              <w:tl2br w:val="nil"/>
              <w:tr2bl w:val="nil"/>
            </w:tcBorders>
            <w:vAlign w:val="center"/>
          </w:tcPr>
          <w:p>
            <w:pPr>
              <w:spacing w:line="240" w:lineRule="auto"/>
              <w:jc w:val="center"/>
              <w:rPr>
                <w:sz w:val="21"/>
                <w:szCs w:val="21"/>
              </w:rPr>
            </w:pP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A3</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4312797；33616097</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A4</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4312780；33616608</w:t>
            </w:r>
          </w:p>
        </w:tc>
        <w:tc>
          <w:tcPr>
            <w:tcW w:w="704" w:type="pct"/>
            <w:vMerge w:val="continue"/>
            <w:tcBorders>
              <w:tl2br w:val="nil"/>
              <w:tr2bl w:val="nil"/>
            </w:tcBorders>
            <w:vAlign w:val="center"/>
          </w:tcPr>
          <w:p>
            <w:pPr>
              <w:spacing w:line="240" w:lineRule="auto"/>
              <w:jc w:val="center"/>
              <w:rPr>
                <w:sz w:val="21"/>
                <w:szCs w:val="21"/>
              </w:rPr>
            </w:pPr>
          </w:p>
        </w:tc>
        <w:tc>
          <w:tcPr>
            <w:tcW w:w="733" w:type="pct"/>
            <w:vMerge w:val="continue"/>
            <w:tcBorders>
              <w:tl2br w:val="nil"/>
              <w:tr2bl w:val="nil"/>
            </w:tcBorders>
            <w:vAlign w:val="center"/>
          </w:tcPr>
          <w:p>
            <w:pPr>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vMerge w:val="continue"/>
            <w:tcBorders>
              <w:tl2br w:val="nil"/>
              <w:tr2bl w:val="nil"/>
            </w:tcBorders>
            <w:vAlign w:val="center"/>
          </w:tcPr>
          <w:p>
            <w:pPr>
              <w:spacing w:line="240" w:lineRule="auto"/>
              <w:jc w:val="center"/>
              <w:rPr>
                <w:sz w:val="21"/>
                <w:szCs w:val="21"/>
              </w:rPr>
            </w:pP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A5</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4312479；33617148</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A6</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4311956；33617536</w:t>
            </w:r>
          </w:p>
        </w:tc>
        <w:tc>
          <w:tcPr>
            <w:tcW w:w="704" w:type="pct"/>
            <w:vMerge w:val="continue"/>
            <w:tcBorders>
              <w:tl2br w:val="nil"/>
              <w:tr2bl w:val="nil"/>
            </w:tcBorders>
            <w:vAlign w:val="center"/>
          </w:tcPr>
          <w:p>
            <w:pPr>
              <w:spacing w:line="240" w:lineRule="auto"/>
              <w:jc w:val="center"/>
              <w:rPr>
                <w:sz w:val="21"/>
                <w:szCs w:val="21"/>
              </w:rPr>
            </w:pPr>
          </w:p>
        </w:tc>
        <w:tc>
          <w:tcPr>
            <w:tcW w:w="733" w:type="pct"/>
            <w:vMerge w:val="continue"/>
            <w:tcBorders>
              <w:tl2br w:val="nil"/>
              <w:tr2bl w:val="nil"/>
            </w:tcBorders>
            <w:vAlign w:val="center"/>
          </w:tcPr>
          <w:p>
            <w:pPr>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vMerge w:val="continue"/>
            <w:tcBorders>
              <w:tl2br w:val="nil"/>
              <w:tr2bl w:val="nil"/>
            </w:tcBorders>
            <w:vAlign w:val="center"/>
          </w:tcPr>
          <w:p>
            <w:pPr>
              <w:spacing w:line="240" w:lineRule="auto"/>
              <w:jc w:val="center"/>
              <w:rPr>
                <w:sz w:val="21"/>
                <w:szCs w:val="21"/>
              </w:rPr>
            </w:pP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A7</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4311502；33617122</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A8</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4311253；33616737</w:t>
            </w:r>
          </w:p>
        </w:tc>
        <w:tc>
          <w:tcPr>
            <w:tcW w:w="704" w:type="pct"/>
            <w:vMerge w:val="continue"/>
            <w:tcBorders>
              <w:tl2br w:val="nil"/>
              <w:tr2bl w:val="nil"/>
            </w:tcBorders>
            <w:vAlign w:val="center"/>
          </w:tcPr>
          <w:p>
            <w:pPr>
              <w:spacing w:line="240" w:lineRule="auto"/>
              <w:jc w:val="center"/>
              <w:rPr>
                <w:sz w:val="21"/>
                <w:szCs w:val="21"/>
              </w:rPr>
            </w:pPr>
          </w:p>
        </w:tc>
        <w:tc>
          <w:tcPr>
            <w:tcW w:w="733" w:type="pct"/>
            <w:vMerge w:val="continue"/>
            <w:tcBorders>
              <w:tl2br w:val="nil"/>
              <w:tr2bl w:val="nil"/>
            </w:tcBorders>
            <w:vAlign w:val="center"/>
          </w:tcPr>
          <w:p>
            <w:pPr>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34" w:type="pct"/>
            <w:vMerge w:val="continue"/>
            <w:tcBorders>
              <w:tl2br w:val="nil"/>
              <w:tr2bl w:val="nil"/>
            </w:tcBorders>
            <w:vAlign w:val="center"/>
          </w:tcPr>
          <w:p>
            <w:pPr>
              <w:spacing w:line="240" w:lineRule="auto"/>
              <w:jc w:val="center"/>
              <w:rPr>
                <w:sz w:val="21"/>
                <w:szCs w:val="21"/>
              </w:rPr>
            </w:pP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A9</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4311056；33616119</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A10</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4311214；33615701</w:t>
            </w:r>
          </w:p>
        </w:tc>
        <w:tc>
          <w:tcPr>
            <w:tcW w:w="704" w:type="pct"/>
            <w:vMerge w:val="continue"/>
            <w:tcBorders>
              <w:tl2br w:val="nil"/>
              <w:tr2bl w:val="nil"/>
            </w:tcBorders>
            <w:vAlign w:val="center"/>
          </w:tcPr>
          <w:p>
            <w:pPr>
              <w:spacing w:line="240" w:lineRule="auto"/>
              <w:jc w:val="center"/>
              <w:rPr>
                <w:sz w:val="21"/>
                <w:szCs w:val="21"/>
              </w:rPr>
            </w:pPr>
          </w:p>
        </w:tc>
        <w:tc>
          <w:tcPr>
            <w:tcW w:w="733" w:type="pct"/>
            <w:vMerge w:val="continue"/>
            <w:tcBorders>
              <w:tl2br w:val="nil"/>
              <w:tr2bl w:val="nil"/>
            </w:tcBorders>
            <w:vAlign w:val="center"/>
          </w:tcPr>
          <w:p>
            <w:pPr>
              <w:spacing w:line="240" w:lineRule="auto"/>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vMerge w:val="restart"/>
            <w:tcBorders>
              <w:tl2br w:val="nil"/>
              <w:tr2bl w:val="nil"/>
            </w:tcBorders>
            <w:vAlign w:val="center"/>
          </w:tcPr>
          <w:p>
            <w:pPr>
              <w:spacing w:line="240" w:lineRule="auto"/>
              <w:ind w:firstLine="0" w:firstLineChars="0"/>
              <w:jc w:val="center"/>
              <w:rPr>
                <w:sz w:val="21"/>
                <w:szCs w:val="21"/>
              </w:rPr>
            </w:pPr>
            <w:r>
              <w:rPr>
                <w:sz w:val="21"/>
                <w:szCs w:val="21"/>
              </w:rPr>
              <w:t>二级保护区</w:t>
            </w: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B1</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4313757；33615877</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B2</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4311893；33618704</w:t>
            </w:r>
          </w:p>
        </w:tc>
        <w:tc>
          <w:tcPr>
            <w:tcW w:w="704" w:type="pct"/>
            <w:vMerge w:val="restart"/>
            <w:tcBorders>
              <w:tl2br w:val="nil"/>
              <w:tr2bl w:val="nil"/>
            </w:tcBorders>
            <w:vAlign w:val="center"/>
          </w:tcPr>
          <w:p>
            <w:pPr>
              <w:spacing w:line="240" w:lineRule="auto"/>
              <w:ind w:firstLine="0" w:firstLineChars="0"/>
              <w:jc w:val="center"/>
              <w:rPr>
                <w:sz w:val="21"/>
                <w:szCs w:val="21"/>
              </w:rPr>
            </w:pPr>
            <w:r>
              <w:rPr>
                <w:sz w:val="21"/>
                <w:szCs w:val="21"/>
              </w:rPr>
              <w:t>12.31</w:t>
            </w:r>
          </w:p>
        </w:tc>
        <w:tc>
          <w:tcPr>
            <w:tcW w:w="733" w:type="pct"/>
            <w:vMerge w:val="restart"/>
            <w:tcBorders>
              <w:tl2br w:val="nil"/>
              <w:tr2bl w:val="nil"/>
            </w:tcBorders>
            <w:vAlign w:val="center"/>
          </w:tcPr>
          <w:p>
            <w:pPr>
              <w:spacing w:line="240" w:lineRule="auto"/>
              <w:ind w:firstLine="0" w:firstLineChars="0"/>
              <w:jc w:val="center"/>
              <w:rPr>
                <w:sz w:val="21"/>
                <w:szCs w:val="21"/>
              </w:rPr>
            </w:pPr>
            <w:r>
              <w:rPr>
                <w:sz w:val="21"/>
                <w:szCs w:val="21"/>
              </w:rPr>
              <w:t>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4" w:type="pct"/>
            <w:vMerge w:val="continue"/>
            <w:tcBorders>
              <w:tl2br w:val="nil"/>
              <w:tr2bl w:val="nil"/>
            </w:tcBorders>
            <w:vAlign w:val="center"/>
          </w:tcPr>
          <w:p>
            <w:pPr>
              <w:spacing w:line="240" w:lineRule="auto"/>
              <w:rPr>
                <w:sz w:val="21"/>
                <w:szCs w:val="21"/>
              </w:rPr>
            </w:pPr>
          </w:p>
        </w:tc>
        <w:tc>
          <w:tcPr>
            <w:tcW w:w="299" w:type="pct"/>
            <w:tcBorders>
              <w:tl2br w:val="nil"/>
              <w:tr2bl w:val="nil"/>
            </w:tcBorders>
            <w:vAlign w:val="center"/>
          </w:tcPr>
          <w:p>
            <w:pPr>
              <w:spacing w:line="240" w:lineRule="auto"/>
              <w:ind w:firstLine="0" w:firstLineChars="0"/>
              <w:jc w:val="center"/>
              <w:rPr>
                <w:sz w:val="21"/>
                <w:szCs w:val="21"/>
              </w:rPr>
            </w:pPr>
            <w:r>
              <w:rPr>
                <w:sz w:val="21"/>
                <w:szCs w:val="21"/>
              </w:rPr>
              <w:t>B3</w:t>
            </w:r>
          </w:p>
        </w:tc>
        <w:tc>
          <w:tcPr>
            <w:tcW w:w="1179" w:type="pct"/>
            <w:tcBorders>
              <w:tl2br w:val="nil"/>
              <w:tr2bl w:val="nil"/>
            </w:tcBorders>
            <w:vAlign w:val="center"/>
          </w:tcPr>
          <w:p>
            <w:pPr>
              <w:spacing w:line="240" w:lineRule="auto"/>
              <w:ind w:firstLine="0" w:firstLineChars="0"/>
              <w:jc w:val="center"/>
              <w:rPr>
                <w:sz w:val="21"/>
                <w:szCs w:val="21"/>
              </w:rPr>
            </w:pPr>
            <w:r>
              <w:rPr>
                <w:sz w:val="21"/>
                <w:szCs w:val="21"/>
              </w:rPr>
              <w:t>4309579；33616792</w:t>
            </w:r>
          </w:p>
        </w:tc>
        <w:tc>
          <w:tcPr>
            <w:tcW w:w="363" w:type="pct"/>
            <w:tcBorders>
              <w:tl2br w:val="nil"/>
              <w:tr2bl w:val="nil"/>
            </w:tcBorders>
            <w:vAlign w:val="center"/>
          </w:tcPr>
          <w:p>
            <w:pPr>
              <w:spacing w:line="240" w:lineRule="auto"/>
              <w:ind w:firstLine="0" w:firstLineChars="0"/>
              <w:jc w:val="center"/>
              <w:rPr>
                <w:sz w:val="21"/>
                <w:szCs w:val="21"/>
              </w:rPr>
            </w:pPr>
            <w:r>
              <w:rPr>
                <w:sz w:val="21"/>
                <w:szCs w:val="21"/>
              </w:rPr>
              <w:t>B4</w:t>
            </w:r>
          </w:p>
        </w:tc>
        <w:tc>
          <w:tcPr>
            <w:tcW w:w="1185" w:type="pct"/>
            <w:tcBorders>
              <w:tl2br w:val="nil"/>
              <w:tr2bl w:val="nil"/>
            </w:tcBorders>
            <w:vAlign w:val="center"/>
          </w:tcPr>
          <w:p>
            <w:pPr>
              <w:spacing w:line="240" w:lineRule="auto"/>
              <w:ind w:firstLine="0" w:firstLineChars="0"/>
              <w:jc w:val="center"/>
              <w:rPr>
                <w:sz w:val="21"/>
                <w:szCs w:val="21"/>
              </w:rPr>
            </w:pPr>
            <w:r>
              <w:rPr>
                <w:sz w:val="21"/>
                <w:szCs w:val="21"/>
              </w:rPr>
              <w:t>4311301；33614317</w:t>
            </w:r>
          </w:p>
        </w:tc>
        <w:tc>
          <w:tcPr>
            <w:tcW w:w="704" w:type="pct"/>
            <w:vMerge w:val="continue"/>
            <w:tcBorders>
              <w:tl2br w:val="nil"/>
              <w:tr2bl w:val="nil"/>
            </w:tcBorders>
            <w:vAlign w:val="center"/>
          </w:tcPr>
          <w:p>
            <w:pPr>
              <w:spacing w:line="240" w:lineRule="auto"/>
              <w:rPr>
                <w:sz w:val="21"/>
                <w:szCs w:val="21"/>
              </w:rPr>
            </w:pPr>
          </w:p>
        </w:tc>
        <w:tc>
          <w:tcPr>
            <w:tcW w:w="733" w:type="pct"/>
            <w:vMerge w:val="continue"/>
            <w:tcBorders>
              <w:tl2br w:val="nil"/>
              <w:tr2bl w:val="nil"/>
            </w:tcBorders>
            <w:vAlign w:val="center"/>
          </w:tcPr>
          <w:p>
            <w:pPr>
              <w:spacing w:line="240" w:lineRule="auto"/>
              <w:rPr>
                <w:sz w:val="21"/>
                <w:szCs w:val="21"/>
              </w:rPr>
            </w:pPr>
          </w:p>
        </w:tc>
      </w:tr>
    </w:tbl>
    <w:p>
      <w:pPr>
        <w:ind w:firstLine="480"/>
      </w:pPr>
      <w:r>
        <w:rPr>
          <w:rFonts w:hint="eastAsia"/>
        </w:rPr>
        <w:t>本项目位于</w:t>
      </w:r>
      <w:r>
        <w:t>滨河集中式饮用水水源地</w:t>
      </w:r>
      <w:r>
        <w:rPr>
          <w:rFonts w:hint="eastAsia"/>
        </w:rPr>
        <w:t>西北侧，按地下水流向，属于地下水下游侧向区域，不在该水源地保护区径流补给区，同时，项目</w:t>
      </w:r>
      <w:r>
        <w:t>厂界距离滨河集中式饮用水水源地二级保护区边界5.24km，距离其一级保护区边界5.72km，不在保护范围内</w:t>
      </w:r>
      <w:r>
        <w:rPr>
          <w:rFonts w:hint="eastAsia"/>
        </w:rPr>
        <w:t>。</w:t>
      </w:r>
    </w:p>
    <w:p>
      <w:pPr>
        <w:ind w:firstLine="482"/>
      </w:pPr>
      <w:r>
        <w:rPr>
          <w:b/>
          <w:bCs/>
        </w:rPr>
        <w:t>②沙井镇一水厂供水井</w:t>
      </w:r>
    </w:p>
    <w:p>
      <w:pPr>
        <w:ind w:firstLine="480"/>
      </w:pPr>
      <w:r>
        <w:t>沙井镇一水厂供水井位于沙井镇上游村，供水井深160m，设计最大开采量1700m</w:t>
      </w:r>
      <w:r>
        <w:rPr>
          <w:vertAlign w:val="superscript"/>
        </w:rPr>
        <w:t>3</w:t>
      </w:r>
      <w:r>
        <w:t>/d，沙井镇一水厂供水井基本信息如下：</w:t>
      </w:r>
    </w:p>
    <w:p>
      <w:pPr>
        <w:spacing w:line="240" w:lineRule="auto"/>
        <w:ind w:firstLine="482"/>
        <w:jc w:val="center"/>
      </w:pPr>
      <w:r>
        <w:rPr>
          <w:b/>
          <w:bCs/>
        </w:rPr>
        <w:t>表</w:t>
      </w:r>
      <w:r>
        <w:rPr>
          <w:rFonts w:hint="eastAsia"/>
          <w:b/>
          <w:bCs/>
          <w:lang w:val="en-US" w:eastAsia="zh-CN"/>
        </w:rPr>
        <w:t>5</w:t>
      </w:r>
      <w:r>
        <w:rPr>
          <w:rFonts w:hint="eastAsia"/>
          <w:b/>
          <w:bCs/>
        </w:rPr>
        <w:t>.7</w:t>
      </w:r>
      <w:r>
        <w:rPr>
          <w:b/>
          <w:bCs/>
        </w:rPr>
        <w:t xml:space="preserve">    沙井镇一水厂供水井基本信息</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1578"/>
        <w:gridCol w:w="3485"/>
        <w:gridCol w:w="3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tcBorders>
              <w:tl2br w:val="nil"/>
              <w:tr2bl w:val="nil"/>
            </w:tcBorders>
            <w:vAlign w:val="center"/>
          </w:tcPr>
          <w:p>
            <w:pPr>
              <w:spacing w:line="240" w:lineRule="auto"/>
              <w:ind w:firstLine="0" w:firstLineChars="0"/>
              <w:jc w:val="center"/>
              <w:rPr>
                <w:b/>
                <w:bCs/>
                <w:sz w:val="21"/>
                <w:szCs w:val="21"/>
              </w:rPr>
            </w:pPr>
            <w:r>
              <w:rPr>
                <w:b/>
                <w:bCs/>
                <w:sz w:val="21"/>
                <w:szCs w:val="21"/>
              </w:rPr>
              <w:t>名称</w:t>
            </w:r>
          </w:p>
        </w:tc>
        <w:tc>
          <w:tcPr>
            <w:tcW w:w="792" w:type="pct"/>
            <w:tcBorders>
              <w:tl2br w:val="nil"/>
              <w:tr2bl w:val="nil"/>
            </w:tcBorders>
            <w:vAlign w:val="center"/>
          </w:tcPr>
          <w:p>
            <w:pPr>
              <w:spacing w:line="240" w:lineRule="auto"/>
              <w:ind w:firstLine="0" w:firstLineChars="0"/>
              <w:jc w:val="center"/>
              <w:rPr>
                <w:b/>
                <w:bCs/>
                <w:sz w:val="21"/>
                <w:szCs w:val="21"/>
              </w:rPr>
            </w:pPr>
            <w:r>
              <w:rPr>
                <w:b/>
                <w:bCs/>
                <w:sz w:val="21"/>
                <w:szCs w:val="21"/>
              </w:rPr>
              <w:t>级别</w:t>
            </w:r>
          </w:p>
        </w:tc>
        <w:tc>
          <w:tcPr>
            <w:tcW w:w="1749" w:type="pct"/>
            <w:tcBorders>
              <w:tl2br w:val="nil"/>
              <w:tr2bl w:val="nil"/>
            </w:tcBorders>
            <w:vAlign w:val="center"/>
          </w:tcPr>
          <w:p>
            <w:pPr>
              <w:spacing w:line="240" w:lineRule="auto"/>
              <w:ind w:firstLine="0" w:firstLineChars="0"/>
              <w:jc w:val="center"/>
              <w:rPr>
                <w:b/>
                <w:bCs/>
                <w:sz w:val="21"/>
                <w:szCs w:val="21"/>
              </w:rPr>
            </w:pPr>
            <w:r>
              <w:rPr>
                <w:b/>
                <w:bCs/>
                <w:sz w:val="21"/>
                <w:szCs w:val="21"/>
              </w:rPr>
              <w:t>一级保护区</w:t>
            </w:r>
          </w:p>
        </w:tc>
        <w:tc>
          <w:tcPr>
            <w:tcW w:w="1801" w:type="pct"/>
            <w:tcBorders>
              <w:tl2br w:val="nil"/>
              <w:tr2bl w:val="nil"/>
            </w:tcBorders>
            <w:vAlign w:val="center"/>
          </w:tcPr>
          <w:p>
            <w:pPr>
              <w:spacing w:line="240" w:lineRule="auto"/>
              <w:ind w:firstLine="0" w:firstLineChars="0"/>
              <w:jc w:val="center"/>
              <w:rPr>
                <w:b/>
                <w:bCs/>
                <w:sz w:val="21"/>
                <w:szCs w:val="21"/>
              </w:rPr>
            </w:pPr>
            <w:r>
              <w:rPr>
                <w:b/>
                <w:bCs/>
                <w:sz w:val="21"/>
                <w:szCs w:val="21"/>
              </w:rPr>
              <w:t>二级保护区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restart"/>
            <w:tcBorders>
              <w:tl2br w:val="nil"/>
              <w:tr2bl w:val="nil"/>
            </w:tcBorders>
            <w:vAlign w:val="center"/>
          </w:tcPr>
          <w:p>
            <w:pPr>
              <w:spacing w:line="240" w:lineRule="auto"/>
              <w:ind w:firstLine="0" w:firstLineChars="0"/>
              <w:jc w:val="center"/>
              <w:rPr>
                <w:sz w:val="21"/>
                <w:szCs w:val="21"/>
              </w:rPr>
            </w:pPr>
            <w:r>
              <w:rPr>
                <w:sz w:val="21"/>
                <w:szCs w:val="21"/>
              </w:rPr>
              <w:t>沙井镇一水厂供水井</w:t>
            </w:r>
          </w:p>
        </w:tc>
        <w:tc>
          <w:tcPr>
            <w:tcW w:w="792" w:type="pct"/>
            <w:tcBorders>
              <w:tl2br w:val="nil"/>
              <w:tr2bl w:val="nil"/>
            </w:tcBorders>
            <w:vAlign w:val="center"/>
          </w:tcPr>
          <w:p>
            <w:pPr>
              <w:spacing w:line="240" w:lineRule="auto"/>
              <w:ind w:firstLine="0" w:firstLineChars="0"/>
              <w:jc w:val="center"/>
              <w:rPr>
                <w:sz w:val="21"/>
                <w:szCs w:val="21"/>
              </w:rPr>
            </w:pPr>
            <w:r>
              <w:rPr>
                <w:sz w:val="21"/>
                <w:szCs w:val="21"/>
              </w:rPr>
              <w:t>周长（m）</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0.51</w:t>
            </w:r>
          </w:p>
        </w:tc>
        <w:tc>
          <w:tcPr>
            <w:tcW w:w="1801" w:type="pct"/>
            <w:tcBorders>
              <w:tl2br w:val="nil"/>
              <w:tr2bl w:val="nil"/>
            </w:tcBorders>
            <w:vAlign w:val="center"/>
          </w:tcPr>
          <w:p>
            <w:pPr>
              <w:spacing w:line="240" w:lineRule="auto"/>
              <w:ind w:firstLine="0" w:firstLineChars="0"/>
              <w:jc w:val="center"/>
              <w:rPr>
                <w:sz w:val="21"/>
                <w:szCs w:val="21"/>
              </w:rPr>
            </w:pPr>
            <w:r>
              <w:rPr>
                <w:sz w:val="21"/>
                <w:szCs w:val="21"/>
              </w:rPr>
              <w:t>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tcBorders>
              <w:tl2br w:val="nil"/>
              <w:tr2bl w:val="nil"/>
            </w:tcBorders>
            <w:vAlign w:val="center"/>
          </w:tcPr>
          <w:p>
            <w:pPr>
              <w:spacing w:line="240" w:lineRule="auto"/>
              <w:ind w:firstLine="0" w:firstLineChars="0"/>
              <w:jc w:val="center"/>
              <w:rPr>
                <w:sz w:val="21"/>
                <w:szCs w:val="21"/>
              </w:rPr>
            </w:pPr>
          </w:p>
        </w:tc>
        <w:tc>
          <w:tcPr>
            <w:tcW w:w="792" w:type="pct"/>
            <w:tcBorders>
              <w:tl2br w:val="nil"/>
              <w:tr2bl w:val="nil"/>
            </w:tcBorders>
            <w:vAlign w:val="center"/>
          </w:tcPr>
          <w:p>
            <w:pPr>
              <w:spacing w:line="240" w:lineRule="auto"/>
              <w:ind w:firstLine="0" w:firstLineChars="0"/>
              <w:jc w:val="center"/>
              <w:rPr>
                <w:sz w:val="21"/>
                <w:szCs w:val="21"/>
              </w:rPr>
            </w:pPr>
            <w:r>
              <w:rPr>
                <w:sz w:val="21"/>
                <w:szCs w:val="21"/>
              </w:rPr>
              <w:t>面积（km</w:t>
            </w:r>
            <w:r>
              <w:rPr>
                <w:sz w:val="21"/>
                <w:szCs w:val="21"/>
                <w:vertAlign w:val="superscript"/>
              </w:rPr>
              <w:t>2</w:t>
            </w:r>
            <w:r>
              <w:rPr>
                <w:sz w:val="21"/>
                <w:szCs w:val="21"/>
              </w:rPr>
              <w:t>）</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0.016</w:t>
            </w:r>
          </w:p>
        </w:tc>
        <w:tc>
          <w:tcPr>
            <w:tcW w:w="1801" w:type="pct"/>
            <w:tcBorders>
              <w:tl2br w:val="nil"/>
              <w:tr2bl w:val="nil"/>
            </w:tcBorders>
            <w:vAlign w:val="center"/>
          </w:tcPr>
          <w:p>
            <w:pPr>
              <w:spacing w:line="240" w:lineRule="auto"/>
              <w:ind w:firstLine="0" w:firstLineChars="0"/>
              <w:jc w:val="center"/>
              <w:rPr>
                <w:sz w:val="21"/>
                <w:szCs w:val="21"/>
              </w:rPr>
            </w:pPr>
            <w:r>
              <w:rPr>
                <w:sz w:val="21"/>
                <w:szCs w:val="21"/>
              </w:rPr>
              <w:t>1.448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tcBorders>
              <w:tl2br w:val="nil"/>
              <w:tr2bl w:val="nil"/>
            </w:tcBorders>
            <w:vAlign w:val="center"/>
          </w:tcPr>
          <w:p>
            <w:pPr>
              <w:spacing w:line="240" w:lineRule="auto"/>
              <w:ind w:firstLine="0" w:firstLineChars="0"/>
              <w:jc w:val="center"/>
              <w:rPr>
                <w:sz w:val="21"/>
                <w:szCs w:val="21"/>
              </w:rPr>
            </w:pPr>
          </w:p>
        </w:tc>
        <w:tc>
          <w:tcPr>
            <w:tcW w:w="792" w:type="pct"/>
            <w:vMerge w:val="restart"/>
            <w:tcBorders>
              <w:tl2br w:val="nil"/>
              <w:tr2bl w:val="nil"/>
            </w:tcBorders>
            <w:vAlign w:val="center"/>
          </w:tcPr>
          <w:p>
            <w:pPr>
              <w:spacing w:line="240" w:lineRule="auto"/>
              <w:ind w:firstLine="0" w:firstLineChars="0"/>
              <w:jc w:val="center"/>
              <w:rPr>
                <w:sz w:val="21"/>
                <w:szCs w:val="21"/>
              </w:rPr>
            </w:pPr>
            <w:r>
              <w:rPr>
                <w:sz w:val="21"/>
                <w:szCs w:val="21"/>
              </w:rPr>
              <w:t>控制点坐标</w:t>
            </w: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A（4319426，17606839）</w:t>
            </w:r>
          </w:p>
        </w:tc>
        <w:tc>
          <w:tcPr>
            <w:tcW w:w="1801" w:type="pct"/>
            <w:tcBorders>
              <w:tl2br w:val="nil"/>
              <w:tr2bl w:val="nil"/>
            </w:tcBorders>
            <w:vAlign w:val="center"/>
          </w:tcPr>
          <w:p>
            <w:pPr>
              <w:spacing w:line="240" w:lineRule="auto"/>
              <w:ind w:firstLine="0" w:firstLineChars="0"/>
              <w:jc w:val="center"/>
              <w:rPr>
                <w:sz w:val="21"/>
                <w:szCs w:val="21"/>
              </w:rPr>
            </w:pPr>
            <w:r>
              <w:rPr>
                <w:sz w:val="21"/>
                <w:szCs w:val="21"/>
              </w:rPr>
              <w:t>①（4319599，17607668）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56" w:type="pct"/>
            <w:vMerge w:val="continue"/>
            <w:tcBorders>
              <w:tl2br w:val="nil"/>
              <w:tr2bl w:val="nil"/>
            </w:tcBorders>
            <w:vAlign w:val="center"/>
          </w:tcPr>
          <w:p>
            <w:pPr>
              <w:spacing w:line="240" w:lineRule="auto"/>
              <w:ind w:firstLine="0" w:firstLineChars="0"/>
              <w:jc w:val="center"/>
              <w:rPr>
                <w:sz w:val="21"/>
                <w:szCs w:val="21"/>
              </w:rPr>
            </w:pPr>
          </w:p>
        </w:tc>
        <w:tc>
          <w:tcPr>
            <w:tcW w:w="792" w:type="pct"/>
            <w:vMerge w:val="continue"/>
            <w:tcBorders>
              <w:tl2br w:val="nil"/>
              <w:tr2bl w:val="nil"/>
            </w:tcBorders>
            <w:vAlign w:val="center"/>
          </w:tcPr>
          <w:p>
            <w:pPr>
              <w:spacing w:line="240" w:lineRule="auto"/>
              <w:ind w:firstLine="0" w:firstLineChars="0"/>
              <w:jc w:val="center"/>
              <w:rPr>
                <w:sz w:val="21"/>
                <w:szCs w:val="21"/>
              </w:rPr>
            </w:pP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B（4319371，17606947）</w:t>
            </w:r>
          </w:p>
        </w:tc>
        <w:tc>
          <w:tcPr>
            <w:tcW w:w="1801" w:type="pct"/>
            <w:tcBorders>
              <w:tl2br w:val="nil"/>
              <w:tr2bl w:val="nil"/>
            </w:tcBorders>
            <w:vAlign w:val="center"/>
          </w:tcPr>
          <w:p>
            <w:pPr>
              <w:spacing w:line="240" w:lineRule="auto"/>
              <w:ind w:firstLine="0" w:firstLineChars="0"/>
              <w:jc w:val="center"/>
              <w:rPr>
                <w:sz w:val="21"/>
                <w:szCs w:val="21"/>
              </w:rPr>
            </w:pPr>
            <w:r>
              <w:rPr>
                <w:sz w:val="21"/>
                <w:szCs w:val="21"/>
              </w:rPr>
              <w:t>②（4318535，17607119）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56" w:type="pct"/>
            <w:vMerge w:val="continue"/>
            <w:tcBorders>
              <w:tl2br w:val="nil"/>
              <w:tr2bl w:val="nil"/>
            </w:tcBorders>
            <w:vAlign w:val="center"/>
          </w:tcPr>
          <w:p>
            <w:pPr>
              <w:spacing w:line="240" w:lineRule="auto"/>
              <w:ind w:firstLine="0" w:firstLineChars="0"/>
              <w:jc w:val="center"/>
              <w:rPr>
                <w:sz w:val="21"/>
                <w:szCs w:val="21"/>
              </w:rPr>
            </w:pPr>
          </w:p>
        </w:tc>
        <w:tc>
          <w:tcPr>
            <w:tcW w:w="792" w:type="pct"/>
            <w:vMerge w:val="continue"/>
            <w:tcBorders>
              <w:tl2br w:val="nil"/>
              <w:tr2bl w:val="nil"/>
            </w:tcBorders>
            <w:vAlign w:val="center"/>
          </w:tcPr>
          <w:p>
            <w:pPr>
              <w:spacing w:line="240" w:lineRule="auto"/>
              <w:ind w:firstLine="0" w:firstLineChars="0"/>
              <w:jc w:val="center"/>
              <w:rPr>
                <w:sz w:val="21"/>
                <w:szCs w:val="21"/>
              </w:rPr>
            </w:pP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C（4319265，17606893）</w:t>
            </w:r>
          </w:p>
        </w:tc>
        <w:tc>
          <w:tcPr>
            <w:tcW w:w="1801" w:type="pct"/>
            <w:tcBorders>
              <w:tl2br w:val="nil"/>
              <w:tr2bl w:val="nil"/>
            </w:tcBorders>
            <w:vAlign w:val="center"/>
          </w:tcPr>
          <w:p>
            <w:pPr>
              <w:spacing w:line="240" w:lineRule="auto"/>
              <w:ind w:firstLine="0" w:firstLineChars="0"/>
              <w:jc w:val="center"/>
              <w:rPr>
                <w:sz w:val="21"/>
                <w:szCs w:val="21"/>
              </w:rPr>
            </w:pPr>
            <w:r>
              <w:rPr>
                <w:sz w:val="21"/>
                <w:szCs w:val="21"/>
              </w:rPr>
              <w:t>③（4319089，17606049）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6" w:type="pct"/>
            <w:vMerge w:val="continue"/>
            <w:tcBorders>
              <w:tl2br w:val="nil"/>
              <w:tr2bl w:val="nil"/>
            </w:tcBorders>
            <w:vAlign w:val="center"/>
          </w:tcPr>
          <w:p>
            <w:pPr>
              <w:spacing w:line="240" w:lineRule="auto"/>
              <w:ind w:firstLine="0" w:firstLineChars="0"/>
              <w:jc w:val="center"/>
              <w:rPr>
                <w:sz w:val="21"/>
                <w:szCs w:val="21"/>
              </w:rPr>
            </w:pPr>
          </w:p>
        </w:tc>
        <w:tc>
          <w:tcPr>
            <w:tcW w:w="792" w:type="pct"/>
            <w:vMerge w:val="continue"/>
            <w:tcBorders>
              <w:tl2br w:val="nil"/>
              <w:tr2bl w:val="nil"/>
            </w:tcBorders>
            <w:vAlign w:val="center"/>
          </w:tcPr>
          <w:p>
            <w:pPr>
              <w:spacing w:line="240" w:lineRule="auto"/>
              <w:ind w:firstLine="0" w:firstLineChars="0"/>
              <w:jc w:val="center"/>
              <w:rPr>
                <w:sz w:val="21"/>
                <w:szCs w:val="21"/>
              </w:rPr>
            </w:pPr>
          </w:p>
        </w:tc>
        <w:tc>
          <w:tcPr>
            <w:tcW w:w="1749" w:type="pct"/>
            <w:tcBorders>
              <w:tl2br w:val="nil"/>
              <w:tr2bl w:val="nil"/>
            </w:tcBorders>
            <w:vAlign w:val="center"/>
          </w:tcPr>
          <w:p>
            <w:pPr>
              <w:spacing w:line="240" w:lineRule="auto"/>
              <w:ind w:firstLine="0" w:firstLineChars="0"/>
              <w:jc w:val="center"/>
              <w:rPr>
                <w:sz w:val="21"/>
                <w:szCs w:val="21"/>
              </w:rPr>
            </w:pPr>
            <w:r>
              <w:rPr>
                <w:sz w:val="21"/>
                <w:szCs w:val="21"/>
              </w:rPr>
              <w:t>D（4319321，17606784）</w:t>
            </w:r>
          </w:p>
        </w:tc>
        <w:tc>
          <w:tcPr>
            <w:tcW w:w="1801" w:type="pct"/>
            <w:tcBorders>
              <w:tl2br w:val="nil"/>
              <w:tr2bl w:val="nil"/>
            </w:tcBorders>
            <w:vAlign w:val="center"/>
          </w:tcPr>
          <w:p>
            <w:pPr>
              <w:spacing w:line="240" w:lineRule="auto"/>
              <w:ind w:firstLine="0" w:firstLineChars="0"/>
              <w:jc w:val="center"/>
              <w:rPr>
                <w:sz w:val="21"/>
                <w:szCs w:val="21"/>
              </w:rPr>
            </w:pPr>
            <w:r>
              <w:rPr>
                <w:sz w:val="21"/>
                <w:szCs w:val="21"/>
              </w:rPr>
              <w:t>④（4320152，17606598）</w:t>
            </w:r>
          </w:p>
        </w:tc>
      </w:tr>
    </w:tbl>
    <w:p>
      <w:pPr>
        <w:ind w:firstLine="480"/>
      </w:pPr>
      <w:r>
        <w:rPr>
          <w:rFonts w:hint="eastAsia"/>
        </w:rPr>
        <w:t>本</w:t>
      </w:r>
      <w:r>
        <w:t>项目</w:t>
      </w:r>
      <w:r>
        <w:rPr>
          <w:rFonts w:hint="eastAsia"/>
        </w:rPr>
        <w:t>位于</w:t>
      </w:r>
      <w:r>
        <w:t>沙井镇一水厂供水井</w:t>
      </w:r>
      <w:r>
        <w:rPr>
          <w:rFonts w:hint="eastAsia"/>
        </w:rPr>
        <w:t>东南侧，按地下水流向，位于该水厂供水井上游区域，属于补给径流区（东南方向侧向补给）</w:t>
      </w:r>
      <w:r>
        <w:t>。项目厂界距离沙井镇一水厂供水井二级保护区边界3.45km，距离其一级保护区边界4.17km，距离水源地保护区较近，但不在保护范围内</w:t>
      </w:r>
      <w:r>
        <w:rPr>
          <w:rFonts w:hint="eastAsia"/>
        </w:rPr>
        <w:t>。</w:t>
      </w:r>
      <w:r>
        <w:t>本项目与水源保护区的地理位置关系见</w:t>
      </w:r>
      <w:r>
        <w:rPr>
          <w:rFonts w:hint="eastAsia"/>
        </w:rPr>
        <w:t>附图6</w:t>
      </w:r>
      <w:r>
        <w:t>（环境敏感点图）。</w:t>
      </w:r>
    </w:p>
    <w:p>
      <w:pPr>
        <w:ind w:firstLine="480"/>
      </w:pPr>
      <w:r>
        <w:rPr>
          <w:rFonts w:hint="eastAsia"/>
        </w:rPr>
        <w:t>综上所述。按地下水流向（自东南向西北径流），拟建项目位于滨河集中饮用水水源地保护区下游区域，所以对滨河水源地地下水环境不会产生影响；虽然拟建项目位于沙井镇一水厂饮用水水源地地下水上游，但是本项目距沙井镇一水厂饮用水水源地二级保护区边界直线距离约3.45km，同时根据预测结果，事故状态下，最远影响距离为394m，远在建设项目最大的可能影响范围之外，因此建设项目对沙井镇一水厂饮用水水源地饮用水供水井无影响。</w:t>
      </w:r>
    </w:p>
    <w:p>
      <w:pPr>
        <w:pStyle w:val="6"/>
        <w:ind w:firstLine="482"/>
      </w:pPr>
      <w:bookmarkStart w:id="713" w:name="_Toc22404"/>
      <w:r>
        <w:rPr>
          <w:rFonts w:hint="eastAsia"/>
          <w:lang w:val="en-US" w:eastAsia="zh-CN"/>
        </w:rPr>
        <w:t>5</w:t>
      </w:r>
      <w:r>
        <w:t>.2.</w:t>
      </w:r>
      <w:r>
        <w:rPr>
          <w:rFonts w:hint="eastAsia"/>
        </w:rPr>
        <w:t>3、</w:t>
      </w:r>
      <w:r>
        <w:t>运营期环境</w:t>
      </w:r>
      <w:r>
        <w:rPr>
          <w:rFonts w:hint="eastAsia"/>
        </w:rPr>
        <w:t>空气质量</w:t>
      </w:r>
      <w:r>
        <w:t>影响分析</w:t>
      </w:r>
      <w:bookmarkEnd w:id="707"/>
      <w:bookmarkEnd w:id="708"/>
      <w:bookmarkEnd w:id="709"/>
      <w:bookmarkEnd w:id="710"/>
      <w:bookmarkEnd w:id="713"/>
    </w:p>
    <w:p>
      <w:pPr>
        <w:ind w:firstLine="480"/>
      </w:pPr>
      <w:bookmarkStart w:id="714" w:name="_Toc31238_WPSOffice_Level3"/>
      <w:bookmarkStart w:id="715" w:name="_Toc31603_WPSOffice_Level3"/>
      <w:bookmarkStart w:id="716" w:name="_Toc24736_WPSOffice_Level3"/>
      <w:bookmarkStart w:id="717" w:name="_Toc16791_WPSOffice_Level3"/>
      <w:bookmarkStart w:id="718" w:name="_Toc4373_WPSOffice_Level3"/>
      <w:bookmarkStart w:id="719" w:name="_Toc31544_WPSOffice_Level3"/>
      <w:bookmarkStart w:id="720" w:name="_Toc4679_WPSOffice_Level3"/>
      <w:bookmarkStart w:id="721" w:name="_Toc6962_WPSOffice_Level3"/>
      <w:r>
        <w:t>项目营运期的废气主要来源于待宰圈恶臭气体、屠宰间恶臭气体、牛羊预制品生产线炒制工段烹饪油烟过程中产生的油烟。</w:t>
      </w:r>
      <w:r>
        <w:rPr>
          <w:rFonts w:hint="eastAsia"/>
        </w:rPr>
        <w:t>同时根据</w:t>
      </w:r>
      <w:r>
        <w:t>《环境影响评价技术导则 大气环境》（HJ2.2-2018）</w:t>
      </w:r>
      <w:r>
        <w:rPr>
          <w:rFonts w:hint="eastAsia"/>
        </w:rPr>
        <w:t>要求，预测时选取有环境质量标准的评价因子作为预测因子，故本环评仅对</w:t>
      </w:r>
      <w:r>
        <w:t>待宰圈恶臭气体</w:t>
      </w:r>
      <w:r>
        <w:rPr>
          <w:rFonts w:hint="eastAsia"/>
        </w:rPr>
        <w:t>（无组织，NH</w:t>
      </w:r>
      <w:r>
        <w:rPr>
          <w:rFonts w:hint="eastAsia"/>
          <w:vertAlign w:val="subscript"/>
        </w:rPr>
        <w:t>3</w:t>
      </w:r>
      <w:r>
        <w:rPr>
          <w:rFonts w:hint="eastAsia"/>
        </w:rPr>
        <w:t>、H</w:t>
      </w:r>
      <w:r>
        <w:rPr>
          <w:rFonts w:hint="eastAsia"/>
          <w:vertAlign w:val="subscript"/>
        </w:rPr>
        <w:t>2</w:t>
      </w:r>
      <w:r>
        <w:rPr>
          <w:rFonts w:hint="eastAsia"/>
        </w:rPr>
        <w:t>S）</w:t>
      </w:r>
      <w:r>
        <w:t>、屠宰间恶臭气体</w:t>
      </w:r>
      <w:r>
        <w:rPr>
          <w:rFonts w:hint="eastAsia"/>
        </w:rPr>
        <w:t>（有组织，NH</w:t>
      </w:r>
      <w:r>
        <w:rPr>
          <w:rFonts w:hint="eastAsia"/>
          <w:vertAlign w:val="subscript"/>
        </w:rPr>
        <w:t>3</w:t>
      </w:r>
      <w:r>
        <w:rPr>
          <w:rFonts w:hint="eastAsia"/>
        </w:rPr>
        <w:t>、H</w:t>
      </w:r>
      <w:r>
        <w:rPr>
          <w:rFonts w:hint="eastAsia"/>
          <w:vertAlign w:val="subscript"/>
        </w:rPr>
        <w:t>2</w:t>
      </w:r>
      <w:r>
        <w:rPr>
          <w:rFonts w:hint="eastAsia"/>
        </w:rPr>
        <w:t>S）进行预测，</w:t>
      </w:r>
      <w:r>
        <w:t>烹饪</w:t>
      </w:r>
      <w:r>
        <w:rPr>
          <w:rFonts w:hint="eastAsia"/>
        </w:rPr>
        <w:t>油烟暂无环境质量标准，因此不对其进行预测。</w:t>
      </w:r>
    </w:p>
    <w:bookmarkEnd w:id="714"/>
    <w:bookmarkEnd w:id="715"/>
    <w:bookmarkEnd w:id="716"/>
    <w:bookmarkEnd w:id="717"/>
    <w:bookmarkEnd w:id="718"/>
    <w:bookmarkEnd w:id="719"/>
    <w:p>
      <w:pPr>
        <w:pStyle w:val="7"/>
        <w:ind w:firstLine="482"/>
      </w:pPr>
      <w:r>
        <w:rPr>
          <w:rFonts w:hint="eastAsia"/>
          <w:lang w:val="en-US" w:eastAsia="zh-CN"/>
        </w:rPr>
        <w:t>5</w:t>
      </w:r>
      <w:r>
        <w:rPr>
          <w:rFonts w:hint="eastAsia"/>
        </w:rPr>
        <w:t>.2.3.1、正常工况</w:t>
      </w:r>
    </w:p>
    <w:p>
      <w:pPr>
        <w:ind w:firstLine="482"/>
        <w:rPr>
          <w:b/>
          <w:bCs/>
        </w:rPr>
      </w:pPr>
      <w:r>
        <w:rPr>
          <w:rFonts w:hint="eastAsia"/>
          <w:b/>
          <w:bCs/>
        </w:rPr>
        <w:t>1、正常工况下待宰圈恶臭气体、屠宰车间恶臭气体影响分析</w:t>
      </w:r>
    </w:p>
    <w:p>
      <w:pPr>
        <w:ind w:firstLine="482"/>
        <w:rPr>
          <w:b/>
          <w:bCs/>
        </w:rPr>
      </w:pPr>
      <w:r>
        <w:rPr>
          <w:rFonts w:hint="eastAsia"/>
          <w:b/>
          <w:bCs/>
        </w:rPr>
        <w:t>（1）</w:t>
      </w:r>
      <w:r>
        <w:rPr>
          <w:b/>
          <w:bCs/>
        </w:rPr>
        <w:t>预测模式选取</w:t>
      </w:r>
    </w:p>
    <w:p>
      <w:pPr>
        <w:ind w:firstLine="480"/>
      </w:pPr>
      <w:r>
        <w:t>本次评价采用《环境影响评价技术导则 大气环境》（HJ2.2-2018）附录A推荐的估算模型AERSCREEN对本项目待宰圈恶臭气体</w:t>
      </w:r>
      <w:r>
        <w:rPr>
          <w:rFonts w:hint="eastAsia"/>
        </w:rPr>
        <w:t>（无组织）</w:t>
      </w:r>
      <w:r>
        <w:t>、屠宰间恶臭气体</w:t>
      </w:r>
      <w:r>
        <w:rPr>
          <w:rFonts w:hint="eastAsia"/>
        </w:rPr>
        <w:t>（有组织）</w:t>
      </w:r>
      <w:r>
        <w:t>排放情况进行预测。</w:t>
      </w:r>
    </w:p>
    <w:p>
      <w:pPr>
        <w:ind w:firstLine="482"/>
        <w:rPr>
          <w:b/>
          <w:bCs/>
        </w:rPr>
      </w:pPr>
      <w:r>
        <w:rPr>
          <w:rFonts w:hint="eastAsia"/>
          <w:b/>
          <w:bCs/>
        </w:rPr>
        <w:t>（2）</w:t>
      </w:r>
      <w:r>
        <w:rPr>
          <w:b/>
          <w:bCs/>
        </w:rPr>
        <w:t>评价因子及评价标准</w:t>
      </w:r>
    </w:p>
    <w:p>
      <w:pPr>
        <w:ind w:firstLine="480"/>
      </w:pPr>
      <w:r>
        <w:t>本项目评价因子和评价标准见表</w:t>
      </w:r>
      <w:r>
        <w:rPr>
          <w:rFonts w:hint="eastAsia"/>
          <w:lang w:val="en-US" w:eastAsia="zh-CN"/>
        </w:rPr>
        <w:t>5</w:t>
      </w:r>
      <w:r>
        <w:rPr>
          <w:rFonts w:hint="eastAsia"/>
        </w:rPr>
        <w:t>.8</w:t>
      </w:r>
      <w:r>
        <w:t>所示：</w:t>
      </w:r>
    </w:p>
    <w:bookmarkEnd w:id="720"/>
    <w:bookmarkEnd w:id="721"/>
    <w:p>
      <w:pPr>
        <w:spacing w:line="240" w:lineRule="auto"/>
        <w:ind w:firstLine="482"/>
        <w:jc w:val="center"/>
        <w:rPr>
          <w:b/>
          <w:bCs/>
        </w:rPr>
      </w:pPr>
      <w:r>
        <w:rPr>
          <w:b/>
          <w:bCs/>
        </w:rPr>
        <w:t>表</w:t>
      </w:r>
      <w:r>
        <w:rPr>
          <w:rFonts w:hint="eastAsia"/>
          <w:b/>
          <w:bCs/>
          <w:lang w:val="en-US" w:eastAsia="zh-CN"/>
        </w:rPr>
        <w:t>5</w:t>
      </w:r>
      <w:r>
        <w:rPr>
          <w:rFonts w:hint="eastAsia"/>
          <w:b/>
          <w:bCs/>
        </w:rPr>
        <w:t>.8</w:t>
      </w:r>
      <w:r>
        <w:rPr>
          <w:b/>
          <w:bCs/>
        </w:rPr>
        <w:t xml:space="preserve"> </w:t>
      </w:r>
      <w:r>
        <w:rPr>
          <w:rFonts w:hint="eastAsia"/>
          <w:b/>
          <w:bCs/>
        </w:rPr>
        <w:t xml:space="preserve">  </w:t>
      </w:r>
      <w:r>
        <w:rPr>
          <w:b/>
          <w:bCs/>
        </w:rPr>
        <w:t xml:space="preserve"> 评价因子和评价标准表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1987"/>
        <w:gridCol w:w="6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评价因子</w:t>
            </w:r>
          </w:p>
        </w:tc>
        <w:tc>
          <w:tcPr>
            <w:tcW w:w="997"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标准值/（</w:t>
            </w:r>
            <w:r>
              <w:rPr>
                <w:b/>
                <w:bCs/>
                <w:sz w:val="21"/>
                <w:szCs w:val="21"/>
              </w:rPr>
              <w:t>µg/m</w:t>
            </w:r>
            <w:r>
              <w:rPr>
                <w:b/>
                <w:bCs/>
                <w:sz w:val="21"/>
                <w:szCs w:val="21"/>
                <w:vertAlign w:val="superscript"/>
              </w:rPr>
              <w:t>3</w:t>
            </w:r>
            <w:r>
              <w:rPr>
                <w:rFonts w:hint="eastAsia"/>
                <w:b/>
                <w:bCs/>
                <w:sz w:val="21"/>
                <w:szCs w:val="21"/>
              </w:rPr>
              <w:t>）</w:t>
            </w:r>
          </w:p>
        </w:tc>
        <w:tc>
          <w:tcPr>
            <w:tcW w:w="3390"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pct"/>
            <w:tcBorders>
              <w:tl2br w:val="nil"/>
              <w:tr2bl w:val="nil"/>
            </w:tcBorders>
            <w:vAlign w:val="center"/>
          </w:tcPr>
          <w:p>
            <w:pPr>
              <w:spacing w:line="240" w:lineRule="auto"/>
              <w:ind w:firstLine="0" w:firstLineChars="0"/>
              <w:jc w:val="center"/>
              <w:rPr>
                <w:sz w:val="21"/>
                <w:szCs w:val="21"/>
              </w:rPr>
            </w:pPr>
            <w:r>
              <w:rPr>
                <w:rFonts w:hint="eastAsia"/>
                <w:sz w:val="21"/>
                <w:szCs w:val="21"/>
              </w:rPr>
              <w:t>氨</w:t>
            </w:r>
          </w:p>
        </w:tc>
        <w:tc>
          <w:tcPr>
            <w:tcW w:w="997" w:type="pct"/>
            <w:tcBorders>
              <w:tl2br w:val="nil"/>
              <w:tr2bl w:val="nil"/>
            </w:tcBorders>
            <w:vAlign w:val="center"/>
          </w:tcPr>
          <w:p>
            <w:pPr>
              <w:spacing w:line="240" w:lineRule="auto"/>
              <w:ind w:firstLine="0" w:firstLineChars="0"/>
              <w:jc w:val="center"/>
              <w:rPr>
                <w:sz w:val="21"/>
                <w:szCs w:val="21"/>
              </w:rPr>
            </w:pPr>
            <w:r>
              <w:rPr>
                <w:rFonts w:hint="eastAsia"/>
                <w:sz w:val="21"/>
                <w:szCs w:val="21"/>
              </w:rPr>
              <w:t>200（1h平均）</w:t>
            </w:r>
          </w:p>
        </w:tc>
        <w:tc>
          <w:tcPr>
            <w:tcW w:w="3390"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《环境影响评价技术导则</w:t>
            </w:r>
            <w:r>
              <w:rPr>
                <w:sz w:val="21"/>
                <w:szCs w:val="21"/>
              </w:rPr>
              <w:t>—</w:t>
            </w:r>
            <w:r>
              <w:rPr>
                <w:rFonts w:hint="eastAsia"/>
                <w:sz w:val="21"/>
                <w:szCs w:val="21"/>
              </w:rPr>
              <w:t>大气环境》（</w:t>
            </w:r>
            <w:r>
              <w:rPr>
                <w:sz w:val="21"/>
                <w:szCs w:val="21"/>
              </w:rPr>
              <w:t>HJ2.2-2018</w:t>
            </w:r>
            <w:r>
              <w:rPr>
                <w:rFonts w:hint="eastAsia"/>
                <w:sz w:val="21"/>
                <w:szCs w:val="21"/>
              </w:rPr>
              <w:t>）附录</w:t>
            </w:r>
            <w:r>
              <w:rPr>
                <w:sz w:val="21"/>
                <w:szCs w:val="21"/>
              </w:rPr>
              <w:t>D</w:t>
            </w:r>
            <w:r>
              <w:rPr>
                <w:rFonts w:hint="eastAsia"/>
                <w:sz w:val="21"/>
                <w:szCs w:val="21"/>
              </w:rPr>
              <w:t>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1" w:type="pct"/>
            <w:tcBorders>
              <w:tl2br w:val="nil"/>
              <w:tr2bl w:val="nil"/>
            </w:tcBorders>
            <w:vAlign w:val="center"/>
          </w:tcPr>
          <w:p>
            <w:pPr>
              <w:spacing w:line="240" w:lineRule="auto"/>
              <w:ind w:firstLine="0" w:firstLineChars="0"/>
              <w:jc w:val="center"/>
              <w:rPr>
                <w:sz w:val="21"/>
                <w:szCs w:val="21"/>
              </w:rPr>
            </w:pPr>
            <w:r>
              <w:rPr>
                <w:rFonts w:hint="eastAsia"/>
                <w:sz w:val="21"/>
                <w:szCs w:val="21"/>
              </w:rPr>
              <w:t>硫化氢</w:t>
            </w:r>
          </w:p>
        </w:tc>
        <w:tc>
          <w:tcPr>
            <w:tcW w:w="997" w:type="pct"/>
            <w:tcBorders>
              <w:tl2br w:val="nil"/>
              <w:tr2bl w:val="nil"/>
            </w:tcBorders>
            <w:vAlign w:val="center"/>
          </w:tcPr>
          <w:p>
            <w:pPr>
              <w:spacing w:line="240" w:lineRule="auto"/>
              <w:ind w:firstLine="0" w:firstLineChars="0"/>
              <w:jc w:val="center"/>
              <w:rPr>
                <w:sz w:val="21"/>
                <w:szCs w:val="21"/>
              </w:rPr>
            </w:pPr>
            <w:r>
              <w:rPr>
                <w:rFonts w:hint="eastAsia"/>
                <w:sz w:val="21"/>
                <w:szCs w:val="21"/>
              </w:rPr>
              <w:t>10（1h平均）</w:t>
            </w:r>
          </w:p>
        </w:tc>
        <w:tc>
          <w:tcPr>
            <w:tcW w:w="3390" w:type="pct"/>
            <w:vMerge w:val="continue"/>
            <w:tcBorders>
              <w:tl2br w:val="nil"/>
              <w:tr2bl w:val="nil"/>
            </w:tcBorders>
            <w:vAlign w:val="center"/>
          </w:tcPr>
          <w:p>
            <w:pPr>
              <w:spacing w:line="240" w:lineRule="auto"/>
              <w:rPr>
                <w:sz w:val="21"/>
                <w:szCs w:val="21"/>
              </w:rPr>
            </w:pPr>
          </w:p>
        </w:tc>
      </w:tr>
    </w:tbl>
    <w:p>
      <w:pPr>
        <w:ind w:firstLine="482"/>
        <w:rPr>
          <w:b/>
          <w:bCs/>
        </w:rPr>
      </w:pPr>
      <w:r>
        <w:rPr>
          <w:rFonts w:hint="eastAsia"/>
          <w:b/>
          <w:bCs/>
        </w:rPr>
        <w:t>（3）</w:t>
      </w:r>
      <w:r>
        <w:rPr>
          <w:b/>
          <w:bCs/>
        </w:rPr>
        <w:t>估算模型参数</w:t>
      </w:r>
    </w:p>
    <w:p>
      <w:pPr>
        <w:ind w:firstLine="480"/>
      </w:pPr>
      <w:r>
        <w:t>本项目选用导则中推荐的AERSCREEN估算模式对大气污染物进行估算，估算参数详见表</w:t>
      </w:r>
      <w:r>
        <w:rPr>
          <w:rFonts w:hint="eastAsia"/>
          <w:lang w:val="en-US" w:eastAsia="zh-CN"/>
        </w:rPr>
        <w:t>5</w:t>
      </w:r>
      <w:r>
        <w:rPr>
          <w:rFonts w:hint="eastAsia"/>
        </w:rPr>
        <w:t>.9</w:t>
      </w:r>
      <w:r>
        <w:t>。</w:t>
      </w:r>
    </w:p>
    <w:p>
      <w:pPr>
        <w:spacing w:line="240" w:lineRule="auto"/>
        <w:ind w:firstLine="482"/>
        <w:jc w:val="center"/>
        <w:rPr>
          <w:b/>
          <w:bCs/>
        </w:rPr>
      </w:pPr>
      <w:r>
        <w:rPr>
          <w:b/>
          <w:bCs/>
        </w:rPr>
        <w:t>表</w:t>
      </w:r>
      <w:r>
        <w:rPr>
          <w:rFonts w:hint="eastAsia"/>
          <w:b/>
          <w:bCs/>
          <w:lang w:val="en-US" w:eastAsia="zh-CN"/>
        </w:rPr>
        <w:t>5</w:t>
      </w:r>
      <w:r>
        <w:rPr>
          <w:rFonts w:hint="eastAsia"/>
          <w:b/>
          <w:bCs/>
        </w:rPr>
        <w:t xml:space="preserve">.9 </w:t>
      </w:r>
      <w:r>
        <w:rPr>
          <w:b/>
          <w:bCs/>
        </w:rPr>
        <w:t xml:space="preserve"> </w:t>
      </w:r>
      <w:r>
        <w:rPr>
          <w:rFonts w:hint="eastAsia"/>
          <w:b/>
          <w:bCs/>
        </w:rPr>
        <w:t xml:space="preserve"> </w:t>
      </w:r>
      <w:r>
        <w:rPr>
          <w:b/>
          <w:bCs/>
        </w:rPr>
        <w:t xml:space="preserve"> 估算模型参数表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39"/>
        <w:gridCol w:w="3485"/>
        <w:gridCol w:w="3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b/>
                <w:bCs/>
                <w:szCs w:val="21"/>
              </w:rPr>
            </w:pPr>
            <w:r>
              <w:rPr>
                <w:b/>
                <w:bCs/>
                <w:szCs w:val="21"/>
              </w:rPr>
              <w:t>参数</w:t>
            </w:r>
          </w:p>
        </w:tc>
        <w:tc>
          <w:tcPr>
            <w:tcW w:w="1976" w:type="pct"/>
            <w:tcBorders>
              <w:tl2br w:val="nil"/>
              <w:tr2bl w:val="nil"/>
            </w:tcBorders>
            <w:vAlign w:val="center"/>
          </w:tcPr>
          <w:p>
            <w:pPr>
              <w:pStyle w:val="85"/>
              <w:rPr>
                <w:b/>
                <w:bCs/>
                <w:szCs w:val="21"/>
              </w:rPr>
            </w:pPr>
            <w:r>
              <w:rPr>
                <w:b/>
                <w:bCs/>
                <w:szCs w:val="21"/>
              </w:rPr>
              <w:t>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restart"/>
            <w:tcBorders>
              <w:tl2br w:val="nil"/>
              <w:tr2bl w:val="nil"/>
            </w:tcBorders>
            <w:vAlign w:val="center"/>
          </w:tcPr>
          <w:p>
            <w:pPr>
              <w:pStyle w:val="85"/>
              <w:rPr>
                <w:szCs w:val="21"/>
              </w:rPr>
            </w:pPr>
            <w:r>
              <w:rPr>
                <w:szCs w:val="21"/>
              </w:rPr>
              <w:t>城市农村/选项</w:t>
            </w:r>
          </w:p>
        </w:tc>
        <w:tc>
          <w:tcPr>
            <w:tcW w:w="1749" w:type="pct"/>
            <w:tcBorders>
              <w:tl2br w:val="nil"/>
              <w:tr2bl w:val="nil"/>
            </w:tcBorders>
            <w:vAlign w:val="center"/>
          </w:tcPr>
          <w:p>
            <w:pPr>
              <w:pStyle w:val="85"/>
              <w:rPr>
                <w:szCs w:val="21"/>
              </w:rPr>
            </w:pPr>
            <w:r>
              <w:rPr>
                <w:szCs w:val="21"/>
              </w:rPr>
              <w:t>城市/农村</w:t>
            </w:r>
          </w:p>
        </w:tc>
        <w:tc>
          <w:tcPr>
            <w:tcW w:w="3938" w:type="dxa"/>
            <w:tcBorders>
              <w:tl2br w:val="nil"/>
              <w:tr2bl w:val="nil"/>
            </w:tcBorders>
            <w:vAlign w:val="center"/>
          </w:tcPr>
          <w:p>
            <w:pPr>
              <w:pStyle w:val="85"/>
              <w:rPr>
                <w:szCs w:val="21"/>
              </w:rPr>
            </w:pPr>
            <w:r>
              <w:rPr>
                <w:rFonts w:hint="eastAsia"/>
                <w:szCs w:val="21"/>
                <w:lang w:val="en-US" w:eastAsia="zh-CN"/>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人口数(城市人口数)</w:t>
            </w:r>
          </w:p>
        </w:tc>
        <w:tc>
          <w:tcPr>
            <w:tcW w:w="3938" w:type="dxa"/>
            <w:tcBorders>
              <w:tl2br w:val="nil"/>
              <w:tr2bl w:val="nil"/>
            </w:tcBorders>
            <w:vAlign w:val="center"/>
          </w:tcPr>
          <w:p>
            <w:pPr>
              <w:pStyle w:val="85"/>
              <w:rPr>
                <w:szCs w:val="21"/>
              </w:rPr>
            </w:pPr>
            <w:r>
              <w:rPr>
                <w:szCs w:val="21"/>
              </w:rPr>
              <w:t>58.67万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最高环境温度</w:t>
            </w:r>
          </w:p>
        </w:tc>
        <w:tc>
          <w:tcPr>
            <w:tcW w:w="1976" w:type="pct"/>
            <w:tcBorders>
              <w:tl2br w:val="nil"/>
              <w:tr2bl w:val="nil"/>
            </w:tcBorders>
            <w:vAlign w:val="center"/>
          </w:tcPr>
          <w:p>
            <w:pPr>
              <w:pStyle w:val="85"/>
              <w:rPr>
                <w:szCs w:val="21"/>
              </w:rPr>
            </w:pPr>
            <w:r>
              <w:rPr>
                <w:szCs w:val="21"/>
              </w:rPr>
              <w:t>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最低环境温度</w:t>
            </w:r>
          </w:p>
        </w:tc>
        <w:tc>
          <w:tcPr>
            <w:tcW w:w="1976" w:type="pct"/>
            <w:tcBorders>
              <w:tl2br w:val="nil"/>
              <w:tr2bl w:val="nil"/>
            </w:tcBorders>
            <w:vAlign w:val="center"/>
          </w:tcPr>
          <w:p>
            <w:pPr>
              <w:pStyle w:val="85"/>
              <w:rPr>
                <w:szCs w:val="21"/>
              </w:rPr>
            </w:pPr>
            <w:r>
              <w:rPr>
                <w:szCs w:val="21"/>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土地利用类型</w:t>
            </w:r>
          </w:p>
        </w:tc>
        <w:tc>
          <w:tcPr>
            <w:tcW w:w="1976" w:type="pct"/>
            <w:tcBorders>
              <w:tl2br w:val="nil"/>
              <w:tr2bl w:val="nil"/>
            </w:tcBorders>
            <w:vAlign w:val="center"/>
          </w:tcPr>
          <w:p>
            <w:pPr>
              <w:pStyle w:val="85"/>
              <w:rPr>
                <w:szCs w:val="21"/>
              </w:rPr>
            </w:pPr>
            <w:r>
              <w:rPr>
                <w:szCs w:val="21"/>
              </w:rPr>
              <w:t>荒漠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23" w:type="pct"/>
            <w:gridSpan w:val="2"/>
            <w:tcBorders>
              <w:tl2br w:val="nil"/>
              <w:tr2bl w:val="nil"/>
            </w:tcBorders>
            <w:vAlign w:val="center"/>
          </w:tcPr>
          <w:p>
            <w:pPr>
              <w:pStyle w:val="85"/>
              <w:rPr>
                <w:szCs w:val="21"/>
              </w:rPr>
            </w:pPr>
            <w:r>
              <w:rPr>
                <w:szCs w:val="21"/>
              </w:rPr>
              <w:t>区域湿度条件</w:t>
            </w:r>
          </w:p>
        </w:tc>
        <w:tc>
          <w:tcPr>
            <w:tcW w:w="1976" w:type="pct"/>
            <w:tcBorders>
              <w:tl2br w:val="nil"/>
              <w:tr2bl w:val="nil"/>
            </w:tcBorders>
            <w:vAlign w:val="center"/>
          </w:tcPr>
          <w:p>
            <w:pPr>
              <w:pStyle w:val="85"/>
              <w:rPr>
                <w:szCs w:val="21"/>
              </w:rPr>
            </w:pPr>
            <w:r>
              <w:rPr>
                <w:szCs w:val="21"/>
              </w:rPr>
              <w:t>干燥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restart"/>
            <w:tcBorders>
              <w:tl2br w:val="nil"/>
              <w:tr2bl w:val="nil"/>
            </w:tcBorders>
            <w:vAlign w:val="center"/>
          </w:tcPr>
          <w:p>
            <w:pPr>
              <w:pStyle w:val="85"/>
              <w:rPr>
                <w:szCs w:val="21"/>
              </w:rPr>
            </w:pPr>
            <w:r>
              <w:rPr>
                <w:szCs w:val="21"/>
              </w:rPr>
              <w:t>是否考虑地形</w:t>
            </w:r>
          </w:p>
        </w:tc>
        <w:tc>
          <w:tcPr>
            <w:tcW w:w="1749" w:type="pct"/>
            <w:tcBorders>
              <w:tl2br w:val="nil"/>
              <w:tr2bl w:val="nil"/>
            </w:tcBorders>
            <w:vAlign w:val="center"/>
          </w:tcPr>
          <w:p>
            <w:pPr>
              <w:pStyle w:val="85"/>
              <w:rPr>
                <w:szCs w:val="21"/>
              </w:rPr>
            </w:pPr>
            <w:r>
              <w:rPr>
                <w:szCs w:val="21"/>
              </w:rPr>
              <w:t>考虑地形</w:t>
            </w:r>
          </w:p>
        </w:tc>
        <w:tc>
          <w:tcPr>
            <w:tcW w:w="1976" w:type="pct"/>
            <w:tcBorders>
              <w:tl2br w:val="nil"/>
              <w:tr2bl w:val="nil"/>
            </w:tcBorders>
            <w:vAlign w:val="center"/>
          </w:tcPr>
          <w:p>
            <w:pPr>
              <w:pStyle w:val="85"/>
              <w:rPr>
                <w:szCs w:val="21"/>
              </w:rPr>
            </w:pPr>
            <w:r>
              <w:rPr>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地形数据分辨率</w:t>
            </w:r>
            <w:r>
              <w:rPr>
                <w:rFonts w:hint="eastAsia"/>
                <w:szCs w:val="21"/>
              </w:rPr>
              <w:t>（</w:t>
            </w:r>
            <w:r>
              <w:rPr>
                <w:szCs w:val="21"/>
              </w:rPr>
              <w:t>m</w:t>
            </w:r>
            <w:r>
              <w:rPr>
                <w:rFonts w:hint="eastAsia"/>
                <w:szCs w:val="21"/>
              </w:rPr>
              <w:t>）</w:t>
            </w:r>
          </w:p>
        </w:tc>
        <w:tc>
          <w:tcPr>
            <w:tcW w:w="1976" w:type="pct"/>
            <w:tcBorders>
              <w:tl2br w:val="nil"/>
              <w:tr2bl w:val="nil"/>
            </w:tcBorders>
            <w:vAlign w:val="center"/>
          </w:tcPr>
          <w:p>
            <w:pPr>
              <w:pStyle w:val="85"/>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restart"/>
            <w:tcBorders>
              <w:tl2br w:val="nil"/>
              <w:tr2bl w:val="nil"/>
            </w:tcBorders>
            <w:vAlign w:val="center"/>
          </w:tcPr>
          <w:p>
            <w:pPr>
              <w:pStyle w:val="85"/>
              <w:rPr>
                <w:szCs w:val="21"/>
              </w:rPr>
            </w:pPr>
            <w:r>
              <w:rPr>
                <w:szCs w:val="21"/>
              </w:rPr>
              <w:t>是否考虑海岸线熏烟</w:t>
            </w:r>
          </w:p>
        </w:tc>
        <w:tc>
          <w:tcPr>
            <w:tcW w:w="1749" w:type="pct"/>
            <w:tcBorders>
              <w:tl2br w:val="nil"/>
              <w:tr2bl w:val="nil"/>
            </w:tcBorders>
            <w:vAlign w:val="center"/>
          </w:tcPr>
          <w:p>
            <w:pPr>
              <w:pStyle w:val="85"/>
              <w:rPr>
                <w:szCs w:val="21"/>
              </w:rPr>
            </w:pPr>
            <w:r>
              <w:rPr>
                <w:szCs w:val="21"/>
              </w:rPr>
              <w:t>考虑海岸线熏烟</w:t>
            </w:r>
          </w:p>
        </w:tc>
        <w:tc>
          <w:tcPr>
            <w:tcW w:w="1976" w:type="pct"/>
            <w:tcBorders>
              <w:tl2br w:val="nil"/>
              <w:tr2bl w:val="nil"/>
            </w:tcBorders>
            <w:vAlign w:val="center"/>
          </w:tcPr>
          <w:p>
            <w:pPr>
              <w:pStyle w:val="85"/>
              <w:rPr>
                <w:szCs w:val="21"/>
              </w:rPr>
            </w:pP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海岸线距离/km</w:t>
            </w:r>
          </w:p>
        </w:tc>
        <w:tc>
          <w:tcPr>
            <w:tcW w:w="1976" w:type="pct"/>
            <w:tcBorders>
              <w:tl2br w:val="nil"/>
              <w:tr2bl w:val="nil"/>
            </w:tcBorders>
            <w:vAlign w:val="center"/>
          </w:tcPr>
          <w:p>
            <w:pPr>
              <w:pStyle w:val="85"/>
              <w:rPr>
                <w:szCs w:val="21"/>
              </w:rPr>
            </w:pPr>
            <w:r>
              <w:rPr>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4" w:type="pct"/>
            <w:vMerge w:val="continue"/>
            <w:tcBorders>
              <w:tl2br w:val="nil"/>
              <w:tr2bl w:val="nil"/>
            </w:tcBorders>
            <w:vAlign w:val="center"/>
          </w:tcPr>
          <w:p>
            <w:pPr>
              <w:pStyle w:val="85"/>
              <w:rPr>
                <w:szCs w:val="21"/>
              </w:rPr>
            </w:pPr>
          </w:p>
        </w:tc>
        <w:tc>
          <w:tcPr>
            <w:tcW w:w="1749" w:type="pct"/>
            <w:tcBorders>
              <w:tl2br w:val="nil"/>
              <w:tr2bl w:val="nil"/>
            </w:tcBorders>
            <w:vAlign w:val="center"/>
          </w:tcPr>
          <w:p>
            <w:pPr>
              <w:pStyle w:val="85"/>
              <w:rPr>
                <w:szCs w:val="21"/>
              </w:rPr>
            </w:pPr>
            <w:r>
              <w:rPr>
                <w:szCs w:val="21"/>
              </w:rPr>
              <w:t>海岸线方向/</w:t>
            </w:r>
            <w:r>
              <w:rPr>
                <w:szCs w:val="21"/>
                <w:vertAlign w:val="superscript"/>
              </w:rPr>
              <w:t>o</w:t>
            </w:r>
          </w:p>
        </w:tc>
        <w:tc>
          <w:tcPr>
            <w:tcW w:w="1976" w:type="pct"/>
            <w:tcBorders>
              <w:tl2br w:val="nil"/>
              <w:tr2bl w:val="nil"/>
            </w:tcBorders>
            <w:vAlign w:val="center"/>
          </w:tcPr>
          <w:p>
            <w:pPr>
              <w:pStyle w:val="85"/>
              <w:rPr>
                <w:szCs w:val="21"/>
              </w:rPr>
            </w:pPr>
            <w:r>
              <w:rPr>
                <w:szCs w:val="21"/>
              </w:rPr>
              <w:t>/</w:t>
            </w:r>
          </w:p>
        </w:tc>
      </w:tr>
    </w:tbl>
    <w:p>
      <w:pPr>
        <w:ind w:firstLine="482"/>
        <w:rPr>
          <w:b/>
          <w:bCs/>
        </w:rPr>
      </w:pPr>
      <w:r>
        <w:rPr>
          <w:rFonts w:hint="eastAsia"/>
          <w:b/>
          <w:bCs/>
        </w:rPr>
        <w:t>（4）</w:t>
      </w:r>
      <w:r>
        <w:rPr>
          <w:b/>
          <w:bCs/>
        </w:rPr>
        <w:t>废气污染源强和排放参数</w:t>
      </w:r>
    </w:p>
    <w:p>
      <w:pPr>
        <w:ind w:firstLine="482"/>
      </w:pPr>
      <w:r>
        <w:rPr>
          <w:b/>
          <w:bCs/>
        </w:rPr>
        <w:t>①</w:t>
      </w:r>
      <w:r>
        <w:rPr>
          <w:rFonts w:hint="eastAsia"/>
          <w:b/>
          <w:bCs/>
        </w:rPr>
        <w:t>有组织废气</w:t>
      </w:r>
    </w:p>
    <w:p>
      <w:pPr>
        <w:ind w:firstLine="480"/>
      </w:pPr>
      <w:r>
        <w:t>本项目</w:t>
      </w:r>
      <w:r>
        <w:rPr>
          <w:rFonts w:hint="eastAsia"/>
        </w:rPr>
        <w:t>有</w:t>
      </w:r>
      <w:r>
        <w:t>组织废气污染源强和排放参数见表</w:t>
      </w:r>
      <w:r>
        <w:rPr>
          <w:rFonts w:hint="eastAsia"/>
          <w:lang w:val="en-US" w:eastAsia="zh-CN"/>
        </w:rPr>
        <w:t>5</w:t>
      </w:r>
      <w:r>
        <w:rPr>
          <w:rFonts w:hint="eastAsia"/>
        </w:rPr>
        <w:t>.10。</w:t>
      </w:r>
    </w:p>
    <w:p>
      <w:pPr>
        <w:spacing w:line="240" w:lineRule="auto"/>
        <w:ind w:firstLine="0" w:firstLineChars="0"/>
        <w:jc w:val="center"/>
        <w:rPr>
          <w:b/>
          <w:bCs/>
        </w:rPr>
      </w:pPr>
      <w:r>
        <w:rPr>
          <w:b/>
          <w:bCs/>
        </w:rPr>
        <w:t>表</w:t>
      </w:r>
      <w:r>
        <w:rPr>
          <w:rFonts w:hint="eastAsia"/>
          <w:b/>
          <w:bCs/>
          <w:lang w:val="en-US" w:eastAsia="zh-CN"/>
        </w:rPr>
        <w:t>5</w:t>
      </w:r>
      <w:r>
        <w:rPr>
          <w:rFonts w:hint="eastAsia"/>
          <w:b/>
          <w:bCs/>
        </w:rPr>
        <w:t>.10</w:t>
      </w:r>
      <w:r>
        <w:rPr>
          <w:b/>
          <w:bCs/>
        </w:rPr>
        <w:t xml:space="preserve">  </w:t>
      </w:r>
      <w:r>
        <w:rPr>
          <w:rFonts w:hint="eastAsia"/>
          <w:b/>
          <w:bCs/>
        </w:rPr>
        <w:t xml:space="preserve"> </w:t>
      </w:r>
      <w:r>
        <w:rPr>
          <w:b/>
          <w:bCs/>
        </w:rPr>
        <w:t xml:space="preserve"> </w:t>
      </w:r>
      <w:r>
        <w:rPr>
          <w:rFonts w:hint="eastAsia"/>
          <w:b/>
          <w:bCs/>
        </w:rPr>
        <w:t>有组织</w:t>
      </w:r>
      <w:r>
        <w:rPr>
          <w:b/>
          <w:bCs/>
        </w:rPr>
        <w:t>废气污染源参数一览表</w:t>
      </w:r>
      <w:r>
        <w:rPr>
          <w:rFonts w:hint="eastAsia"/>
          <w:b/>
          <w:bCs/>
        </w:rPr>
        <w:t>（肉羊精深加工车间</w:t>
      </w:r>
      <w:r>
        <w:rPr>
          <w:b/>
          <w:bCs/>
        </w:rPr>
        <w:t>排气筒</w:t>
      </w:r>
      <w:r>
        <w:rPr>
          <w:rFonts w:hint="eastAsia"/>
          <w:b/>
          <w:bCs/>
        </w:rPr>
        <w:t>，</w:t>
      </w:r>
      <w:r>
        <w:rPr>
          <w:b/>
          <w:bCs/>
        </w:rPr>
        <w:t>点源</w:t>
      </w:r>
      <w:r>
        <w:rPr>
          <w:rFonts w:hint="eastAsia"/>
          <w:b/>
          <w:bCs/>
        </w:rPr>
        <w:t>）</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99"/>
        <w:gridCol w:w="762"/>
        <w:gridCol w:w="749"/>
        <w:gridCol w:w="878"/>
        <w:gridCol w:w="825"/>
        <w:gridCol w:w="711"/>
        <w:gridCol w:w="925"/>
        <w:gridCol w:w="1027"/>
        <w:gridCol w:w="756"/>
        <w:gridCol w:w="702"/>
        <w:gridCol w:w="682"/>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8"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污染源名称</w:t>
            </w:r>
          </w:p>
        </w:tc>
        <w:tc>
          <w:tcPr>
            <w:tcW w:w="771" w:type="pct"/>
            <w:gridSpan w:val="2"/>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排气筒底部中心坐标（°）</w:t>
            </w:r>
          </w:p>
        </w:tc>
        <w:tc>
          <w:tcPr>
            <w:tcW w:w="448"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排气筒底部海拔高度(m)</w:t>
            </w:r>
          </w:p>
        </w:tc>
        <w:tc>
          <w:tcPr>
            <w:tcW w:w="1780" w:type="pct"/>
            <w:gridSpan w:val="4"/>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排气筒参数</w:t>
            </w:r>
          </w:p>
        </w:tc>
        <w:tc>
          <w:tcPr>
            <w:tcW w:w="385"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年排放小时数/h</w:t>
            </w:r>
          </w:p>
        </w:tc>
        <w:tc>
          <w:tcPr>
            <w:tcW w:w="358"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排放工况</w:t>
            </w:r>
          </w:p>
        </w:tc>
        <w:tc>
          <w:tcPr>
            <w:tcW w:w="797" w:type="pct"/>
            <w:gridSpan w:val="2"/>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污染物排放速率/（kg/h）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atLeast"/>
          <w:jc w:val="center"/>
        </w:trPr>
        <w:tc>
          <w:tcPr>
            <w:tcW w:w="458" w:type="pct"/>
            <w:vMerge w:val="continue"/>
            <w:tcBorders>
              <w:tl2br w:val="nil"/>
              <w:tr2bl w:val="nil"/>
            </w:tcBorders>
            <w:shd w:val="clear" w:color="auto" w:fill="auto"/>
            <w:vAlign w:val="center"/>
          </w:tcPr>
          <w:p>
            <w:pPr>
              <w:spacing w:line="240" w:lineRule="auto"/>
              <w:rPr>
                <w:sz w:val="21"/>
                <w:szCs w:val="21"/>
              </w:rPr>
            </w:pPr>
          </w:p>
        </w:tc>
        <w:tc>
          <w:tcPr>
            <w:tcW w:w="388"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X</w:t>
            </w:r>
          </w:p>
        </w:tc>
        <w:tc>
          <w:tcPr>
            <w:tcW w:w="382"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Y</w:t>
            </w:r>
          </w:p>
        </w:tc>
        <w:tc>
          <w:tcPr>
            <w:tcW w:w="448" w:type="pct"/>
            <w:vMerge w:val="continue"/>
            <w:tcBorders>
              <w:tl2br w:val="nil"/>
              <w:tr2bl w:val="nil"/>
            </w:tcBorders>
            <w:shd w:val="clear" w:color="auto" w:fill="auto"/>
            <w:vAlign w:val="center"/>
          </w:tcPr>
          <w:p>
            <w:pPr>
              <w:spacing w:line="240" w:lineRule="auto"/>
              <w:ind w:firstLine="422"/>
              <w:jc w:val="center"/>
              <w:rPr>
                <w:b/>
                <w:bCs/>
                <w:sz w:val="21"/>
                <w:szCs w:val="21"/>
              </w:rPr>
            </w:pPr>
          </w:p>
        </w:tc>
        <w:tc>
          <w:tcPr>
            <w:tcW w:w="421"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高度</w:t>
            </w:r>
          </w:p>
          <w:p>
            <w:pPr>
              <w:spacing w:line="240" w:lineRule="auto"/>
              <w:ind w:firstLine="0" w:firstLineChars="0"/>
              <w:jc w:val="center"/>
              <w:rPr>
                <w:b/>
                <w:bCs/>
                <w:sz w:val="21"/>
                <w:szCs w:val="21"/>
              </w:rPr>
            </w:pPr>
            <w:r>
              <w:rPr>
                <w:b/>
                <w:bCs/>
                <w:sz w:val="21"/>
                <w:szCs w:val="21"/>
              </w:rPr>
              <w:t>(m)</w:t>
            </w:r>
          </w:p>
        </w:tc>
        <w:tc>
          <w:tcPr>
            <w:tcW w:w="362"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内径</w:t>
            </w:r>
          </w:p>
          <w:p>
            <w:pPr>
              <w:spacing w:line="240" w:lineRule="auto"/>
              <w:ind w:firstLine="0" w:firstLineChars="0"/>
              <w:jc w:val="center"/>
              <w:rPr>
                <w:b/>
                <w:bCs/>
                <w:sz w:val="21"/>
                <w:szCs w:val="21"/>
              </w:rPr>
            </w:pPr>
            <w:r>
              <w:rPr>
                <w:b/>
                <w:bCs/>
                <w:sz w:val="21"/>
                <w:szCs w:val="21"/>
              </w:rPr>
              <w:t>(m)</w:t>
            </w:r>
          </w:p>
        </w:tc>
        <w:tc>
          <w:tcPr>
            <w:tcW w:w="472"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烟气温度</w:t>
            </w:r>
          </w:p>
          <w:p>
            <w:pPr>
              <w:spacing w:line="240" w:lineRule="auto"/>
              <w:ind w:firstLine="0" w:firstLineChars="0"/>
              <w:jc w:val="center"/>
              <w:rPr>
                <w:b/>
                <w:bCs/>
                <w:sz w:val="21"/>
                <w:szCs w:val="21"/>
              </w:rPr>
            </w:pPr>
            <w:r>
              <w:rPr>
                <w:rFonts w:hint="eastAsia"/>
                <w:b/>
                <w:bCs/>
                <w:sz w:val="21"/>
                <w:szCs w:val="21"/>
              </w:rPr>
              <w:t>（</w:t>
            </w:r>
            <w:r>
              <w:rPr>
                <w:b/>
                <w:bCs/>
                <w:sz w:val="21"/>
                <w:szCs w:val="21"/>
              </w:rPr>
              <w:t>℃</w:t>
            </w:r>
            <w:r>
              <w:rPr>
                <w:rFonts w:hint="eastAsia"/>
                <w:b/>
                <w:bCs/>
                <w:sz w:val="21"/>
                <w:szCs w:val="21"/>
              </w:rPr>
              <w:t>）</w:t>
            </w:r>
          </w:p>
        </w:tc>
        <w:tc>
          <w:tcPr>
            <w:tcW w:w="524"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烟气流速</w:t>
            </w:r>
          </w:p>
          <w:p>
            <w:pPr>
              <w:spacing w:line="240" w:lineRule="auto"/>
              <w:ind w:firstLine="0" w:firstLineChars="0"/>
              <w:jc w:val="center"/>
              <w:rPr>
                <w:b/>
                <w:bCs/>
                <w:sz w:val="21"/>
                <w:szCs w:val="21"/>
              </w:rPr>
            </w:pPr>
            <w:r>
              <w:rPr>
                <w:rFonts w:hint="eastAsia"/>
                <w:b/>
                <w:bCs/>
                <w:sz w:val="21"/>
                <w:szCs w:val="21"/>
              </w:rPr>
              <w:t>（</w:t>
            </w:r>
            <w:r>
              <w:rPr>
                <w:b/>
                <w:bCs/>
                <w:sz w:val="21"/>
                <w:szCs w:val="21"/>
              </w:rPr>
              <w:t>m/s</w:t>
            </w:r>
            <w:r>
              <w:rPr>
                <w:rFonts w:hint="eastAsia"/>
                <w:b/>
                <w:bCs/>
                <w:sz w:val="21"/>
                <w:szCs w:val="21"/>
              </w:rPr>
              <w:t>）</w:t>
            </w:r>
          </w:p>
        </w:tc>
        <w:tc>
          <w:tcPr>
            <w:tcW w:w="385" w:type="pct"/>
            <w:vMerge w:val="continue"/>
            <w:tcBorders>
              <w:tl2br w:val="nil"/>
              <w:tr2bl w:val="nil"/>
            </w:tcBorders>
            <w:shd w:val="clear" w:color="auto" w:fill="auto"/>
            <w:vAlign w:val="center"/>
          </w:tcPr>
          <w:p>
            <w:pPr>
              <w:spacing w:line="240" w:lineRule="auto"/>
              <w:rPr>
                <w:sz w:val="21"/>
                <w:szCs w:val="21"/>
              </w:rPr>
            </w:pPr>
          </w:p>
        </w:tc>
        <w:tc>
          <w:tcPr>
            <w:tcW w:w="358" w:type="pct"/>
            <w:vMerge w:val="continue"/>
            <w:tcBorders>
              <w:tl2br w:val="nil"/>
              <w:tr2bl w:val="nil"/>
            </w:tcBorders>
            <w:vAlign w:val="center"/>
          </w:tcPr>
          <w:p>
            <w:pPr>
              <w:spacing w:line="240" w:lineRule="auto"/>
              <w:rPr>
                <w:sz w:val="21"/>
                <w:szCs w:val="21"/>
              </w:rPr>
            </w:pPr>
          </w:p>
        </w:tc>
        <w:tc>
          <w:tcPr>
            <w:tcW w:w="797" w:type="pct"/>
            <w:gridSpan w:val="2"/>
            <w:vMerge w:val="continue"/>
            <w:tcBorders>
              <w:tl2br w:val="nil"/>
              <w:tr2bl w:val="nil"/>
            </w:tcBorders>
            <w:vAlign w:val="center"/>
          </w:tcPr>
          <w:p>
            <w:pPr>
              <w:spacing w:line="240" w:lineRule="auto"/>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4" w:hRule="atLeast"/>
          <w:jc w:val="center"/>
        </w:trPr>
        <w:tc>
          <w:tcPr>
            <w:tcW w:w="458"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肉羊精深加工车间</w:t>
            </w:r>
            <w:r>
              <w:rPr>
                <w:sz w:val="21"/>
                <w:szCs w:val="21"/>
              </w:rPr>
              <w:t>排气筒</w:t>
            </w:r>
          </w:p>
        </w:tc>
        <w:tc>
          <w:tcPr>
            <w:tcW w:w="388" w:type="pct"/>
            <w:vMerge w:val="restart"/>
            <w:tcBorders>
              <w:tl2br w:val="nil"/>
              <w:tr2bl w:val="nil"/>
            </w:tcBorders>
            <w:vAlign w:val="center"/>
          </w:tcPr>
          <w:p>
            <w:pPr>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100.25318</w:t>
            </w:r>
          </w:p>
        </w:tc>
        <w:tc>
          <w:tcPr>
            <w:tcW w:w="382" w:type="pct"/>
            <w:vMerge w:val="restart"/>
            <w:tcBorders>
              <w:tl2br w:val="nil"/>
              <w:tr2bl w:val="nil"/>
            </w:tcBorders>
            <w:vAlign w:val="center"/>
          </w:tcPr>
          <w:p>
            <w:pPr>
              <w:spacing w:line="240" w:lineRule="auto"/>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38.956019</w:t>
            </w:r>
          </w:p>
        </w:tc>
        <w:tc>
          <w:tcPr>
            <w:tcW w:w="448" w:type="pct"/>
            <w:vMerge w:val="restar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sz w:val="21"/>
                <w:szCs w:val="21"/>
              </w:rPr>
              <w:t>15</w:t>
            </w:r>
            <w:r>
              <w:rPr>
                <w:rFonts w:hint="eastAsia"/>
                <w:sz w:val="21"/>
                <w:szCs w:val="21"/>
                <w:lang w:val="en-US" w:eastAsia="zh-CN"/>
              </w:rPr>
              <w:t>50</w:t>
            </w:r>
            <w:r>
              <w:rPr>
                <w:sz w:val="21"/>
                <w:szCs w:val="21"/>
              </w:rPr>
              <w:t>.</w:t>
            </w:r>
            <w:r>
              <w:rPr>
                <w:rFonts w:hint="eastAsia"/>
                <w:sz w:val="21"/>
                <w:szCs w:val="21"/>
                <w:lang w:val="en-US" w:eastAsia="zh-CN"/>
              </w:rPr>
              <w:t>29</w:t>
            </w:r>
          </w:p>
        </w:tc>
        <w:tc>
          <w:tcPr>
            <w:tcW w:w="421" w:type="pct"/>
            <w:vMerge w:val="restart"/>
            <w:tcBorders>
              <w:tl2br w:val="nil"/>
              <w:tr2bl w:val="nil"/>
            </w:tcBorders>
            <w:vAlign w:val="center"/>
          </w:tcPr>
          <w:p>
            <w:pPr>
              <w:spacing w:line="240" w:lineRule="auto"/>
              <w:ind w:firstLine="0" w:firstLineChars="0"/>
              <w:jc w:val="center"/>
              <w:rPr>
                <w:sz w:val="21"/>
                <w:szCs w:val="21"/>
              </w:rPr>
            </w:pPr>
            <w:r>
              <w:rPr>
                <w:sz w:val="21"/>
                <w:szCs w:val="21"/>
              </w:rPr>
              <w:t>15.0</w:t>
            </w:r>
          </w:p>
        </w:tc>
        <w:tc>
          <w:tcPr>
            <w:tcW w:w="362" w:type="pct"/>
            <w:vMerge w:val="restar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1.20</w:t>
            </w:r>
          </w:p>
        </w:tc>
        <w:tc>
          <w:tcPr>
            <w:tcW w:w="472" w:type="pct"/>
            <w:vMerge w:val="restart"/>
            <w:tcBorders>
              <w:tl2br w:val="nil"/>
              <w:tr2bl w:val="nil"/>
            </w:tcBorders>
            <w:vAlign w:val="center"/>
          </w:tcPr>
          <w:p>
            <w:pPr>
              <w:spacing w:line="240" w:lineRule="auto"/>
              <w:ind w:firstLine="0" w:firstLineChars="0"/>
              <w:jc w:val="center"/>
              <w:rPr>
                <w:sz w:val="21"/>
                <w:szCs w:val="21"/>
              </w:rPr>
            </w:pPr>
            <w:r>
              <w:rPr>
                <w:sz w:val="21"/>
                <w:szCs w:val="21"/>
              </w:rPr>
              <w:t>25.0</w:t>
            </w:r>
          </w:p>
        </w:tc>
        <w:tc>
          <w:tcPr>
            <w:tcW w:w="52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12.28</w:t>
            </w:r>
          </w:p>
        </w:tc>
        <w:tc>
          <w:tcPr>
            <w:tcW w:w="38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8760</w:t>
            </w:r>
          </w:p>
        </w:tc>
        <w:tc>
          <w:tcPr>
            <w:tcW w:w="358" w:type="pct"/>
            <w:vMerge w:val="restart"/>
            <w:tcBorders>
              <w:tl2br w:val="nil"/>
              <w:tr2bl w:val="nil"/>
            </w:tcBorders>
            <w:vAlign w:val="center"/>
          </w:tcPr>
          <w:p>
            <w:pPr>
              <w:spacing w:line="240" w:lineRule="auto"/>
              <w:ind w:firstLine="0" w:firstLineChars="0"/>
              <w:jc w:val="center"/>
              <w:rPr>
                <w:sz w:val="21"/>
                <w:szCs w:val="21"/>
              </w:rPr>
            </w:pPr>
            <w:r>
              <w:rPr>
                <w:sz w:val="21"/>
                <w:szCs w:val="21"/>
              </w:rPr>
              <w:t>正常</w:t>
            </w:r>
          </w:p>
          <w:p>
            <w:pPr>
              <w:spacing w:line="240" w:lineRule="auto"/>
              <w:ind w:firstLine="0" w:firstLineChars="0"/>
              <w:jc w:val="center"/>
              <w:rPr>
                <w:sz w:val="21"/>
                <w:szCs w:val="21"/>
              </w:rPr>
            </w:pPr>
            <w:r>
              <w:rPr>
                <w:sz w:val="21"/>
                <w:szCs w:val="21"/>
              </w:rPr>
              <w:t>工况</w:t>
            </w:r>
          </w:p>
        </w:tc>
        <w:tc>
          <w:tcPr>
            <w:tcW w:w="348"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449" w:type="pct"/>
            <w:tcBorders>
              <w:tl2br w:val="nil"/>
              <w:tr2bl w:val="nil"/>
            </w:tcBorders>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rPr>
              <w:t>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58" w:type="pct"/>
            <w:vMerge w:val="continue"/>
            <w:tcBorders>
              <w:tl2br w:val="nil"/>
              <w:tr2bl w:val="nil"/>
            </w:tcBorders>
            <w:vAlign w:val="center"/>
          </w:tcPr>
          <w:p>
            <w:pPr>
              <w:spacing w:line="240" w:lineRule="auto"/>
              <w:ind w:firstLine="0" w:firstLineChars="0"/>
              <w:jc w:val="center"/>
            </w:pPr>
          </w:p>
        </w:tc>
        <w:tc>
          <w:tcPr>
            <w:tcW w:w="388" w:type="pct"/>
            <w:vMerge w:val="continue"/>
            <w:tcBorders>
              <w:tl2br w:val="nil"/>
              <w:tr2bl w:val="nil"/>
            </w:tcBorders>
            <w:vAlign w:val="center"/>
          </w:tcPr>
          <w:p>
            <w:pPr>
              <w:spacing w:line="240" w:lineRule="auto"/>
              <w:ind w:firstLine="0" w:firstLineChars="0"/>
              <w:jc w:val="center"/>
            </w:pPr>
          </w:p>
        </w:tc>
        <w:tc>
          <w:tcPr>
            <w:tcW w:w="382" w:type="pct"/>
            <w:vMerge w:val="continue"/>
            <w:tcBorders>
              <w:tl2br w:val="nil"/>
              <w:tr2bl w:val="nil"/>
            </w:tcBorders>
            <w:vAlign w:val="center"/>
          </w:tcPr>
          <w:p>
            <w:pPr>
              <w:spacing w:line="240" w:lineRule="auto"/>
              <w:ind w:firstLine="0" w:firstLineChars="0"/>
              <w:jc w:val="center"/>
            </w:pPr>
          </w:p>
        </w:tc>
        <w:tc>
          <w:tcPr>
            <w:tcW w:w="448" w:type="pct"/>
            <w:vMerge w:val="continue"/>
            <w:tcBorders>
              <w:tl2br w:val="nil"/>
              <w:tr2bl w:val="nil"/>
            </w:tcBorders>
            <w:vAlign w:val="center"/>
          </w:tcPr>
          <w:p>
            <w:pPr>
              <w:spacing w:line="240" w:lineRule="auto"/>
              <w:ind w:firstLine="0" w:firstLineChars="0"/>
              <w:jc w:val="center"/>
            </w:pPr>
          </w:p>
        </w:tc>
        <w:tc>
          <w:tcPr>
            <w:tcW w:w="421" w:type="pct"/>
            <w:vMerge w:val="continue"/>
            <w:tcBorders>
              <w:tl2br w:val="nil"/>
              <w:tr2bl w:val="nil"/>
            </w:tcBorders>
            <w:vAlign w:val="center"/>
          </w:tcPr>
          <w:p>
            <w:pPr>
              <w:spacing w:line="240" w:lineRule="auto"/>
              <w:ind w:firstLine="0" w:firstLineChars="0"/>
              <w:jc w:val="center"/>
            </w:pPr>
          </w:p>
        </w:tc>
        <w:tc>
          <w:tcPr>
            <w:tcW w:w="362" w:type="pct"/>
            <w:vMerge w:val="continue"/>
            <w:tcBorders>
              <w:tl2br w:val="nil"/>
              <w:tr2bl w:val="nil"/>
            </w:tcBorders>
            <w:vAlign w:val="center"/>
          </w:tcPr>
          <w:p>
            <w:pPr>
              <w:spacing w:line="240" w:lineRule="auto"/>
              <w:ind w:firstLine="0" w:firstLineChars="0"/>
              <w:jc w:val="center"/>
            </w:pPr>
          </w:p>
        </w:tc>
        <w:tc>
          <w:tcPr>
            <w:tcW w:w="472" w:type="pct"/>
            <w:vMerge w:val="continue"/>
            <w:tcBorders>
              <w:tl2br w:val="nil"/>
              <w:tr2bl w:val="nil"/>
            </w:tcBorders>
            <w:vAlign w:val="center"/>
          </w:tcPr>
          <w:p>
            <w:pPr>
              <w:spacing w:line="240" w:lineRule="auto"/>
              <w:ind w:firstLine="0" w:firstLineChars="0"/>
              <w:jc w:val="center"/>
            </w:pPr>
          </w:p>
        </w:tc>
        <w:tc>
          <w:tcPr>
            <w:tcW w:w="524" w:type="pct"/>
            <w:vMerge w:val="continue"/>
            <w:tcBorders>
              <w:tl2br w:val="nil"/>
              <w:tr2bl w:val="nil"/>
            </w:tcBorders>
            <w:vAlign w:val="center"/>
          </w:tcPr>
          <w:p>
            <w:pPr>
              <w:spacing w:line="240" w:lineRule="auto"/>
              <w:ind w:firstLine="0" w:firstLineChars="0"/>
              <w:jc w:val="center"/>
            </w:pPr>
          </w:p>
        </w:tc>
        <w:tc>
          <w:tcPr>
            <w:tcW w:w="385" w:type="pct"/>
            <w:vMerge w:val="continue"/>
            <w:tcBorders>
              <w:tl2br w:val="nil"/>
              <w:tr2bl w:val="nil"/>
            </w:tcBorders>
            <w:vAlign w:val="center"/>
          </w:tcPr>
          <w:p>
            <w:pPr>
              <w:spacing w:line="240" w:lineRule="auto"/>
              <w:ind w:firstLine="0" w:firstLineChars="0"/>
              <w:jc w:val="center"/>
            </w:pPr>
          </w:p>
        </w:tc>
        <w:tc>
          <w:tcPr>
            <w:tcW w:w="358" w:type="pct"/>
            <w:vMerge w:val="continue"/>
            <w:tcBorders>
              <w:tl2br w:val="nil"/>
              <w:tr2bl w:val="nil"/>
            </w:tcBorders>
            <w:vAlign w:val="center"/>
          </w:tcPr>
          <w:p>
            <w:pPr>
              <w:spacing w:line="240" w:lineRule="auto"/>
              <w:ind w:firstLine="0" w:firstLineChars="0"/>
              <w:jc w:val="center"/>
            </w:pPr>
          </w:p>
        </w:tc>
        <w:tc>
          <w:tcPr>
            <w:tcW w:w="348" w:type="pct"/>
            <w:tcBorders>
              <w:tl2br w:val="nil"/>
              <w:tr2bl w:val="nil"/>
            </w:tcBorders>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449" w:type="pct"/>
            <w:tcBorders>
              <w:tl2br w:val="nil"/>
              <w:tr2bl w:val="nil"/>
            </w:tcBorders>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rPr>
              <w:t>0.000</w:t>
            </w:r>
            <w:r>
              <w:rPr>
                <w:rFonts w:hint="default" w:ascii="Times New Roman" w:hAnsi="Times New Roman" w:eastAsia="宋体" w:cs="Times New Roman"/>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2" w:hRule="atLeast"/>
          <w:jc w:val="center"/>
        </w:trPr>
        <w:tc>
          <w:tcPr>
            <w:tcW w:w="5000" w:type="pct"/>
            <w:gridSpan w:val="12"/>
            <w:tcBorders>
              <w:tl2br w:val="nil"/>
              <w:tr2bl w:val="nil"/>
            </w:tcBorders>
            <w:vAlign w:val="center"/>
          </w:tcPr>
          <w:p>
            <w:pPr>
              <w:spacing w:line="240" w:lineRule="auto"/>
              <w:ind w:firstLine="0" w:firstLineChars="0"/>
              <w:rPr>
                <w:sz w:val="21"/>
                <w:szCs w:val="21"/>
              </w:rPr>
            </w:pPr>
            <w:r>
              <w:rPr>
                <w:rFonts w:hint="eastAsia"/>
                <w:sz w:val="21"/>
                <w:szCs w:val="21"/>
              </w:rPr>
              <w:t>注：年运行365d，每天</w:t>
            </w:r>
            <w:r>
              <w:rPr>
                <w:rFonts w:hint="eastAsia"/>
                <w:sz w:val="21"/>
                <w:szCs w:val="21"/>
                <w:lang w:val="en-US" w:eastAsia="zh-CN"/>
              </w:rPr>
              <w:t>24</w:t>
            </w:r>
            <w:r>
              <w:rPr>
                <w:rFonts w:hint="eastAsia"/>
                <w:sz w:val="21"/>
                <w:szCs w:val="21"/>
              </w:rPr>
              <w:t>h</w:t>
            </w:r>
          </w:p>
        </w:tc>
      </w:tr>
    </w:tbl>
    <w:p>
      <w:pPr>
        <w:ind w:firstLine="482"/>
      </w:pPr>
      <w:r>
        <w:rPr>
          <w:b/>
          <w:bCs/>
        </w:rPr>
        <w:t>②</w:t>
      </w:r>
      <w:r>
        <w:rPr>
          <w:rFonts w:hint="eastAsia"/>
          <w:b/>
          <w:bCs/>
        </w:rPr>
        <w:t>无组织废气</w:t>
      </w:r>
    </w:p>
    <w:p>
      <w:pPr>
        <w:ind w:firstLine="480"/>
        <w:rPr>
          <w:b/>
          <w:bCs/>
        </w:rPr>
      </w:pPr>
      <w:r>
        <w:rPr>
          <w:rFonts w:hint="eastAsia"/>
        </w:rPr>
        <w:t>无</w:t>
      </w:r>
      <w:r>
        <w:t>组织废气污染源强和排放参数见表</w:t>
      </w:r>
      <w:r>
        <w:rPr>
          <w:rFonts w:hint="eastAsia"/>
          <w:lang w:val="en-US" w:eastAsia="zh-CN"/>
        </w:rPr>
        <w:t>5</w:t>
      </w:r>
      <w:r>
        <w:rPr>
          <w:rFonts w:hint="eastAsia"/>
        </w:rPr>
        <w:t>.11</w:t>
      </w:r>
      <w:r>
        <w:t>。</w:t>
      </w:r>
    </w:p>
    <w:p>
      <w:pPr>
        <w:spacing w:line="240" w:lineRule="auto"/>
        <w:ind w:firstLine="482"/>
        <w:jc w:val="center"/>
        <w:rPr>
          <w:b/>
          <w:bCs/>
        </w:rPr>
      </w:pPr>
      <w:r>
        <w:rPr>
          <w:b/>
          <w:bCs/>
        </w:rPr>
        <w:t>表</w:t>
      </w:r>
      <w:r>
        <w:rPr>
          <w:rFonts w:hint="eastAsia"/>
          <w:b/>
          <w:bCs/>
          <w:lang w:val="en-US" w:eastAsia="zh-CN"/>
        </w:rPr>
        <w:t>5</w:t>
      </w:r>
      <w:r>
        <w:rPr>
          <w:rFonts w:hint="eastAsia"/>
          <w:b/>
          <w:bCs/>
        </w:rPr>
        <w:t>.11</w:t>
      </w:r>
      <w:r>
        <w:rPr>
          <w:b/>
          <w:bCs/>
        </w:rPr>
        <w:t xml:space="preserve">  </w:t>
      </w:r>
      <w:r>
        <w:rPr>
          <w:rFonts w:hint="eastAsia"/>
          <w:b/>
          <w:bCs/>
        </w:rPr>
        <w:t xml:space="preserve"> </w:t>
      </w:r>
      <w:r>
        <w:rPr>
          <w:b/>
          <w:bCs/>
        </w:rPr>
        <w:t xml:space="preserve"> </w:t>
      </w:r>
      <w:r>
        <w:rPr>
          <w:rFonts w:hint="eastAsia"/>
          <w:b/>
          <w:bCs/>
        </w:rPr>
        <w:t>无组织</w:t>
      </w:r>
      <w:r>
        <w:rPr>
          <w:b/>
          <w:bCs/>
        </w:rPr>
        <w:t>废气污染源参数一览表</w:t>
      </w:r>
      <w:r>
        <w:rPr>
          <w:rFonts w:hint="eastAsia"/>
          <w:b/>
          <w:bCs/>
        </w:rPr>
        <w:t>（待宰圈，</w:t>
      </w:r>
      <w:r>
        <w:rPr>
          <w:b/>
          <w:bCs/>
        </w:rPr>
        <w:t>矩形面源</w:t>
      </w:r>
      <w:r>
        <w:rPr>
          <w:rFonts w:hint="eastAsia"/>
          <w:b/>
          <w:bCs/>
        </w:rPr>
        <w:t>）</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800"/>
        <w:gridCol w:w="700"/>
        <w:gridCol w:w="925"/>
        <w:gridCol w:w="700"/>
        <w:gridCol w:w="662"/>
        <w:gridCol w:w="1025"/>
        <w:gridCol w:w="938"/>
        <w:gridCol w:w="825"/>
        <w:gridCol w:w="825"/>
        <w:gridCol w:w="712"/>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污染源名称</w:t>
            </w:r>
          </w:p>
        </w:tc>
        <w:tc>
          <w:tcPr>
            <w:tcW w:w="753" w:type="pct"/>
            <w:gridSpan w:val="2"/>
            <w:tcBorders>
              <w:tl2br w:val="nil"/>
              <w:tr2bl w:val="nil"/>
            </w:tcBorders>
            <w:shd w:val="clear" w:color="auto" w:fill="auto"/>
            <w:vAlign w:val="center"/>
          </w:tcPr>
          <w:p>
            <w:pPr>
              <w:spacing w:line="240" w:lineRule="auto"/>
              <w:ind w:firstLine="0" w:firstLineChars="0"/>
              <w:jc w:val="center"/>
              <w:rPr>
                <w:b/>
                <w:bCs/>
                <w:sz w:val="21"/>
                <w:szCs w:val="21"/>
              </w:rPr>
            </w:pPr>
            <w:r>
              <w:rPr>
                <w:rFonts w:hint="eastAsia"/>
                <w:b/>
                <w:bCs/>
                <w:sz w:val="21"/>
                <w:szCs w:val="21"/>
              </w:rPr>
              <w:t>面源坐标</w:t>
            </w:r>
          </w:p>
        </w:tc>
        <w:tc>
          <w:tcPr>
            <w:tcW w:w="464"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面源海拔高度/m</w:t>
            </w:r>
          </w:p>
        </w:tc>
        <w:tc>
          <w:tcPr>
            <w:tcW w:w="1670" w:type="pct"/>
            <w:gridSpan w:val="4"/>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矩形面源</w:t>
            </w:r>
          </w:p>
        </w:tc>
        <w:tc>
          <w:tcPr>
            <w:tcW w:w="414"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年排放小时数/h</w:t>
            </w:r>
          </w:p>
        </w:tc>
        <w:tc>
          <w:tcPr>
            <w:tcW w:w="414" w:type="pct"/>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排放工况</w:t>
            </w:r>
          </w:p>
        </w:tc>
        <w:tc>
          <w:tcPr>
            <w:tcW w:w="873" w:type="pct"/>
            <w:gridSpan w:val="2"/>
            <w:vMerge w:val="restar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排放速率</w:t>
            </w:r>
          </w:p>
          <w:p>
            <w:pPr>
              <w:pStyle w:val="2"/>
              <w:jc w:val="center"/>
              <w:rPr>
                <w:b/>
                <w:bCs/>
                <w:sz w:val="21"/>
                <w:szCs w:val="21"/>
              </w:rPr>
            </w:pPr>
            <w:r>
              <w:rPr>
                <w:rFonts w:hint="eastAsia"/>
                <w:b/>
                <w:bCs/>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 w:type="pct"/>
            <w:vMerge w:val="continue"/>
            <w:tcBorders>
              <w:tl2br w:val="nil"/>
              <w:tr2bl w:val="nil"/>
            </w:tcBorders>
            <w:shd w:val="clear" w:color="auto" w:fill="auto"/>
            <w:vAlign w:val="center"/>
          </w:tcPr>
          <w:p>
            <w:pPr>
              <w:spacing w:line="240" w:lineRule="auto"/>
              <w:rPr>
                <w:sz w:val="21"/>
                <w:szCs w:val="21"/>
              </w:rPr>
            </w:pPr>
          </w:p>
        </w:tc>
        <w:tc>
          <w:tcPr>
            <w:tcW w:w="401"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X</w:t>
            </w:r>
          </w:p>
        </w:tc>
        <w:tc>
          <w:tcPr>
            <w:tcW w:w="351"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Y</w:t>
            </w:r>
          </w:p>
        </w:tc>
        <w:tc>
          <w:tcPr>
            <w:tcW w:w="464" w:type="pct"/>
            <w:vMerge w:val="continue"/>
            <w:tcBorders>
              <w:tl2br w:val="nil"/>
              <w:tr2bl w:val="nil"/>
            </w:tcBorders>
            <w:shd w:val="clear" w:color="auto" w:fill="auto"/>
            <w:vAlign w:val="center"/>
          </w:tcPr>
          <w:p>
            <w:pPr>
              <w:spacing w:line="240" w:lineRule="auto"/>
              <w:ind w:firstLine="422"/>
              <w:jc w:val="center"/>
              <w:rPr>
                <w:b/>
                <w:bCs/>
                <w:sz w:val="21"/>
                <w:szCs w:val="21"/>
              </w:rPr>
            </w:pPr>
          </w:p>
        </w:tc>
        <w:tc>
          <w:tcPr>
            <w:tcW w:w="351"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长度/m</w:t>
            </w:r>
          </w:p>
        </w:tc>
        <w:tc>
          <w:tcPr>
            <w:tcW w:w="332"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宽度/m</w:t>
            </w:r>
          </w:p>
        </w:tc>
        <w:tc>
          <w:tcPr>
            <w:tcW w:w="514"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与正北向夹角/°</w:t>
            </w:r>
          </w:p>
        </w:tc>
        <w:tc>
          <w:tcPr>
            <w:tcW w:w="471" w:type="pct"/>
            <w:tcBorders>
              <w:tl2br w:val="nil"/>
              <w:tr2bl w:val="nil"/>
            </w:tcBorders>
            <w:shd w:val="clear" w:color="auto" w:fill="auto"/>
            <w:vAlign w:val="center"/>
          </w:tcPr>
          <w:p>
            <w:pPr>
              <w:spacing w:line="240" w:lineRule="auto"/>
              <w:ind w:firstLine="0" w:firstLineChars="0"/>
              <w:jc w:val="center"/>
              <w:rPr>
                <w:b/>
                <w:bCs/>
                <w:sz w:val="21"/>
                <w:szCs w:val="21"/>
              </w:rPr>
            </w:pPr>
            <w:r>
              <w:rPr>
                <w:b/>
                <w:bCs/>
                <w:sz w:val="21"/>
                <w:szCs w:val="21"/>
              </w:rPr>
              <w:t>有效高度/m</w:t>
            </w:r>
          </w:p>
        </w:tc>
        <w:tc>
          <w:tcPr>
            <w:tcW w:w="414" w:type="pct"/>
            <w:vMerge w:val="continue"/>
            <w:tcBorders>
              <w:tl2br w:val="nil"/>
              <w:tr2bl w:val="nil"/>
            </w:tcBorders>
            <w:vAlign w:val="center"/>
          </w:tcPr>
          <w:p>
            <w:pPr>
              <w:spacing w:line="240" w:lineRule="auto"/>
              <w:rPr>
                <w:sz w:val="21"/>
                <w:szCs w:val="21"/>
              </w:rPr>
            </w:pPr>
          </w:p>
        </w:tc>
        <w:tc>
          <w:tcPr>
            <w:tcW w:w="414" w:type="pct"/>
            <w:vMerge w:val="continue"/>
            <w:tcBorders>
              <w:tl2br w:val="nil"/>
              <w:tr2bl w:val="nil"/>
            </w:tcBorders>
            <w:vAlign w:val="center"/>
          </w:tcPr>
          <w:p>
            <w:pPr>
              <w:spacing w:line="240" w:lineRule="auto"/>
              <w:rPr>
                <w:sz w:val="21"/>
                <w:szCs w:val="21"/>
              </w:rPr>
            </w:pPr>
          </w:p>
        </w:tc>
        <w:tc>
          <w:tcPr>
            <w:tcW w:w="873" w:type="pct"/>
            <w:gridSpan w:val="2"/>
            <w:vMerge w:val="continue"/>
            <w:tcBorders>
              <w:tl2br w:val="nil"/>
              <w:tr2bl w:val="nil"/>
            </w:tcBorders>
            <w:vAlign w:val="center"/>
          </w:tcPr>
          <w:p>
            <w:pPr>
              <w:spacing w:line="240" w:lineRule="auto"/>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409"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待宰圈</w:t>
            </w:r>
          </w:p>
        </w:tc>
        <w:tc>
          <w:tcPr>
            <w:tcW w:w="401" w:type="pct"/>
            <w:vMerge w:val="restart"/>
            <w:tcBorders>
              <w:tl2br w:val="nil"/>
              <w:tr2bl w:val="nil"/>
            </w:tcBorders>
            <w:vAlign w:val="center"/>
          </w:tcPr>
          <w:p>
            <w:pPr>
              <w:spacing w:line="240" w:lineRule="auto"/>
              <w:ind w:firstLine="0" w:firstLineChars="0"/>
              <w:jc w:val="center"/>
              <w:rPr>
                <w:sz w:val="21"/>
                <w:szCs w:val="21"/>
              </w:rPr>
            </w:pPr>
            <w:r>
              <w:rPr>
                <w:sz w:val="21"/>
                <w:szCs w:val="21"/>
              </w:rPr>
              <w:t>100.255059</w:t>
            </w:r>
          </w:p>
        </w:tc>
        <w:tc>
          <w:tcPr>
            <w:tcW w:w="351" w:type="pct"/>
            <w:vMerge w:val="restart"/>
            <w:tcBorders>
              <w:tl2br w:val="nil"/>
              <w:tr2bl w:val="nil"/>
            </w:tcBorders>
            <w:vAlign w:val="center"/>
          </w:tcPr>
          <w:p>
            <w:pPr>
              <w:spacing w:line="240" w:lineRule="auto"/>
              <w:ind w:firstLine="0" w:firstLineChars="0"/>
              <w:jc w:val="center"/>
              <w:rPr>
                <w:sz w:val="21"/>
                <w:szCs w:val="21"/>
              </w:rPr>
            </w:pPr>
            <w:r>
              <w:rPr>
                <w:sz w:val="21"/>
                <w:szCs w:val="21"/>
              </w:rPr>
              <w:t>38.955474</w:t>
            </w:r>
          </w:p>
        </w:tc>
        <w:tc>
          <w:tcPr>
            <w:tcW w:w="46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1549.34</w:t>
            </w:r>
          </w:p>
        </w:tc>
        <w:tc>
          <w:tcPr>
            <w:tcW w:w="351" w:type="pct"/>
            <w:vMerge w:val="restar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30</w:t>
            </w:r>
          </w:p>
        </w:tc>
        <w:tc>
          <w:tcPr>
            <w:tcW w:w="332" w:type="pct"/>
            <w:vMerge w:val="restar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18</w:t>
            </w:r>
          </w:p>
        </w:tc>
        <w:tc>
          <w:tcPr>
            <w:tcW w:w="51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1</w:t>
            </w:r>
            <w:r>
              <w:rPr>
                <w:sz w:val="21"/>
                <w:szCs w:val="21"/>
              </w:rPr>
              <w:t>4</w:t>
            </w:r>
            <w:r>
              <w:rPr>
                <w:rFonts w:hint="eastAsia"/>
                <w:sz w:val="21"/>
                <w:szCs w:val="21"/>
              </w:rPr>
              <w:t>.</w:t>
            </w:r>
            <w:r>
              <w:rPr>
                <w:sz w:val="21"/>
                <w:szCs w:val="21"/>
              </w:rPr>
              <w:t>5</w:t>
            </w:r>
          </w:p>
        </w:tc>
        <w:tc>
          <w:tcPr>
            <w:tcW w:w="471" w:type="pct"/>
            <w:vMerge w:val="restart"/>
            <w:tcBorders>
              <w:tl2br w:val="nil"/>
              <w:tr2bl w:val="nil"/>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4.5</w:t>
            </w:r>
          </w:p>
        </w:tc>
        <w:tc>
          <w:tcPr>
            <w:tcW w:w="414"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8760</w:t>
            </w:r>
          </w:p>
        </w:tc>
        <w:tc>
          <w:tcPr>
            <w:tcW w:w="414" w:type="pct"/>
            <w:vMerge w:val="restart"/>
            <w:tcBorders>
              <w:tl2br w:val="nil"/>
              <w:tr2bl w:val="nil"/>
            </w:tcBorders>
            <w:vAlign w:val="center"/>
          </w:tcPr>
          <w:p>
            <w:pPr>
              <w:spacing w:line="240" w:lineRule="auto"/>
              <w:ind w:firstLine="0" w:firstLineChars="0"/>
              <w:jc w:val="center"/>
              <w:rPr>
                <w:sz w:val="21"/>
                <w:szCs w:val="21"/>
              </w:rPr>
            </w:pPr>
            <w:r>
              <w:rPr>
                <w:sz w:val="21"/>
                <w:szCs w:val="21"/>
              </w:rPr>
              <w:t>正常工况</w:t>
            </w:r>
          </w:p>
        </w:tc>
        <w:tc>
          <w:tcPr>
            <w:tcW w:w="357"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516" w:type="pct"/>
            <w:tcBorders>
              <w:tl2br w:val="nil"/>
              <w:tr2bl w:val="nil"/>
            </w:tcBorders>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rPr>
              <w:t>0.0009</w:t>
            </w:r>
            <w:r>
              <w:rPr>
                <w:rFonts w:hint="default" w:ascii="Times New Roman" w:hAnsi="Times New Roman" w:eastAsia="宋体" w:cs="Times New Roman"/>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409" w:type="pct"/>
            <w:vMerge w:val="continue"/>
            <w:tcBorders>
              <w:tl2br w:val="nil"/>
              <w:tr2bl w:val="nil"/>
            </w:tcBorders>
            <w:vAlign w:val="center"/>
          </w:tcPr>
          <w:p>
            <w:pPr>
              <w:spacing w:line="240" w:lineRule="auto"/>
              <w:ind w:firstLine="0" w:firstLineChars="0"/>
              <w:jc w:val="center"/>
            </w:pPr>
          </w:p>
        </w:tc>
        <w:tc>
          <w:tcPr>
            <w:tcW w:w="401" w:type="pct"/>
            <w:vMerge w:val="continue"/>
            <w:tcBorders>
              <w:tl2br w:val="nil"/>
              <w:tr2bl w:val="nil"/>
            </w:tcBorders>
            <w:vAlign w:val="center"/>
          </w:tcPr>
          <w:p>
            <w:pPr>
              <w:spacing w:line="240" w:lineRule="auto"/>
              <w:ind w:firstLine="0" w:firstLineChars="0"/>
              <w:jc w:val="center"/>
            </w:pPr>
          </w:p>
        </w:tc>
        <w:tc>
          <w:tcPr>
            <w:tcW w:w="351" w:type="pct"/>
            <w:vMerge w:val="continue"/>
            <w:tcBorders>
              <w:tl2br w:val="nil"/>
              <w:tr2bl w:val="nil"/>
            </w:tcBorders>
            <w:vAlign w:val="center"/>
          </w:tcPr>
          <w:p>
            <w:pPr>
              <w:spacing w:line="240" w:lineRule="auto"/>
              <w:ind w:firstLine="0" w:firstLineChars="0"/>
              <w:jc w:val="center"/>
            </w:pPr>
          </w:p>
        </w:tc>
        <w:tc>
          <w:tcPr>
            <w:tcW w:w="464" w:type="pct"/>
            <w:vMerge w:val="continue"/>
            <w:tcBorders>
              <w:tl2br w:val="nil"/>
              <w:tr2bl w:val="nil"/>
            </w:tcBorders>
            <w:vAlign w:val="center"/>
          </w:tcPr>
          <w:p>
            <w:pPr>
              <w:spacing w:line="240" w:lineRule="auto"/>
              <w:ind w:firstLine="0" w:firstLineChars="0"/>
              <w:jc w:val="center"/>
            </w:pPr>
          </w:p>
        </w:tc>
        <w:tc>
          <w:tcPr>
            <w:tcW w:w="351" w:type="pct"/>
            <w:vMerge w:val="continue"/>
            <w:tcBorders>
              <w:tl2br w:val="nil"/>
              <w:tr2bl w:val="nil"/>
            </w:tcBorders>
            <w:vAlign w:val="center"/>
          </w:tcPr>
          <w:p>
            <w:pPr>
              <w:spacing w:line="240" w:lineRule="auto"/>
              <w:ind w:firstLine="0" w:firstLineChars="0"/>
              <w:jc w:val="center"/>
            </w:pPr>
          </w:p>
        </w:tc>
        <w:tc>
          <w:tcPr>
            <w:tcW w:w="332" w:type="pct"/>
            <w:vMerge w:val="continue"/>
            <w:tcBorders>
              <w:tl2br w:val="nil"/>
              <w:tr2bl w:val="nil"/>
            </w:tcBorders>
            <w:vAlign w:val="center"/>
          </w:tcPr>
          <w:p>
            <w:pPr>
              <w:spacing w:line="240" w:lineRule="auto"/>
              <w:ind w:firstLine="0" w:firstLineChars="0"/>
              <w:jc w:val="center"/>
            </w:pPr>
          </w:p>
        </w:tc>
        <w:tc>
          <w:tcPr>
            <w:tcW w:w="514" w:type="pct"/>
            <w:vMerge w:val="continue"/>
            <w:tcBorders>
              <w:tl2br w:val="nil"/>
              <w:tr2bl w:val="nil"/>
            </w:tcBorders>
            <w:vAlign w:val="center"/>
          </w:tcPr>
          <w:p>
            <w:pPr>
              <w:spacing w:line="240" w:lineRule="auto"/>
              <w:ind w:firstLine="0" w:firstLineChars="0"/>
              <w:jc w:val="center"/>
            </w:pPr>
          </w:p>
        </w:tc>
        <w:tc>
          <w:tcPr>
            <w:tcW w:w="471" w:type="pct"/>
            <w:vMerge w:val="continue"/>
            <w:tcBorders>
              <w:tl2br w:val="nil"/>
              <w:tr2bl w:val="nil"/>
            </w:tcBorders>
            <w:vAlign w:val="center"/>
          </w:tcPr>
          <w:p>
            <w:pPr>
              <w:spacing w:line="240" w:lineRule="auto"/>
              <w:ind w:firstLine="0" w:firstLineChars="0"/>
              <w:jc w:val="center"/>
            </w:pPr>
          </w:p>
        </w:tc>
        <w:tc>
          <w:tcPr>
            <w:tcW w:w="414" w:type="pct"/>
            <w:vMerge w:val="continue"/>
            <w:tcBorders>
              <w:tl2br w:val="nil"/>
              <w:tr2bl w:val="nil"/>
            </w:tcBorders>
            <w:vAlign w:val="center"/>
          </w:tcPr>
          <w:p>
            <w:pPr>
              <w:spacing w:line="240" w:lineRule="auto"/>
              <w:ind w:firstLine="0" w:firstLineChars="0"/>
              <w:jc w:val="center"/>
            </w:pPr>
          </w:p>
        </w:tc>
        <w:tc>
          <w:tcPr>
            <w:tcW w:w="414" w:type="pct"/>
            <w:vMerge w:val="continue"/>
            <w:tcBorders>
              <w:tl2br w:val="nil"/>
              <w:tr2bl w:val="nil"/>
            </w:tcBorders>
            <w:vAlign w:val="center"/>
          </w:tcPr>
          <w:p>
            <w:pPr>
              <w:spacing w:line="240" w:lineRule="auto"/>
              <w:ind w:firstLine="0" w:firstLineChars="0"/>
              <w:jc w:val="center"/>
            </w:pPr>
          </w:p>
        </w:tc>
        <w:tc>
          <w:tcPr>
            <w:tcW w:w="357" w:type="pct"/>
            <w:tcBorders>
              <w:tl2br w:val="nil"/>
              <w:tr2bl w:val="nil"/>
            </w:tcBorders>
            <w:vAlign w:val="center"/>
          </w:tcPr>
          <w:p>
            <w:pPr>
              <w:spacing w:line="240" w:lineRule="auto"/>
              <w:ind w:firstLine="0" w:firstLineChars="0"/>
              <w:jc w:val="center"/>
            </w:pPr>
            <w:r>
              <w:rPr>
                <w:sz w:val="21"/>
                <w:szCs w:val="21"/>
              </w:rPr>
              <w:t>H</w:t>
            </w:r>
            <w:r>
              <w:rPr>
                <w:sz w:val="21"/>
                <w:szCs w:val="21"/>
                <w:vertAlign w:val="subscript"/>
              </w:rPr>
              <w:t>2</w:t>
            </w:r>
            <w:r>
              <w:rPr>
                <w:sz w:val="21"/>
                <w:szCs w:val="21"/>
              </w:rPr>
              <w:t>S</w:t>
            </w:r>
          </w:p>
        </w:tc>
        <w:tc>
          <w:tcPr>
            <w:tcW w:w="516" w:type="pct"/>
            <w:tcBorders>
              <w:tl2br w:val="nil"/>
              <w:tr2bl w:val="nil"/>
            </w:tcBorders>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rPr>
              <w:t>0.00009</w:t>
            </w:r>
            <w:r>
              <w:rPr>
                <w:rFonts w:hint="default" w:ascii="Times New Roman" w:hAnsi="Times New Roman" w:eastAsia="宋体" w:cs="Times New Roman"/>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2"/>
            <w:tcBorders>
              <w:tl2br w:val="nil"/>
              <w:tr2bl w:val="nil"/>
            </w:tcBorders>
            <w:vAlign w:val="center"/>
          </w:tcPr>
          <w:p>
            <w:pPr>
              <w:spacing w:line="240" w:lineRule="auto"/>
              <w:ind w:firstLine="0" w:firstLineChars="0"/>
              <w:rPr>
                <w:rFonts w:hint="eastAsia" w:eastAsia="宋体"/>
                <w:sz w:val="21"/>
                <w:szCs w:val="21"/>
                <w:lang w:val="en-US" w:eastAsia="zh-CN"/>
              </w:rPr>
            </w:pPr>
            <w:r>
              <w:rPr>
                <w:rFonts w:hint="eastAsia"/>
                <w:sz w:val="21"/>
                <w:szCs w:val="21"/>
              </w:rPr>
              <w:t>注：年运行365d，每天24h</w:t>
            </w:r>
            <w:r>
              <w:rPr>
                <w:rFonts w:hint="eastAsia"/>
                <w:sz w:val="21"/>
                <w:szCs w:val="21"/>
                <w:lang w:val="en-US" w:eastAsia="zh-CN"/>
              </w:rPr>
              <w:t>.</w:t>
            </w:r>
          </w:p>
        </w:tc>
      </w:tr>
    </w:tbl>
    <w:p>
      <w:pPr>
        <w:ind w:firstLine="482"/>
        <w:rPr>
          <w:b/>
          <w:bCs/>
        </w:rPr>
      </w:pPr>
      <w:r>
        <w:rPr>
          <w:rFonts w:hint="eastAsia"/>
          <w:b/>
          <w:bCs/>
        </w:rPr>
        <w:t>（5）</w:t>
      </w:r>
      <w:r>
        <w:rPr>
          <w:b/>
          <w:bCs/>
        </w:rPr>
        <w:t>预测结果</w:t>
      </w:r>
    </w:p>
    <w:p>
      <w:pPr>
        <w:ind w:firstLine="480"/>
      </w:pPr>
      <w:r>
        <w:t>正常工况下肉羊精深加工车间排气筒各污染源</w:t>
      </w:r>
      <w:r>
        <w:rPr>
          <w:rFonts w:hint="eastAsia"/>
        </w:rPr>
        <w:t>估算结果如下</w:t>
      </w:r>
      <w:r>
        <w:t>：</w:t>
      </w:r>
    </w:p>
    <w:p>
      <w:pPr>
        <w:spacing w:line="240" w:lineRule="auto"/>
        <w:ind w:firstLine="482"/>
        <w:jc w:val="center"/>
      </w:pPr>
      <w:r>
        <w:rPr>
          <w:b/>
          <w:bCs/>
        </w:rPr>
        <w:t>表</w:t>
      </w:r>
      <w:r>
        <w:rPr>
          <w:rFonts w:hint="eastAsia"/>
          <w:b/>
          <w:bCs/>
          <w:lang w:val="en-US" w:eastAsia="zh-CN"/>
        </w:rPr>
        <w:t>5</w:t>
      </w:r>
      <w:r>
        <w:rPr>
          <w:rFonts w:hint="eastAsia"/>
          <w:b/>
          <w:bCs/>
        </w:rPr>
        <w:t xml:space="preserve">.12   </w:t>
      </w:r>
      <w:r>
        <w:rPr>
          <w:b/>
          <w:bCs/>
        </w:rPr>
        <w:t xml:space="preserve"> 肉羊精深加工车间排气筒污染源</w:t>
      </w:r>
      <w:r>
        <w:rPr>
          <w:rFonts w:hint="eastAsia"/>
          <w:b/>
          <w:bCs/>
        </w:rPr>
        <w:t>估算结果表（点源）</w:t>
      </w:r>
    </w:p>
    <w:tbl>
      <w:tblPr>
        <w:tblStyle w:val="33"/>
        <w:tblW w:w="49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3"/>
        <w:gridCol w:w="2029"/>
        <w:gridCol w:w="1932"/>
        <w:gridCol w:w="2015"/>
        <w:gridCol w:w="1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下方向距离(m)</w:t>
            </w:r>
          </w:p>
        </w:tc>
        <w:tc>
          <w:tcPr>
            <w:tcW w:w="3937" w:type="pct"/>
            <w:gridSpan w:val="4"/>
            <w:tcBorders>
              <w:tl2br w:val="nil"/>
              <w:tr2bl w:val="nil"/>
            </w:tcBorders>
            <w:vAlign w:val="center"/>
          </w:tcPr>
          <w:p>
            <w:pPr>
              <w:spacing w:line="240" w:lineRule="auto"/>
              <w:ind w:firstLine="422"/>
              <w:jc w:val="center"/>
              <w:rPr>
                <w:b/>
                <w:bCs/>
                <w:sz w:val="21"/>
                <w:szCs w:val="21"/>
              </w:rPr>
            </w:pPr>
            <w:r>
              <w:rPr>
                <w:rFonts w:hint="eastAsia"/>
                <w:b/>
                <w:bCs/>
                <w:sz w:val="21"/>
                <w:szCs w:val="21"/>
              </w:rPr>
              <w:t>肉羊精深加工车间排气筒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vMerge w:val="continue"/>
            <w:tcBorders>
              <w:tl2br w:val="nil"/>
              <w:tr2bl w:val="nil"/>
            </w:tcBorders>
            <w:vAlign w:val="center"/>
          </w:tcPr>
          <w:p>
            <w:pPr>
              <w:spacing w:line="240" w:lineRule="auto"/>
              <w:ind w:firstLine="422"/>
              <w:jc w:val="center"/>
              <w:rPr>
                <w:b/>
                <w:bCs/>
                <w:sz w:val="21"/>
                <w:szCs w:val="21"/>
              </w:rPr>
            </w:pPr>
          </w:p>
        </w:tc>
        <w:tc>
          <w:tcPr>
            <w:tcW w:w="1020" w:type="pct"/>
            <w:tcBorders>
              <w:tl2br w:val="nil"/>
              <w:tr2bl w:val="nil"/>
            </w:tcBorders>
            <w:vAlign w:val="center"/>
          </w:tcPr>
          <w:p>
            <w:pPr>
              <w:spacing w:line="240" w:lineRule="auto"/>
              <w:ind w:firstLine="0" w:firstLineChars="0"/>
              <w:jc w:val="center"/>
              <w:rPr>
                <w:b/>
                <w:bCs/>
                <w:sz w:val="21"/>
                <w:szCs w:val="21"/>
              </w:rPr>
            </w:pPr>
            <w:r>
              <w:rPr>
                <w:b/>
                <w:bCs/>
                <w:sz w:val="21"/>
                <w:szCs w:val="21"/>
              </w:rPr>
              <w:t>NH</w:t>
            </w:r>
            <w:r>
              <w:rPr>
                <w:b/>
                <w:bCs/>
                <w:sz w:val="21"/>
                <w:szCs w:val="21"/>
                <w:vertAlign w:val="subscript"/>
              </w:rPr>
              <w:t>3</w:t>
            </w:r>
            <w:r>
              <w:rPr>
                <w:b/>
                <w:bCs/>
                <w:sz w:val="21"/>
                <w:szCs w:val="21"/>
              </w:rPr>
              <w:t>浓度（ug/m</w:t>
            </w:r>
            <w:r>
              <w:rPr>
                <w:b/>
                <w:bCs/>
                <w:sz w:val="21"/>
                <w:szCs w:val="21"/>
                <w:vertAlign w:val="superscript"/>
              </w:rPr>
              <w:t>3</w:t>
            </w:r>
            <w:r>
              <w:rPr>
                <w:b/>
                <w:bCs/>
                <w:sz w:val="21"/>
                <w:szCs w:val="21"/>
              </w:rPr>
              <w:t>）</w:t>
            </w:r>
          </w:p>
        </w:tc>
        <w:tc>
          <w:tcPr>
            <w:tcW w:w="971" w:type="pct"/>
            <w:tcBorders>
              <w:tl2br w:val="nil"/>
              <w:tr2bl w:val="nil"/>
            </w:tcBorders>
            <w:vAlign w:val="center"/>
          </w:tcPr>
          <w:p>
            <w:pPr>
              <w:spacing w:line="240" w:lineRule="auto"/>
              <w:ind w:firstLine="0" w:firstLineChars="0"/>
              <w:jc w:val="center"/>
              <w:rPr>
                <w:b/>
                <w:bCs/>
                <w:sz w:val="21"/>
                <w:szCs w:val="21"/>
              </w:rPr>
            </w:pPr>
            <w:r>
              <w:rPr>
                <w:b/>
                <w:bCs/>
                <w:sz w:val="21"/>
                <w:szCs w:val="21"/>
              </w:rPr>
              <w:t>NH</w:t>
            </w:r>
            <w:r>
              <w:rPr>
                <w:b/>
                <w:bCs/>
                <w:sz w:val="21"/>
                <w:szCs w:val="21"/>
                <w:vertAlign w:val="subscript"/>
              </w:rPr>
              <w:t>3</w:t>
            </w:r>
            <w:r>
              <w:rPr>
                <w:b/>
                <w:bCs/>
                <w:sz w:val="21"/>
                <w:szCs w:val="21"/>
              </w:rPr>
              <w:t>占标率（%）</w:t>
            </w:r>
          </w:p>
        </w:tc>
        <w:tc>
          <w:tcPr>
            <w:tcW w:w="1013" w:type="pct"/>
            <w:tcBorders>
              <w:tl2br w:val="nil"/>
              <w:tr2bl w:val="nil"/>
            </w:tcBorders>
            <w:vAlign w:val="center"/>
          </w:tcPr>
          <w:p>
            <w:pPr>
              <w:spacing w:line="240" w:lineRule="auto"/>
              <w:ind w:firstLine="0" w:firstLineChars="0"/>
              <w:jc w:val="center"/>
              <w:rPr>
                <w:b/>
                <w:bCs/>
                <w:sz w:val="21"/>
                <w:szCs w:val="21"/>
              </w:rPr>
            </w:pPr>
            <w:r>
              <w:rPr>
                <w:b/>
                <w:bCs/>
                <w:sz w:val="21"/>
                <w:szCs w:val="21"/>
              </w:rPr>
              <w:t>H</w:t>
            </w:r>
            <w:r>
              <w:rPr>
                <w:b/>
                <w:bCs/>
                <w:sz w:val="21"/>
                <w:szCs w:val="21"/>
                <w:vertAlign w:val="subscript"/>
              </w:rPr>
              <w:t>2</w:t>
            </w:r>
            <w:r>
              <w:rPr>
                <w:b/>
                <w:bCs/>
                <w:sz w:val="21"/>
                <w:szCs w:val="21"/>
              </w:rPr>
              <w:t>S浓度（ug/m</w:t>
            </w:r>
            <w:r>
              <w:rPr>
                <w:b/>
                <w:bCs/>
                <w:sz w:val="21"/>
                <w:szCs w:val="21"/>
                <w:vertAlign w:val="superscript"/>
              </w:rPr>
              <w:t>3</w:t>
            </w:r>
            <w:r>
              <w:rPr>
                <w:b/>
                <w:bCs/>
                <w:sz w:val="21"/>
                <w:szCs w:val="21"/>
              </w:rPr>
              <w:t>）</w:t>
            </w:r>
          </w:p>
        </w:tc>
        <w:tc>
          <w:tcPr>
            <w:tcW w:w="932" w:type="pct"/>
            <w:tcBorders>
              <w:tl2br w:val="nil"/>
              <w:tr2bl w:val="nil"/>
            </w:tcBorders>
            <w:vAlign w:val="center"/>
          </w:tcPr>
          <w:p>
            <w:pPr>
              <w:spacing w:line="240" w:lineRule="auto"/>
              <w:ind w:firstLine="0" w:firstLineChars="0"/>
              <w:jc w:val="center"/>
              <w:rPr>
                <w:b/>
                <w:bCs/>
                <w:sz w:val="21"/>
                <w:szCs w:val="21"/>
              </w:rPr>
            </w:pPr>
            <w:r>
              <w:rPr>
                <w:b/>
                <w:bCs/>
                <w:sz w:val="21"/>
                <w:szCs w:val="21"/>
              </w:rPr>
              <w:t>H</w:t>
            </w:r>
            <w:r>
              <w:rPr>
                <w:b/>
                <w:bCs/>
                <w:sz w:val="21"/>
                <w:szCs w:val="21"/>
                <w:vertAlign w:val="subscript"/>
              </w:rPr>
              <w:t>2</w:t>
            </w:r>
            <w:r>
              <w:rPr>
                <w:b/>
                <w:bCs/>
                <w:sz w:val="21"/>
                <w:szCs w:val="21"/>
              </w:rPr>
              <w:t>S占标率（%）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50.0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0.41</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0.2</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2.05</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1.02</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2.72</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1.36</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0.08</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300.0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2.09</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1.05</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400.0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1.58</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0.79</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500.0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1.23</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0.62</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600.0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0.99</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0.50</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700.0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0.91</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0.46</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800.0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0.90</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0.45</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900.0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0.87</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0.43</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1000.0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0.84</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0.42</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1100.0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0.84</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0.42</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1200.0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0.83</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0.41</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1300.0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0.81</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0.40</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1400.0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0.78</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0.39</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1500.0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0.76</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0.38</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1600.0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0.73</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0.37</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1700.0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0.70</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0.35</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1800.0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0.68</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0.34</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1900.0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0.65</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0.33</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2000.0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0.63</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0.31</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2100.0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0.61</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0.30</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2200.0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0.59</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0.29</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2300.0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0.57</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0.28</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2400.0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0.55</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0.27</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2500.0</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0.53</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0.27</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下风向最大质量浓度及占标率</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2.81</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1.41</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0.08</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下风向最大浓度及占标率出现距离</w:t>
            </w:r>
          </w:p>
        </w:tc>
        <w:tc>
          <w:tcPr>
            <w:tcW w:w="1020" w:type="pct"/>
            <w:tcBorders>
              <w:tl2br w:val="nil"/>
              <w:tr2bl w:val="nil"/>
            </w:tcBorders>
            <w:vAlign w:val="center"/>
          </w:tcPr>
          <w:p>
            <w:pPr>
              <w:spacing w:line="240" w:lineRule="auto"/>
              <w:ind w:firstLine="0" w:firstLineChars="0"/>
              <w:jc w:val="center"/>
              <w:rPr>
                <w:sz w:val="21"/>
                <w:szCs w:val="21"/>
              </w:rPr>
            </w:pPr>
            <w:r>
              <w:rPr>
                <w:rFonts w:hint="eastAsia"/>
                <w:sz w:val="21"/>
                <w:szCs w:val="21"/>
              </w:rPr>
              <w:t>168</w:t>
            </w:r>
          </w:p>
        </w:tc>
        <w:tc>
          <w:tcPr>
            <w:tcW w:w="971" w:type="pct"/>
            <w:tcBorders>
              <w:tl2br w:val="nil"/>
              <w:tr2bl w:val="nil"/>
            </w:tcBorders>
            <w:vAlign w:val="center"/>
          </w:tcPr>
          <w:p>
            <w:pPr>
              <w:spacing w:line="240" w:lineRule="auto"/>
              <w:ind w:firstLine="0" w:firstLineChars="0"/>
              <w:jc w:val="center"/>
              <w:rPr>
                <w:sz w:val="21"/>
                <w:szCs w:val="21"/>
              </w:rPr>
            </w:pPr>
            <w:r>
              <w:rPr>
                <w:rFonts w:hint="eastAsia"/>
                <w:sz w:val="21"/>
                <w:szCs w:val="21"/>
              </w:rPr>
              <w:t>168</w:t>
            </w:r>
          </w:p>
        </w:tc>
        <w:tc>
          <w:tcPr>
            <w:tcW w:w="1013" w:type="pct"/>
            <w:tcBorders>
              <w:tl2br w:val="nil"/>
              <w:tr2bl w:val="nil"/>
            </w:tcBorders>
            <w:vAlign w:val="center"/>
          </w:tcPr>
          <w:p>
            <w:pPr>
              <w:spacing w:line="240" w:lineRule="auto"/>
              <w:ind w:firstLine="0" w:firstLineChars="0"/>
              <w:jc w:val="center"/>
              <w:rPr>
                <w:sz w:val="21"/>
                <w:szCs w:val="21"/>
              </w:rPr>
            </w:pPr>
            <w:r>
              <w:rPr>
                <w:rFonts w:hint="eastAsia"/>
                <w:sz w:val="21"/>
                <w:szCs w:val="21"/>
              </w:rPr>
              <w:t>168</w:t>
            </w:r>
          </w:p>
        </w:tc>
        <w:tc>
          <w:tcPr>
            <w:tcW w:w="932" w:type="pct"/>
            <w:tcBorders>
              <w:tl2br w:val="nil"/>
              <w:tr2bl w:val="nil"/>
            </w:tcBorders>
            <w:vAlign w:val="center"/>
          </w:tcPr>
          <w:p>
            <w:pPr>
              <w:spacing w:line="240" w:lineRule="auto"/>
              <w:ind w:firstLine="0" w:firstLineChars="0"/>
              <w:jc w:val="center"/>
              <w:rPr>
                <w:sz w:val="21"/>
                <w:szCs w:val="21"/>
              </w:rPr>
            </w:pPr>
            <w:r>
              <w:rPr>
                <w:rFonts w:hint="eastAsia"/>
                <w:sz w:val="21"/>
                <w:szCs w:val="21"/>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2" w:type="pct"/>
            <w:tcBorders>
              <w:tl2br w:val="nil"/>
              <w:tr2bl w:val="nil"/>
            </w:tcBorders>
            <w:vAlign w:val="center"/>
          </w:tcPr>
          <w:p>
            <w:pPr>
              <w:spacing w:line="240" w:lineRule="auto"/>
              <w:ind w:firstLine="0" w:firstLineChars="0"/>
              <w:jc w:val="center"/>
              <w:rPr>
                <w:sz w:val="21"/>
                <w:szCs w:val="21"/>
              </w:rPr>
            </w:pPr>
            <w:r>
              <w:rPr>
                <w:sz w:val="21"/>
                <w:szCs w:val="21"/>
              </w:rPr>
              <w:t>D10%最远距离</w:t>
            </w:r>
          </w:p>
        </w:tc>
        <w:tc>
          <w:tcPr>
            <w:tcW w:w="1020"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971"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1013" w:type="pct"/>
            <w:tcBorders>
              <w:tl2br w:val="nil"/>
              <w:tr2bl w:val="nil"/>
            </w:tcBorders>
            <w:vAlign w:val="center"/>
          </w:tcPr>
          <w:p>
            <w:pPr>
              <w:spacing w:line="240" w:lineRule="auto"/>
              <w:ind w:firstLine="0" w:firstLineChars="0"/>
              <w:jc w:val="center"/>
              <w:rPr>
                <w:sz w:val="21"/>
                <w:szCs w:val="21"/>
              </w:rPr>
            </w:pPr>
            <w:r>
              <w:rPr>
                <w:sz w:val="21"/>
                <w:szCs w:val="21"/>
              </w:rPr>
              <w:t>/</w:t>
            </w:r>
          </w:p>
        </w:tc>
        <w:tc>
          <w:tcPr>
            <w:tcW w:w="932" w:type="pct"/>
            <w:tcBorders>
              <w:tl2br w:val="nil"/>
              <w:tr2bl w:val="nil"/>
            </w:tcBorders>
            <w:vAlign w:val="center"/>
          </w:tcPr>
          <w:p>
            <w:pPr>
              <w:spacing w:line="240" w:lineRule="auto"/>
              <w:ind w:firstLine="0" w:firstLineChars="0"/>
              <w:jc w:val="center"/>
              <w:rPr>
                <w:sz w:val="21"/>
                <w:szCs w:val="21"/>
              </w:rPr>
            </w:pPr>
            <w:r>
              <w:rPr>
                <w:sz w:val="21"/>
                <w:szCs w:val="21"/>
              </w:rPr>
              <w:t>/</w:t>
            </w:r>
          </w:p>
        </w:tc>
      </w:tr>
    </w:tbl>
    <w:p>
      <w:pPr>
        <w:spacing w:before="156" w:beforeLines="50" w:line="240" w:lineRule="auto"/>
        <w:ind w:firstLine="482"/>
        <w:jc w:val="center"/>
      </w:pPr>
      <w:r>
        <w:rPr>
          <w:b/>
          <w:bCs/>
          <w:szCs w:val="21"/>
        </w:rPr>
        <w:t>表</w:t>
      </w:r>
      <w:r>
        <w:rPr>
          <w:rFonts w:hint="eastAsia"/>
          <w:b/>
          <w:bCs/>
          <w:szCs w:val="21"/>
          <w:lang w:val="en-US" w:eastAsia="zh-CN"/>
        </w:rPr>
        <w:t>5</w:t>
      </w:r>
      <w:r>
        <w:rPr>
          <w:rFonts w:hint="eastAsia"/>
          <w:b/>
          <w:bCs/>
          <w:szCs w:val="21"/>
        </w:rPr>
        <w:t>.13</w:t>
      </w:r>
      <w:r>
        <w:rPr>
          <w:b/>
          <w:bCs/>
          <w:szCs w:val="21"/>
        </w:rPr>
        <w:t xml:space="preserve"> </w:t>
      </w:r>
      <w:r>
        <w:rPr>
          <w:rFonts w:hint="eastAsia"/>
          <w:b/>
          <w:bCs/>
          <w:szCs w:val="21"/>
        </w:rPr>
        <w:t xml:space="preserve">  </w:t>
      </w:r>
      <w:r>
        <w:rPr>
          <w:b/>
          <w:bCs/>
          <w:szCs w:val="21"/>
        </w:rPr>
        <w:t xml:space="preserve"> </w:t>
      </w:r>
      <w:r>
        <w:rPr>
          <w:rFonts w:hint="eastAsia"/>
          <w:b/>
          <w:bCs/>
          <w:szCs w:val="21"/>
        </w:rPr>
        <w:t>待宰圈</w:t>
      </w:r>
      <w:r>
        <w:rPr>
          <w:b/>
          <w:bCs/>
          <w:szCs w:val="21"/>
        </w:rPr>
        <w:t>废气污染源</w:t>
      </w:r>
      <w:r>
        <w:rPr>
          <w:rFonts w:hint="eastAsia"/>
          <w:b/>
          <w:bCs/>
          <w:szCs w:val="21"/>
        </w:rPr>
        <w:t>估算结果表（面</w:t>
      </w:r>
      <w:r>
        <w:rPr>
          <w:rFonts w:hint="eastAsia"/>
          <w:b/>
          <w:bCs/>
        </w:rPr>
        <w:t>源</w:t>
      </w:r>
      <w:r>
        <w:rPr>
          <w:rFonts w:hint="eastAsia"/>
          <w:b/>
          <w:bCs/>
          <w:szCs w:val="21"/>
        </w:rPr>
        <w:t>）</w:t>
      </w:r>
    </w:p>
    <w:tbl>
      <w:tblPr>
        <w:tblStyle w:val="32"/>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3"/>
        <w:gridCol w:w="2235"/>
        <w:gridCol w:w="1961"/>
        <w:gridCol w:w="1921"/>
        <w:gridCol w:w="1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下方向距离(m)</w:t>
            </w:r>
          </w:p>
        </w:tc>
        <w:tc>
          <w:tcPr>
            <w:tcW w:w="3942" w:type="pct"/>
            <w:gridSpan w:val="4"/>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待宰间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vMerge w:val="continue"/>
            <w:tcBorders>
              <w:tl2br w:val="nil"/>
              <w:tr2bl w:val="nil"/>
            </w:tcBorders>
            <w:vAlign w:val="center"/>
          </w:tcPr>
          <w:p>
            <w:pPr>
              <w:spacing w:line="240" w:lineRule="auto"/>
              <w:ind w:firstLine="0" w:firstLineChars="0"/>
              <w:jc w:val="center"/>
              <w:rPr>
                <w:b/>
                <w:bCs/>
                <w:sz w:val="21"/>
                <w:szCs w:val="21"/>
              </w:rPr>
            </w:pPr>
          </w:p>
        </w:tc>
        <w:tc>
          <w:tcPr>
            <w:tcW w:w="1123" w:type="pct"/>
            <w:tcBorders>
              <w:tl2br w:val="nil"/>
              <w:tr2bl w:val="nil"/>
            </w:tcBorders>
            <w:vAlign w:val="center"/>
          </w:tcPr>
          <w:p>
            <w:pPr>
              <w:spacing w:line="240" w:lineRule="auto"/>
              <w:ind w:firstLine="0" w:firstLineChars="0"/>
              <w:jc w:val="center"/>
              <w:rPr>
                <w:b/>
                <w:bCs/>
                <w:sz w:val="21"/>
                <w:szCs w:val="21"/>
              </w:rPr>
            </w:pPr>
            <w:r>
              <w:rPr>
                <w:b/>
                <w:bCs/>
                <w:sz w:val="21"/>
                <w:szCs w:val="21"/>
              </w:rPr>
              <w:t>NH</w:t>
            </w:r>
            <w:r>
              <w:rPr>
                <w:b/>
                <w:bCs/>
                <w:sz w:val="21"/>
                <w:szCs w:val="21"/>
                <w:vertAlign w:val="subscript"/>
              </w:rPr>
              <w:t>3</w:t>
            </w:r>
            <w:r>
              <w:rPr>
                <w:b/>
                <w:bCs/>
                <w:sz w:val="21"/>
                <w:szCs w:val="21"/>
              </w:rPr>
              <w:t>浓度（ug/m</w:t>
            </w:r>
            <w:r>
              <w:rPr>
                <w:b/>
                <w:bCs/>
                <w:sz w:val="21"/>
                <w:szCs w:val="21"/>
                <w:vertAlign w:val="superscript"/>
              </w:rPr>
              <w:t>3</w:t>
            </w:r>
            <w:r>
              <w:rPr>
                <w:b/>
                <w:bCs/>
                <w:sz w:val="21"/>
                <w:szCs w:val="21"/>
              </w:rPr>
              <w:t>）</w:t>
            </w:r>
          </w:p>
        </w:tc>
        <w:tc>
          <w:tcPr>
            <w:tcW w:w="985" w:type="pct"/>
            <w:tcBorders>
              <w:tl2br w:val="nil"/>
              <w:tr2bl w:val="nil"/>
            </w:tcBorders>
            <w:vAlign w:val="center"/>
          </w:tcPr>
          <w:p>
            <w:pPr>
              <w:spacing w:line="240" w:lineRule="auto"/>
              <w:ind w:firstLine="0" w:firstLineChars="0"/>
              <w:jc w:val="center"/>
              <w:rPr>
                <w:b/>
                <w:bCs/>
                <w:sz w:val="21"/>
                <w:szCs w:val="21"/>
              </w:rPr>
            </w:pPr>
            <w:r>
              <w:rPr>
                <w:b/>
                <w:bCs/>
                <w:sz w:val="21"/>
                <w:szCs w:val="21"/>
              </w:rPr>
              <w:t>NH</w:t>
            </w:r>
            <w:r>
              <w:rPr>
                <w:b/>
                <w:bCs/>
                <w:sz w:val="21"/>
                <w:szCs w:val="21"/>
                <w:vertAlign w:val="subscript"/>
              </w:rPr>
              <w:t>3</w:t>
            </w:r>
            <w:r>
              <w:rPr>
                <w:b/>
                <w:bCs/>
                <w:sz w:val="21"/>
                <w:szCs w:val="21"/>
              </w:rPr>
              <w:t>占标率（%）</w:t>
            </w:r>
          </w:p>
        </w:tc>
        <w:tc>
          <w:tcPr>
            <w:tcW w:w="965" w:type="pct"/>
            <w:tcBorders>
              <w:tl2br w:val="nil"/>
              <w:tr2bl w:val="nil"/>
            </w:tcBorders>
            <w:vAlign w:val="center"/>
          </w:tcPr>
          <w:p>
            <w:pPr>
              <w:spacing w:line="240" w:lineRule="auto"/>
              <w:ind w:firstLine="0" w:firstLineChars="0"/>
              <w:jc w:val="center"/>
              <w:rPr>
                <w:b/>
                <w:bCs/>
                <w:sz w:val="21"/>
                <w:szCs w:val="21"/>
              </w:rPr>
            </w:pPr>
            <w:r>
              <w:rPr>
                <w:b/>
                <w:bCs/>
                <w:sz w:val="21"/>
                <w:szCs w:val="21"/>
              </w:rPr>
              <w:t>H</w:t>
            </w:r>
            <w:r>
              <w:rPr>
                <w:b/>
                <w:bCs/>
                <w:sz w:val="21"/>
                <w:szCs w:val="21"/>
                <w:vertAlign w:val="subscript"/>
              </w:rPr>
              <w:t>2</w:t>
            </w:r>
            <w:r>
              <w:rPr>
                <w:b/>
                <w:bCs/>
                <w:sz w:val="21"/>
                <w:szCs w:val="21"/>
              </w:rPr>
              <w:t>S浓度（ug/m</w:t>
            </w:r>
            <w:r>
              <w:rPr>
                <w:b/>
                <w:bCs/>
                <w:sz w:val="21"/>
                <w:szCs w:val="21"/>
                <w:vertAlign w:val="superscript"/>
              </w:rPr>
              <w:t>3</w:t>
            </w:r>
            <w:r>
              <w:rPr>
                <w:b/>
                <w:bCs/>
                <w:sz w:val="21"/>
                <w:szCs w:val="21"/>
              </w:rPr>
              <w:t>）</w:t>
            </w:r>
          </w:p>
        </w:tc>
        <w:tc>
          <w:tcPr>
            <w:tcW w:w="868" w:type="pct"/>
            <w:tcBorders>
              <w:tl2br w:val="nil"/>
              <w:tr2bl w:val="nil"/>
            </w:tcBorders>
            <w:vAlign w:val="center"/>
          </w:tcPr>
          <w:p>
            <w:pPr>
              <w:spacing w:line="240" w:lineRule="auto"/>
              <w:ind w:firstLine="0" w:firstLineChars="0"/>
              <w:jc w:val="center"/>
              <w:rPr>
                <w:b/>
                <w:bCs/>
                <w:sz w:val="21"/>
                <w:szCs w:val="21"/>
              </w:rPr>
            </w:pPr>
            <w:r>
              <w:rPr>
                <w:b/>
                <w:bCs/>
                <w:sz w:val="21"/>
                <w:szCs w:val="21"/>
              </w:rPr>
              <w:t>H</w:t>
            </w:r>
            <w:r>
              <w:rPr>
                <w:b/>
                <w:bCs/>
                <w:sz w:val="21"/>
                <w:szCs w:val="21"/>
                <w:vertAlign w:val="subscript"/>
              </w:rPr>
              <w:t>2</w:t>
            </w:r>
            <w:r>
              <w:rPr>
                <w:b/>
                <w:bCs/>
                <w:sz w:val="21"/>
                <w:szCs w:val="21"/>
              </w:rPr>
              <w:t>S占标率（%）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50.0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4.83</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2.41</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0.48</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100.0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5.48</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2.74</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0.55</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200.0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2.62</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1.31</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0.26</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300.0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1.55</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0.78</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400.0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1.07</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0.53</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0.11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500.0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0.79</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0.40</w:t>
            </w:r>
          </w:p>
        </w:tc>
        <w:tc>
          <w:tcPr>
            <w:tcW w:w="965" w:type="pct"/>
            <w:tcBorders>
              <w:tl2br w:val="nil"/>
              <w:tr2bl w:val="nil"/>
            </w:tcBorders>
            <w:vAlign w:val="center"/>
          </w:tcPr>
          <w:p>
            <w:pPr>
              <w:spacing w:line="240" w:lineRule="auto"/>
              <w:ind w:firstLine="0" w:firstLineChars="0"/>
              <w:jc w:val="center"/>
            </w:pPr>
            <w:r>
              <w:rPr>
                <w:rFonts w:hint="eastAsia"/>
              </w:rPr>
              <w:t>0.08</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600.0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0.62</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0.31</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0.08</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700.0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0.51</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800.0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0.43</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0.21</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900.0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0.36</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0.18</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0.04</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1000.0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0.32</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1100.0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0.28</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0.14</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0.03</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1200.0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0.12</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1300.0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0.22</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0.11</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1400.0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0.20</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1500.0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0.09</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1600.0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0.17</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0.08</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1700.0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0.08</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0.02</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1800.0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0.14</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0.07</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1900.0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0.13</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0.07</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2000.0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0.13</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2100.0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0.12</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2200.0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0.11</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0.06</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2300.0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2400.0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rFonts w:hint="eastAsia"/>
                <w:sz w:val="21"/>
                <w:szCs w:val="21"/>
              </w:rPr>
              <w:t>2500.0</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0.09</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0.05</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下风向最大质量浓度及占标率</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5.49</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2.75</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0.55</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下风向最大浓度及占标率出现距离</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101</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101</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101</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7" w:type="pct"/>
            <w:tcBorders>
              <w:tl2br w:val="nil"/>
              <w:tr2bl w:val="nil"/>
            </w:tcBorders>
            <w:vAlign w:val="center"/>
          </w:tcPr>
          <w:p>
            <w:pPr>
              <w:spacing w:line="240" w:lineRule="auto"/>
              <w:ind w:firstLine="0" w:firstLineChars="0"/>
              <w:jc w:val="center"/>
              <w:rPr>
                <w:sz w:val="21"/>
                <w:szCs w:val="21"/>
              </w:rPr>
            </w:pPr>
            <w:r>
              <w:rPr>
                <w:sz w:val="21"/>
                <w:szCs w:val="21"/>
              </w:rPr>
              <w:t>D</w:t>
            </w:r>
            <w:r>
              <w:rPr>
                <w:sz w:val="21"/>
                <w:szCs w:val="21"/>
                <w:vertAlign w:val="subscript"/>
              </w:rPr>
              <w:t>10%</w:t>
            </w:r>
            <w:r>
              <w:rPr>
                <w:sz w:val="21"/>
                <w:szCs w:val="21"/>
              </w:rPr>
              <w:t>最远距离</w:t>
            </w:r>
          </w:p>
        </w:tc>
        <w:tc>
          <w:tcPr>
            <w:tcW w:w="1123"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985"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965"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868"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r>
    </w:tbl>
    <w:p>
      <w:pPr>
        <w:ind w:firstLine="482"/>
      </w:pPr>
      <w:r>
        <w:rPr>
          <w:rFonts w:hint="eastAsia"/>
          <w:b/>
          <w:bCs/>
        </w:rPr>
        <w:t>（6）</w:t>
      </w:r>
      <w:r>
        <w:rPr>
          <w:b/>
          <w:bCs/>
        </w:rPr>
        <w:t>P</w:t>
      </w:r>
      <w:r>
        <w:rPr>
          <w:b/>
          <w:bCs/>
          <w:vertAlign w:val="subscript"/>
        </w:rPr>
        <w:t>max</w:t>
      </w:r>
      <w:r>
        <w:rPr>
          <w:b/>
          <w:bCs/>
        </w:rPr>
        <w:t>和D</w:t>
      </w:r>
      <w:r>
        <w:rPr>
          <w:b/>
          <w:bCs/>
          <w:vertAlign w:val="subscript"/>
        </w:rPr>
        <w:t>10%</w:t>
      </w:r>
      <w:r>
        <w:rPr>
          <w:b/>
          <w:bCs/>
        </w:rPr>
        <w:t>预测结果</w:t>
      </w:r>
    </w:p>
    <w:p>
      <w:pPr>
        <w:ind w:firstLine="480"/>
        <w:rPr>
          <w:b/>
          <w:bCs/>
          <w:color w:val="000000"/>
        </w:rPr>
      </w:pPr>
      <w:r>
        <w:rPr>
          <w:rFonts w:hint="eastAsia"/>
        </w:rPr>
        <w:t>本项目</w:t>
      </w:r>
      <w:r>
        <w:rPr>
          <w:rFonts w:hint="eastAsia"/>
          <w:color w:val="000000"/>
        </w:rPr>
        <w:t>废气污染源的正常排放的污染物的P</w:t>
      </w:r>
      <w:r>
        <w:rPr>
          <w:rFonts w:hint="eastAsia"/>
          <w:color w:val="000000"/>
          <w:vertAlign w:val="subscript"/>
        </w:rPr>
        <w:t>max</w:t>
      </w:r>
      <w:r>
        <w:rPr>
          <w:rFonts w:hint="eastAsia"/>
          <w:color w:val="000000"/>
        </w:rPr>
        <w:t>和D</w:t>
      </w:r>
      <w:r>
        <w:rPr>
          <w:rFonts w:hint="eastAsia"/>
          <w:color w:val="000000"/>
          <w:vertAlign w:val="subscript"/>
        </w:rPr>
        <w:t>10%</w:t>
      </w:r>
      <w:r>
        <w:rPr>
          <w:rFonts w:hint="eastAsia"/>
          <w:color w:val="000000"/>
        </w:rPr>
        <w:t>预测结果如下</w:t>
      </w:r>
    </w:p>
    <w:p>
      <w:pPr>
        <w:spacing w:line="240" w:lineRule="auto"/>
        <w:ind w:firstLine="482"/>
        <w:jc w:val="center"/>
        <w:rPr>
          <w:b/>
          <w:bCs/>
          <w:color w:val="000000"/>
        </w:rPr>
      </w:pPr>
      <w:r>
        <w:rPr>
          <w:rFonts w:hint="eastAsia"/>
          <w:b/>
          <w:bCs/>
          <w:color w:val="000000"/>
        </w:rPr>
        <w:t>表</w:t>
      </w:r>
      <w:r>
        <w:rPr>
          <w:rFonts w:hint="eastAsia"/>
          <w:b/>
          <w:bCs/>
          <w:color w:val="000000"/>
          <w:lang w:val="en-US" w:eastAsia="zh-CN"/>
        </w:rPr>
        <w:t>5</w:t>
      </w:r>
      <w:r>
        <w:rPr>
          <w:rFonts w:hint="eastAsia"/>
          <w:b/>
          <w:bCs/>
          <w:color w:val="000000"/>
        </w:rPr>
        <w:t>.14    P</w:t>
      </w:r>
      <w:r>
        <w:rPr>
          <w:rFonts w:hint="eastAsia"/>
          <w:b/>
          <w:bCs/>
          <w:color w:val="000000"/>
          <w:vertAlign w:val="subscript"/>
        </w:rPr>
        <w:t>max</w:t>
      </w:r>
      <w:r>
        <w:rPr>
          <w:rFonts w:hint="eastAsia"/>
          <w:b/>
          <w:bCs/>
          <w:color w:val="000000"/>
        </w:rPr>
        <w:t>和D</w:t>
      </w:r>
      <w:r>
        <w:rPr>
          <w:rFonts w:hint="eastAsia"/>
          <w:b/>
          <w:bCs/>
          <w:color w:val="000000"/>
          <w:vertAlign w:val="subscript"/>
        </w:rPr>
        <w:t>10%</w:t>
      </w:r>
      <w:r>
        <w:rPr>
          <w:rFonts w:hint="eastAsia"/>
          <w:b/>
          <w:bCs/>
          <w:color w:val="000000"/>
        </w:rPr>
        <w:t>预测和计算结果一览表</w:t>
      </w:r>
    </w:p>
    <w:tbl>
      <w:tblPr>
        <w:tblStyle w:val="32"/>
        <w:tblW w:w="4989"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734"/>
        <w:gridCol w:w="1800"/>
        <w:gridCol w:w="1869"/>
        <w:gridCol w:w="1430"/>
        <w:gridCol w:w="1131"/>
        <w:gridCol w:w="97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375" w:type="pct"/>
            <w:vAlign w:val="center"/>
          </w:tcPr>
          <w:p>
            <w:pPr>
              <w:spacing w:line="240" w:lineRule="auto"/>
              <w:ind w:firstLine="0" w:firstLineChars="0"/>
              <w:rPr>
                <w:b/>
                <w:bCs/>
                <w:sz w:val="21"/>
                <w:szCs w:val="21"/>
              </w:rPr>
            </w:pPr>
            <w:r>
              <w:rPr>
                <w:b/>
                <w:bCs/>
                <w:sz w:val="21"/>
                <w:szCs w:val="21"/>
              </w:rPr>
              <w:t>污染源名称</w:t>
            </w:r>
          </w:p>
        </w:tc>
        <w:tc>
          <w:tcPr>
            <w:tcW w:w="905" w:type="pct"/>
            <w:vAlign w:val="center"/>
          </w:tcPr>
          <w:p>
            <w:pPr>
              <w:spacing w:line="240" w:lineRule="auto"/>
              <w:ind w:firstLine="0" w:firstLineChars="0"/>
              <w:rPr>
                <w:b/>
                <w:bCs/>
                <w:sz w:val="21"/>
                <w:szCs w:val="21"/>
              </w:rPr>
            </w:pPr>
            <w:r>
              <w:rPr>
                <w:b/>
                <w:bCs/>
                <w:sz w:val="21"/>
                <w:szCs w:val="21"/>
              </w:rPr>
              <w:t>评价因子</w:t>
            </w:r>
          </w:p>
        </w:tc>
        <w:tc>
          <w:tcPr>
            <w:tcW w:w="940" w:type="pct"/>
            <w:vAlign w:val="center"/>
          </w:tcPr>
          <w:p>
            <w:pPr>
              <w:spacing w:line="240" w:lineRule="auto"/>
              <w:ind w:firstLine="0" w:firstLineChars="0"/>
              <w:rPr>
                <w:b/>
                <w:bCs/>
                <w:sz w:val="21"/>
                <w:szCs w:val="21"/>
              </w:rPr>
            </w:pPr>
            <w:r>
              <w:rPr>
                <w:b/>
                <w:bCs/>
                <w:sz w:val="21"/>
                <w:szCs w:val="21"/>
              </w:rPr>
              <w:t>评价标准(μg/m³)</w:t>
            </w:r>
          </w:p>
        </w:tc>
        <w:tc>
          <w:tcPr>
            <w:tcW w:w="719" w:type="pct"/>
            <w:vAlign w:val="center"/>
          </w:tcPr>
          <w:p>
            <w:pPr>
              <w:spacing w:line="240" w:lineRule="auto"/>
              <w:ind w:firstLine="0" w:firstLineChars="0"/>
              <w:rPr>
                <w:b/>
                <w:bCs/>
                <w:sz w:val="21"/>
                <w:szCs w:val="21"/>
              </w:rPr>
            </w:pPr>
            <w:r>
              <w:rPr>
                <w:b/>
                <w:bCs/>
                <w:sz w:val="21"/>
                <w:szCs w:val="21"/>
              </w:rPr>
              <w:t>Cmax(μg/m³)</w:t>
            </w:r>
          </w:p>
        </w:tc>
        <w:tc>
          <w:tcPr>
            <w:tcW w:w="568" w:type="pct"/>
            <w:vAlign w:val="center"/>
          </w:tcPr>
          <w:p>
            <w:pPr>
              <w:spacing w:line="240" w:lineRule="auto"/>
              <w:ind w:firstLine="0" w:firstLineChars="0"/>
              <w:rPr>
                <w:b/>
                <w:bCs/>
                <w:sz w:val="21"/>
                <w:szCs w:val="21"/>
              </w:rPr>
            </w:pPr>
            <w:r>
              <w:rPr>
                <w:b/>
                <w:bCs/>
                <w:sz w:val="21"/>
                <w:szCs w:val="21"/>
              </w:rPr>
              <w:t>Pmax(%)</w:t>
            </w:r>
          </w:p>
        </w:tc>
        <w:tc>
          <w:tcPr>
            <w:tcW w:w="491" w:type="pct"/>
            <w:vAlign w:val="center"/>
          </w:tcPr>
          <w:p>
            <w:pPr>
              <w:spacing w:line="240" w:lineRule="auto"/>
              <w:ind w:firstLine="0" w:firstLineChars="0"/>
              <w:rPr>
                <w:b/>
                <w:bCs/>
                <w:sz w:val="21"/>
                <w:szCs w:val="21"/>
              </w:rPr>
            </w:pPr>
            <w:r>
              <w:rPr>
                <w:b/>
                <w:bCs/>
                <w:sz w:val="21"/>
                <w:szCs w:val="21"/>
              </w:rPr>
              <w:t>D</w:t>
            </w:r>
            <w:r>
              <w:rPr>
                <w:b/>
                <w:bCs/>
                <w:sz w:val="21"/>
                <w:szCs w:val="21"/>
                <w:vertAlign w:val="subscript"/>
              </w:rPr>
              <w:t>10%</w:t>
            </w:r>
            <w:r>
              <w:rPr>
                <w:b/>
                <w:bCs/>
                <w:sz w:val="21"/>
                <w:szCs w:val="21"/>
              </w:rPr>
              <w:t>(m)</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375" w:type="pct"/>
            <w:vMerge w:val="restart"/>
            <w:vAlign w:val="center"/>
          </w:tcPr>
          <w:p>
            <w:pPr>
              <w:spacing w:line="240" w:lineRule="auto"/>
              <w:ind w:firstLine="0" w:firstLineChars="0"/>
              <w:jc w:val="center"/>
              <w:rPr>
                <w:sz w:val="21"/>
                <w:szCs w:val="21"/>
              </w:rPr>
            </w:pPr>
            <w:r>
              <w:rPr>
                <w:sz w:val="21"/>
                <w:szCs w:val="21"/>
              </w:rPr>
              <w:t>肉羊精深加工车间排气筒</w:t>
            </w:r>
          </w:p>
          <w:p>
            <w:pPr>
              <w:spacing w:line="240" w:lineRule="auto"/>
              <w:ind w:firstLine="0" w:firstLineChars="0"/>
              <w:jc w:val="center"/>
              <w:rPr>
                <w:sz w:val="21"/>
                <w:szCs w:val="21"/>
              </w:rPr>
            </w:pPr>
            <w:r>
              <w:rPr>
                <w:sz w:val="21"/>
                <w:szCs w:val="21"/>
              </w:rPr>
              <w:t>（</w:t>
            </w:r>
            <w:r>
              <w:rPr>
                <w:rFonts w:hint="eastAsia"/>
                <w:sz w:val="21"/>
                <w:szCs w:val="21"/>
              </w:rPr>
              <w:t>点源，</w:t>
            </w:r>
            <w:r>
              <w:rPr>
                <w:sz w:val="21"/>
                <w:szCs w:val="21"/>
              </w:rPr>
              <w:t>有组织）</w:t>
            </w:r>
          </w:p>
        </w:tc>
        <w:tc>
          <w:tcPr>
            <w:tcW w:w="905" w:type="pct"/>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940" w:type="pct"/>
            <w:vAlign w:val="center"/>
          </w:tcPr>
          <w:p>
            <w:pPr>
              <w:spacing w:line="240" w:lineRule="auto"/>
              <w:ind w:firstLine="0" w:firstLineChars="0"/>
              <w:jc w:val="center"/>
              <w:rPr>
                <w:sz w:val="21"/>
                <w:szCs w:val="21"/>
              </w:rPr>
            </w:pPr>
            <w:r>
              <w:rPr>
                <w:rFonts w:hint="eastAsia"/>
                <w:sz w:val="21"/>
                <w:szCs w:val="21"/>
              </w:rPr>
              <w:t>200（1h平均）</w:t>
            </w:r>
          </w:p>
        </w:tc>
        <w:tc>
          <w:tcPr>
            <w:tcW w:w="719" w:type="pct"/>
            <w:vAlign w:val="center"/>
          </w:tcPr>
          <w:p>
            <w:pPr>
              <w:spacing w:line="240" w:lineRule="auto"/>
              <w:ind w:firstLine="0" w:firstLineChars="0"/>
              <w:jc w:val="center"/>
              <w:rPr>
                <w:sz w:val="21"/>
                <w:szCs w:val="21"/>
              </w:rPr>
            </w:pPr>
            <w:r>
              <w:rPr>
                <w:rFonts w:hint="eastAsia"/>
                <w:sz w:val="21"/>
                <w:szCs w:val="21"/>
              </w:rPr>
              <w:t>2.81</w:t>
            </w:r>
          </w:p>
        </w:tc>
        <w:tc>
          <w:tcPr>
            <w:tcW w:w="568" w:type="pct"/>
            <w:vAlign w:val="center"/>
          </w:tcPr>
          <w:p>
            <w:pPr>
              <w:spacing w:line="240" w:lineRule="auto"/>
              <w:ind w:firstLine="0" w:firstLineChars="0"/>
              <w:jc w:val="center"/>
              <w:rPr>
                <w:sz w:val="21"/>
                <w:szCs w:val="21"/>
              </w:rPr>
            </w:pPr>
            <w:r>
              <w:rPr>
                <w:sz w:val="21"/>
                <w:szCs w:val="21"/>
              </w:rPr>
              <w:t>1.41</w:t>
            </w:r>
          </w:p>
        </w:tc>
        <w:tc>
          <w:tcPr>
            <w:tcW w:w="491" w:type="pct"/>
            <w:vAlign w:val="center"/>
          </w:tcPr>
          <w:p>
            <w:pPr>
              <w:spacing w:line="240" w:lineRule="auto"/>
              <w:ind w:firstLine="0" w:firstLineChars="0"/>
              <w:jc w:val="center"/>
              <w:rPr>
                <w:sz w:val="21"/>
                <w:szCs w:val="21"/>
              </w:rPr>
            </w:pPr>
            <w:r>
              <w:rPr>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375" w:type="pct"/>
            <w:vMerge w:val="continue"/>
            <w:vAlign w:val="center"/>
          </w:tcPr>
          <w:p>
            <w:pPr>
              <w:spacing w:line="240" w:lineRule="auto"/>
              <w:jc w:val="center"/>
              <w:rPr>
                <w:sz w:val="21"/>
                <w:szCs w:val="21"/>
              </w:rPr>
            </w:pPr>
          </w:p>
        </w:tc>
        <w:tc>
          <w:tcPr>
            <w:tcW w:w="905" w:type="pct"/>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940" w:type="pct"/>
            <w:vAlign w:val="center"/>
          </w:tcPr>
          <w:p>
            <w:pPr>
              <w:spacing w:line="240" w:lineRule="auto"/>
              <w:ind w:firstLine="0" w:firstLineChars="0"/>
              <w:jc w:val="center"/>
              <w:rPr>
                <w:sz w:val="21"/>
                <w:szCs w:val="21"/>
              </w:rPr>
            </w:pPr>
            <w:r>
              <w:rPr>
                <w:rFonts w:hint="eastAsia"/>
                <w:sz w:val="21"/>
                <w:szCs w:val="21"/>
              </w:rPr>
              <w:t>10（1h平均）</w:t>
            </w:r>
          </w:p>
        </w:tc>
        <w:tc>
          <w:tcPr>
            <w:tcW w:w="719" w:type="pct"/>
            <w:vAlign w:val="center"/>
          </w:tcPr>
          <w:p>
            <w:pPr>
              <w:spacing w:line="240" w:lineRule="auto"/>
              <w:ind w:firstLine="0" w:firstLineChars="0"/>
              <w:jc w:val="center"/>
              <w:rPr>
                <w:sz w:val="21"/>
                <w:szCs w:val="21"/>
              </w:rPr>
            </w:pPr>
            <w:r>
              <w:rPr>
                <w:rFonts w:hint="eastAsia"/>
                <w:sz w:val="21"/>
                <w:szCs w:val="21"/>
              </w:rPr>
              <w:t>0.08</w:t>
            </w:r>
          </w:p>
        </w:tc>
        <w:tc>
          <w:tcPr>
            <w:tcW w:w="568" w:type="pct"/>
            <w:vAlign w:val="center"/>
          </w:tcPr>
          <w:p>
            <w:pPr>
              <w:spacing w:line="240" w:lineRule="auto"/>
              <w:ind w:firstLine="0" w:firstLineChars="0"/>
              <w:jc w:val="center"/>
              <w:rPr>
                <w:sz w:val="21"/>
                <w:szCs w:val="21"/>
              </w:rPr>
            </w:pPr>
            <w:r>
              <w:rPr>
                <w:rFonts w:hint="eastAsia"/>
                <w:sz w:val="21"/>
                <w:szCs w:val="21"/>
              </w:rPr>
              <w:t>0.84</w:t>
            </w:r>
          </w:p>
        </w:tc>
        <w:tc>
          <w:tcPr>
            <w:tcW w:w="491" w:type="pct"/>
            <w:vAlign w:val="center"/>
          </w:tcPr>
          <w:p>
            <w:pPr>
              <w:spacing w:line="240" w:lineRule="auto"/>
              <w:ind w:firstLine="0" w:firstLineChars="0"/>
              <w:jc w:val="center"/>
              <w:rPr>
                <w:sz w:val="21"/>
                <w:szCs w:val="21"/>
              </w:rPr>
            </w:pPr>
            <w:r>
              <w:rPr>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375" w:type="pct"/>
            <w:vMerge w:val="restart"/>
            <w:vAlign w:val="center"/>
          </w:tcPr>
          <w:p>
            <w:pPr>
              <w:spacing w:line="240" w:lineRule="auto"/>
              <w:ind w:firstLine="0" w:firstLineChars="0"/>
              <w:jc w:val="center"/>
              <w:rPr>
                <w:rFonts w:hint="eastAsia"/>
                <w:sz w:val="21"/>
                <w:szCs w:val="21"/>
              </w:rPr>
            </w:pPr>
            <w:r>
              <w:rPr>
                <w:rFonts w:hint="eastAsia"/>
                <w:sz w:val="21"/>
                <w:szCs w:val="21"/>
              </w:rPr>
              <w:t>待宰间恶臭气体</w:t>
            </w:r>
          </w:p>
          <w:p>
            <w:pPr>
              <w:spacing w:line="240" w:lineRule="auto"/>
              <w:ind w:firstLine="0" w:firstLineChars="0"/>
              <w:jc w:val="center"/>
              <w:rPr>
                <w:sz w:val="21"/>
                <w:szCs w:val="21"/>
              </w:rPr>
            </w:pPr>
            <w:r>
              <w:rPr>
                <w:sz w:val="21"/>
                <w:szCs w:val="21"/>
              </w:rPr>
              <w:t>（</w:t>
            </w:r>
            <w:r>
              <w:rPr>
                <w:rFonts w:hint="eastAsia"/>
                <w:sz w:val="21"/>
                <w:szCs w:val="21"/>
              </w:rPr>
              <w:t>面源，</w:t>
            </w:r>
            <w:r>
              <w:rPr>
                <w:sz w:val="21"/>
                <w:szCs w:val="21"/>
              </w:rPr>
              <w:t>无组织）</w:t>
            </w:r>
          </w:p>
        </w:tc>
        <w:tc>
          <w:tcPr>
            <w:tcW w:w="905" w:type="pct"/>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940" w:type="pct"/>
            <w:vAlign w:val="center"/>
          </w:tcPr>
          <w:p>
            <w:pPr>
              <w:spacing w:line="240" w:lineRule="auto"/>
              <w:ind w:firstLine="0" w:firstLineChars="0"/>
              <w:jc w:val="center"/>
              <w:rPr>
                <w:sz w:val="21"/>
                <w:szCs w:val="21"/>
              </w:rPr>
            </w:pPr>
            <w:r>
              <w:rPr>
                <w:rFonts w:hint="eastAsia"/>
                <w:sz w:val="21"/>
                <w:szCs w:val="21"/>
              </w:rPr>
              <w:t>200（1h平均）</w:t>
            </w:r>
          </w:p>
        </w:tc>
        <w:tc>
          <w:tcPr>
            <w:tcW w:w="719" w:type="pct"/>
            <w:vAlign w:val="center"/>
          </w:tcPr>
          <w:p>
            <w:pPr>
              <w:spacing w:line="240" w:lineRule="auto"/>
              <w:ind w:firstLine="0" w:firstLineChars="0"/>
              <w:jc w:val="center"/>
              <w:rPr>
                <w:sz w:val="21"/>
                <w:szCs w:val="21"/>
              </w:rPr>
            </w:pPr>
            <w:r>
              <w:rPr>
                <w:rFonts w:hint="eastAsia"/>
                <w:sz w:val="21"/>
                <w:szCs w:val="21"/>
              </w:rPr>
              <w:t>5.49</w:t>
            </w:r>
          </w:p>
        </w:tc>
        <w:tc>
          <w:tcPr>
            <w:tcW w:w="568" w:type="pct"/>
            <w:vAlign w:val="center"/>
          </w:tcPr>
          <w:p>
            <w:pPr>
              <w:spacing w:line="240" w:lineRule="auto"/>
              <w:ind w:firstLine="0" w:firstLineChars="0"/>
              <w:jc w:val="center"/>
              <w:rPr>
                <w:sz w:val="21"/>
                <w:szCs w:val="21"/>
              </w:rPr>
            </w:pPr>
            <w:r>
              <w:rPr>
                <w:rFonts w:hint="eastAsia"/>
                <w:sz w:val="21"/>
                <w:szCs w:val="21"/>
              </w:rPr>
              <w:t>2.75</w:t>
            </w:r>
          </w:p>
        </w:tc>
        <w:tc>
          <w:tcPr>
            <w:tcW w:w="491" w:type="pct"/>
            <w:vAlign w:val="center"/>
          </w:tcPr>
          <w:p>
            <w:pPr>
              <w:spacing w:line="240" w:lineRule="auto"/>
              <w:ind w:firstLine="0" w:firstLineChars="0"/>
              <w:jc w:val="center"/>
              <w:rPr>
                <w:sz w:val="21"/>
                <w:szCs w:val="21"/>
              </w:rPr>
            </w:pPr>
            <w:r>
              <w:rPr>
                <w:sz w:val="21"/>
                <w:szCs w:val="21"/>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375" w:type="pct"/>
            <w:vMerge w:val="continue"/>
            <w:vAlign w:val="center"/>
          </w:tcPr>
          <w:p>
            <w:pPr>
              <w:spacing w:line="240" w:lineRule="auto"/>
              <w:jc w:val="center"/>
              <w:rPr>
                <w:sz w:val="21"/>
                <w:szCs w:val="21"/>
              </w:rPr>
            </w:pPr>
          </w:p>
        </w:tc>
        <w:tc>
          <w:tcPr>
            <w:tcW w:w="905" w:type="pct"/>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940" w:type="pct"/>
            <w:vAlign w:val="center"/>
          </w:tcPr>
          <w:p>
            <w:pPr>
              <w:spacing w:line="240" w:lineRule="auto"/>
              <w:ind w:firstLine="0" w:firstLineChars="0"/>
              <w:jc w:val="center"/>
              <w:rPr>
                <w:sz w:val="21"/>
                <w:szCs w:val="21"/>
              </w:rPr>
            </w:pPr>
            <w:r>
              <w:rPr>
                <w:rFonts w:hint="eastAsia"/>
                <w:sz w:val="21"/>
                <w:szCs w:val="21"/>
              </w:rPr>
              <w:t>10（1h平均）</w:t>
            </w:r>
          </w:p>
        </w:tc>
        <w:tc>
          <w:tcPr>
            <w:tcW w:w="719" w:type="pct"/>
            <w:vAlign w:val="center"/>
          </w:tcPr>
          <w:p>
            <w:pPr>
              <w:spacing w:line="240" w:lineRule="auto"/>
              <w:ind w:firstLine="0" w:firstLineChars="0"/>
              <w:jc w:val="center"/>
              <w:rPr>
                <w:sz w:val="21"/>
                <w:szCs w:val="21"/>
              </w:rPr>
            </w:pPr>
            <w:r>
              <w:rPr>
                <w:rFonts w:hint="eastAsia"/>
                <w:sz w:val="21"/>
                <w:szCs w:val="21"/>
              </w:rPr>
              <w:t>0.55</w:t>
            </w:r>
          </w:p>
        </w:tc>
        <w:tc>
          <w:tcPr>
            <w:tcW w:w="568" w:type="pct"/>
            <w:vAlign w:val="center"/>
          </w:tcPr>
          <w:p>
            <w:pPr>
              <w:spacing w:line="240" w:lineRule="auto"/>
              <w:ind w:firstLine="0" w:firstLineChars="0"/>
              <w:jc w:val="center"/>
              <w:rPr>
                <w:sz w:val="21"/>
                <w:szCs w:val="21"/>
              </w:rPr>
            </w:pPr>
            <w:r>
              <w:rPr>
                <w:rFonts w:hint="eastAsia"/>
                <w:sz w:val="21"/>
                <w:szCs w:val="21"/>
              </w:rPr>
              <w:t>5.49</w:t>
            </w:r>
          </w:p>
        </w:tc>
        <w:tc>
          <w:tcPr>
            <w:tcW w:w="491" w:type="pct"/>
            <w:vAlign w:val="center"/>
          </w:tcPr>
          <w:p>
            <w:pPr>
              <w:spacing w:line="240" w:lineRule="auto"/>
              <w:ind w:firstLine="0" w:firstLineChars="0"/>
              <w:jc w:val="center"/>
              <w:rPr>
                <w:sz w:val="21"/>
                <w:szCs w:val="21"/>
              </w:rPr>
            </w:pPr>
            <w:r>
              <w:rPr>
                <w:sz w:val="21"/>
                <w:szCs w:val="21"/>
              </w:rPr>
              <w:t>/</w:t>
            </w:r>
          </w:p>
        </w:tc>
      </w:tr>
    </w:tbl>
    <w:p>
      <w:pPr>
        <w:ind w:firstLine="482"/>
        <w:rPr>
          <w:b/>
          <w:bCs/>
        </w:rPr>
      </w:pPr>
      <w:r>
        <w:rPr>
          <w:rFonts w:hint="eastAsia"/>
          <w:b/>
          <w:bCs/>
        </w:rPr>
        <w:t>（7）</w:t>
      </w:r>
      <w:r>
        <w:rPr>
          <w:b/>
          <w:bCs/>
        </w:rPr>
        <w:t>大气防护距离</w:t>
      </w:r>
    </w:p>
    <w:p>
      <w:pPr>
        <w:ind w:firstLine="480"/>
      </w:pPr>
      <w:r>
        <w:t>根据《环境影响评价技术导则—大气环境》（HJ2.2-2018）中大气环境防护距离的计算，不存在污染物超标点，因此本项目不设置大气环境防护距离。</w:t>
      </w:r>
    </w:p>
    <w:p>
      <w:pPr>
        <w:ind w:firstLine="482"/>
        <w:rPr>
          <w:b/>
          <w:bCs/>
        </w:rPr>
      </w:pPr>
      <w:r>
        <w:rPr>
          <w:rFonts w:hint="eastAsia"/>
          <w:b/>
          <w:bCs/>
        </w:rPr>
        <w:t>（8）</w:t>
      </w:r>
      <w:r>
        <w:rPr>
          <w:b/>
          <w:bCs/>
        </w:rPr>
        <w:t>预测结果分析</w:t>
      </w:r>
    </w:p>
    <w:p>
      <w:pPr>
        <w:ind w:firstLine="480"/>
      </w:pPr>
      <w:r>
        <w:rPr>
          <w:rFonts w:hint="eastAsia"/>
        </w:rPr>
        <w:t>由预测结果可知</w:t>
      </w:r>
      <w:r>
        <w:t>，在正常排放时，各污染物预测最大地面浓度均低于标准浓度值，满足</w:t>
      </w:r>
      <w:r>
        <w:rPr>
          <w:rFonts w:hint="eastAsia"/>
        </w:rPr>
        <w:t>《环境影响评价技术导则  大气环境》（HJ2.2-018）附录D对硫化氢及氨的限值要求</w:t>
      </w:r>
      <w:r>
        <w:t>。正常工况下，废气排放对环境影响较小。</w:t>
      </w:r>
    </w:p>
    <w:p>
      <w:pPr>
        <w:ind w:firstLine="482"/>
      </w:pPr>
      <w:bookmarkStart w:id="722" w:name="_Toc6074_WPSOffice_Level3"/>
      <w:bookmarkStart w:id="723" w:name="_Toc9040_WPSOffice_Level3"/>
      <w:bookmarkStart w:id="724" w:name="_Toc7699_WPSOffice_Level3"/>
      <w:bookmarkStart w:id="725" w:name="_Toc30722_WPSOffice_Level3"/>
      <w:bookmarkStart w:id="726" w:name="_Toc12461_WPSOffice_Level3"/>
      <w:bookmarkStart w:id="727" w:name="_Toc16348_WPSOffice_Level3"/>
      <w:bookmarkStart w:id="728" w:name="_Toc22845_WPSOffice_Level3"/>
      <w:bookmarkStart w:id="729" w:name="_Toc29186_WPSOffice_Level3"/>
      <w:r>
        <w:rPr>
          <w:rFonts w:hint="eastAsia"/>
          <w:b/>
          <w:bCs/>
        </w:rPr>
        <w:t>2、正常工况下牛羊预制品生产线烹饪油烟影响分析</w:t>
      </w:r>
    </w:p>
    <w:p>
      <w:pPr>
        <w:ind w:firstLine="480"/>
      </w:pPr>
      <w:r>
        <w:t>本项目</w:t>
      </w:r>
      <w:r>
        <w:rPr>
          <w:rFonts w:hint="eastAsia"/>
        </w:rPr>
        <w:t>牛羊预制品生产线在进行牛羊预制品炒制时会产生一定量的油烟，根据建设单位提供的资料，为了防止牛羊预制品生产线烹饪油烟逸散对周边环境造成影响，本环评要求：</w:t>
      </w:r>
      <w:r>
        <w:t>建设单位</w:t>
      </w:r>
      <w:r>
        <w:rPr>
          <w:rFonts w:hint="eastAsia"/>
        </w:rPr>
        <w:t>在每口炒锅上方</w:t>
      </w:r>
      <w:r>
        <w:t>安装静电油烟处理</w:t>
      </w:r>
      <w:r>
        <w:rPr>
          <w:rFonts w:hint="eastAsia"/>
        </w:rPr>
        <w:t>装置（共4套）</w:t>
      </w:r>
      <w:r>
        <w:t>，</w:t>
      </w:r>
      <w:r>
        <w:rPr>
          <w:rFonts w:hint="eastAsia"/>
        </w:rPr>
        <w:t>产生的油烟经</w:t>
      </w:r>
      <w:r>
        <w:t>静电油烟处理</w:t>
      </w:r>
      <w:r>
        <w:rPr>
          <w:rFonts w:hint="eastAsia"/>
        </w:rPr>
        <w:t>装置处理后汇集到1根排气筒中，然后引至生产车间楼顶排放，</w:t>
      </w:r>
      <w:r>
        <w:t>静电油烟处理</w:t>
      </w:r>
      <w:r>
        <w:rPr>
          <w:rFonts w:hint="eastAsia"/>
        </w:rPr>
        <w:t>装置</w:t>
      </w:r>
      <w:r>
        <w:t>净化效率</w:t>
      </w:r>
      <w:r>
        <w:rPr>
          <w:rFonts w:hint="eastAsia"/>
        </w:rPr>
        <w:t>不低于90</w:t>
      </w:r>
      <w:r>
        <w:t>%，</w:t>
      </w:r>
      <w:r>
        <w:rPr>
          <w:rFonts w:hint="eastAsia"/>
        </w:rPr>
        <w:t>采取以上措施后牛羊预制品菜生产线炒制工段总的油烟排放量为0.308</w:t>
      </w:r>
      <w:r>
        <w:t>t/a</w:t>
      </w:r>
      <w:r>
        <w:rPr>
          <w:rFonts w:hint="eastAsia"/>
        </w:rPr>
        <w:t>，排放速率为0.103kg/h，总风量为80000m</w:t>
      </w:r>
      <w:r>
        <w:rPr>
          <w:rFonts w:hint="eastAsia"/>
          <w:vertAlign w:val="superscript"/>
        </w:rPr>
        <w:t>3</w:t>
      </w:r>
      <w:r>
        <w:rPr>
          <w:rFonts w:hint="eastAsia"/>
        </w:rPr>
        <w:t>/h，排放浓度为1.29</w:t>
      </w:r>
      <w:r>
        <w:t>mg/m</w:t>
      </w:r>
      <w:r>
        <w:rPr>
          <w:vertAlign w:val="superscript"/>
        </w:rPr>
        <w:t>3</w:t>
      </w:r>
      <w:r>
        <w:rPr>
          <w:rFonts w:hint="eastAsia"/>
        </w:rPr>
        <w:t>，油烟排放浓度能够</w:t>
      </w:r>
      <w:r>
        <w:t>满足《饮食业油烟排放标准（试行）》（GB18483-2001）中的2.0mg/m</w:t>
      </w:r>
      <w:r>
        <w:rPr>
          <w:vertAlign w:val="superscript"/>
        </w:rPr>
        <w:t>3</w:t>
      </w:r>
      <w:r>
        <w:t>的限值要求</w:t>
      </w:r>
      <w:r>
        <w:rPr>
          <w:rFonts w:hint="eastAsia"/>
        </w:rPr>
        <w:t>。综上，正常工况下牛羊预制品生产线烹饪油烟对周边环境影响较小，是可以接受的</w:t>
      </w:r>
      <w:r>
        <w:t>。</w:t>
      </w:r>
    </w:p>
    <w:p>
      <w:pPr>
        <w:pStyle w:val="7"/>
        <w:ind w:firstLine="482"/>
      </w:pPr>
      <w:r>
        <w:rPr>
          <w:rFonts w:hint="eastAsia"/>
          <w:lang w:val="en-US" w:eastAsia="zh-CN"/>
        </w:rPr>
        <w:t>5</w:t>
      </w:r>
      <w:r>
        <w:rPr>
          <w:rFonts w:hint="eastAsia"/>
        </w:rPr>
        <w:t>.2.3.2、非正常工况</w:t>
      </w:r>
    </w:p>
    <w:p>
      <w:pPr>
        <w:ind w:firstLine="480"/>
      </w:pPr>
      <w:r>
        <w:rPr>
          <w:rFonts w:hint="eastAsia"/>
        </w:rPr>
        <w:t>项目非正常工况排放主要分为两类：一类是在正常开、停车、工艺设备故障或部分设备检修时会有较大量的污染物排出；另一类是环保设施达不到设计规定的指标运行，而使正常排放的污染物经过不完全处理或不经过处理直接排放而导致的超标排放。</w:t>
      </w:r>
    </w:p>
    <w:p>
      <w:pPr>
        <w:ind w:firstLine="480"/>
      </w:pPr>
      <w:r>
        <w:t>本次评价非正常工况</w:t>
      </w:r>
      <w:r>
        <w:rPr>
          <w:rFonts w:hint="eastAsia"/>
        </w:rPr>
        <w:t>主要考虑肉羊精深加工车间</w:t>
      </w:r>
      <w:r>
        <w:rPr>
          <w:lang w:val="zh-CN"/>
        </w:rPr>
        <w:t>废气处理设施</w:t>
      </w:r>
      <w:r>
        <w:rPr>
          <w:rFonts w:hint="eastAsia"/>
        </w:rPr>
        <w:t>及</w:t>
      </w:r>
      <w:r>
        <w:t>静电油烟处理</w:t>
      </w:r>
      <w:r>
        <w:rPr>
          <w:rFonts w:hint="eastAsia"/>
        </w:rPr>
        <w:t>装置</w:t>
      </w:r>
      <w:r>
        <w:rPr>
          <w:lang w:val="zh-CN"/>
        </w:rPr>
        <w:t>故障，</w:t>
      </w:r>
      <w:r>
        <w:rPr>
          <w:rFonts w:hint="eastAsia"/>
        </w:rPr>
        <w:t>发生故障时</w:t>
      </w:r>
      <w:r>
        <w:rPr>
          <w:lang w:val="zh-CN"/>
        </w:rPr>
        <w:t>废气处理设施处理效率</w:t>
      </w:r>
      <w:r>
        <w:rPr>
          <w:rFonts w:hint="eastAsia"/>
        </w:rPr>
        <w:t>会</w:t>
      </w:r>
      <w:r>
        <w:rPr>
          <w:lang w:val="zh-CN"/>
        </w:rPr>
        <w:t>降低</w:t>
      </w:r>
      <w:r>
        <w:rPr>
          <w:rFonts w:hint="eastAsia"/>
          <w:lang w:val="zh-CN"/>
        </w:rPr>
        <w:t>。</w:t>
      </w:r>
      <w:r>
        <w:rPr>
          <w:rFonts w:hint="eastAsia"/>
        </w:rPr>
        <w:t>本环评按最不利因素考虑，即</w:t>
      </w:r>
      <w:r>
        <w:rPr>
          <w:lang w:val="zh-CN"/>
        </w:rPr>
        <w:t>废气处理设施故障</w:t>
      </w:r>
      <w:r>
        <w:rPr>
          <w:rFonts w:hint="eastAsia"/>
        </w:rPr>
        <w:t>时废气治理设施</w:t>
      </w:r>
      <w:r>
        <w:rPr>
          <w:rFonts w:hint="eastAsia"/>
          <w:lang w:val="zh-CN"/>
        </w:rPr>
        <w:t>完全失效</w:t>
      </w:r>
      <w:r>
        <w:rPr>
          <w:lang w:val="zh-CN"/>
        </w:rPr>
        <w:t>。</w:t>
      </w:r>
      <w:r>
        <w:t>本项目污染源非正常</w:t>
      </w:r>
      <w:r>
        <w:rPr>
          <w:rFonts w:hint="eastAsia"/>
        </w:rPr>
        <w:t>工况污染物排放情况详见下表</w:t>
      </w:r>
      <w:r>
        <w:t>排放量核算表详见表</w:t>
      </w:r>
      <w:r>
        <w:rPr>
          <w:rFonts w:hint="eastAsia"/>
          <w:lang w:val="en-US" w:eastAsia="zh-CN"/>
        </w:rPr>
        <w:t>5</w:t>
      </w:r>
      <w:r>
        <w:t>.</w:t>
      </w:r>
      <w:r>
        <w:rPr>
          <w:rFonts w:hint="eastAsia"/>
        </w:rPr>
        <w:t>15</w:t>
      </w:r>
      <w:r>
        <w:t>。</w:t>
      </w:r>
    </w:p>
    <w:p>
      <w:pPr>
        <w:spacing w:line="240" w:lineRule="auto"/>
        <w:ind w:firstLine="482"/>
        <w:jc w:val="center"/>
        <w:rPr>
          <w:b/>
          <w:bCs/>
          <w:color w:val="auto"/>
        </w:rPr>
      </w:pPr>
      <w:r>
        <w:rPr>
          <w:b/>
          <w:bCs/>
          <w:color w:val="auto"/>
        </w:rPr>
        <w:t>表</w:t>
      </w:r>
      <w:r>
        <w:rPr>
          <w:rFonts w:hint="eastAsia"/>
          <w:b/>
          <w:bCs/>
          <w:color w:val="auto"/>
          <w:lang w:val="en-US" w:eastAsia="zh-CN"/>
        </w:rPr>
        <w:t>5</w:t>
      </w:r>
      <w:r>
        <w:rPr>
          <w:b/>
          <w:bCs/>
          <w:color w:val="auto"/>
        </w:rPr>
        <w:t>.</w:t>
      </w:r>
      <w:r>
        <w:rPr>
          <w:rFonts w:hint="eastAsia"/>
          <w:b/>
          <w:bCs/>
          <w:color w:val="auto"/>
        </w:rPr>
        <w:t>15</w:t>
      </w:r>
      <w:r>
        <w:rPr>
          <w:b/>
          <w:bCs/>
          <w:color w:val="auto"/>
        </w:rPr>
        <w:t xml:space="preserve">    污染源非正常排放量核算表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1737"/>
        <w:gridCol w:w="852"/>
        <w:gridCol w:w="1213"/>
        <w:gridCol w:w="1749"/>
        <w:gridCol w:w="1536"/>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pct"/>
            <w:tcBorders>
              <w:tl2br w:val="nil"/>
              <w:tr2bl w:val="nil"/>
            </w:tcBorders>
            <w:vAlign w:val="center"/>
          </w:tcPr>
          <w:p>
            <w:pPr>
              <w:spacing w:line="240" w:lineRule="auto"/>
              <w:ind w:firstLine="0" w:firstLineChars="0"/>
              <w:jc w:val="center"/>
              <w:rPr>
                <w:b/>
                <w:bCs/>
                <w:color w:val="auto"/>
                <w:sz w:val="21"/>
                <w:szCs w:val="21"/>
              </w:rPr>
            </w:pPr>
            <w:r>
              <w:rPr>
                <w:b/>
                <w:bCs/>
                <w:color w:val="auto"/>
                <w:sz w:val="21"/>
                <w:szCs w:val="21"/>
              </w:rPr>
              <w:t>非正常排放原因</w:t>
            </w:r>
          </w:p>
        </w:tc>
        <w:tc>
          <w:tcPr>
            <w:tcW w:w="1300" w:type="pct"/>
            <w:gridSpan w:val="2"/>
            <w:tcBorders>
              <w:tl2br w:val="nil"/>
              <w:tr2bl w:val="nil"/>
            </w:tcBorders>
            <w:vAlign w:val="center"/>
          </w:tcPr>
          <w:p>
            <w:pPr>
              <w:spacing w:line="240" w:lineRule="auto"/>
              <w:ind w:firstLine="0" w:firstLineChars="0"/>
              <w:jc w:val="center"/>
              <w:rPr>
                <w:b/>
                <w:bCs/>
                <w:color w:val="auto"/>
                <w:sz w:val="21"/>
                <w:szCs w:val="21"/>
              </w:rPr>
            </w:pPr>
            <w:r>
              <w:rPr>
                <w:b/>
                <w:bCs/>
                <w:color w:val="auto"/>
                <w:sz w:val="21"/>
                <w:szCs w:val="21"/>
              </w:rPr>
              <w:t>污染源</w:t>
            </w:r>
          </w:p>
        </w:tc>
        <w:tc>
          <w:tcPr>
            <w:tcW w:w="609" w:type="pct"/>
            <w:tcBorders>
              <w:tl2br w:val="nil"/>
              <w:tr2bl w:val="nil"/>
            </w:tcBorders>
            <w:vAlign w:val="center"/>
          </w:tcPr>
          <w:p>
            <w:pPr>
              <w:spacing w:line="240" w:lineRule="auto"/>
              <w:ind w:firstLine="0" w:firstLineChars="0"/>
              <w:jc w:val="center"/>
              <w:rPr>
                <w:b/>
                <w:bCs/>
                <w:color w:val="auto"/>
                <w:sz w:val="21"/>
                <w:szCs w:val="21"/>
              </w:rPr>
            </w:pPr>
            <w:r>
              <w:rPr>
                <w:b/>
                <w:bCs/>
                <w:color w:val="auto"/>
                <w:sz w:val="21"/>
                <w:szCs w:val="21"/>
              </w:rPr>
              <w:t>标准值</w:t>
            </w:r>
          </w:p>
        </w:tc>
        <w:tc>
          <w:tcPr>
            <w:tcW w:w="878" w:type="pct"/>
            <w:tcBorders>
              <w:tl2br w:val="nil"/>
              <w:tr2bl w:val="nil"/>
            </w:tcBorders>
            <w:vAlign w:val="center"/>
          </w:tcPr>
          <w:p>
            <w:pPr>
              <w:spacing w:line="240" w:lineRule="auto"/>
              <w:ind w:firstLine="0" w:firstLineChars="0"/>
              <w:jc w:val="center"/>
              <w:rPr>
                <w:b/>
                <w:bCs/>
                <w:color w:val="auto"/>
                <w:sz w:val="21"/>
                <w:szCs w:val="21"/>
              </w:rPr>
            </w:pPr>
            <w:r>
              <w:rPr>
                <w:b/>
                <w:bCs/>
                <w:color w:val="auto"/>
                <w:sz w:val="21"/>
                <w:szCs w:val="21"/>
              </w:rPr>
              <w:t>非正常排放浓度mg/m</w:t>
            </w:r>
            <w:r>
              <w:rPr>
                <w:b/>
                <w:bCs/>
                <w:color w:val="auto"/>
                <w:sz w:val="21"/>
                <w:szCs w:val="21"/>
                <w:vertAlign w:val="superscript"/>
              </w:rPr>
              <w:t>3</w:t>
            </w:r>
          </w:p>
        </w:tc>
        <w:tc>
          <w:tcPr>
            <w:tcW w:w="771" w:type="pct"/>
            <w:tcBorders>
              <w:tl2br w:val="nil"/>
              <w:tr2bl w:val="nil"/>
            </w:tcBorders>
            <w:vAlign w:val="center"/>
          </w:tcPr>
          <w:p>
            <w:pPr>
              <w:spacing w:line="240" w:lineRule="auto"/>
              <w:ind w:firstLine="0" w:firstLineChars="0"/>
              <w:jc w:val="center"/>
              <w:rPr>
                <w:b/>
                <w:bCs/>
                <w:color w:val="auto"/>
                <w:sz w:val="21"/>
                <w:szCs w:val="21"/>
              </w:rPr>
            </w:pPr>
            <w:r>
              <w:rPr>
                <w:b/>
                <w:bCs/>
                <w:color w:val="auto"/>
                <w:sz w:val="21"/>
                <w:szCs w:val="21"/>
              </w:rPr>
              <w:t>非正常排放速率kg/h</w:t>
            </w:r>
          </w:p>
        </w:tc>
        <w:tc>
          <w:tcPr>
            <w:tcW w:w="795" w:type="pct"/>
            <w:tcBorders>
              <w:tl2br w:val="nil"/>
              <w:tr2bl w:val="nil"/>
            </w:tcBorders>
            <w:vAlign w:val="center"/>
          </w:tcPr>
          <w:p>
            <w:pPr>
              <w:spacing w:line="240" w:lineRule="auto"/>
              <w:ind w:firstLine="0" w:firstLineChars="0"/>
              <w:jc w:val="center"/>
              <w:rPr>
                <w:b/>
                <w:bCs/>
                <w:color w:val="auto"/>
                <w:sz w:val="21"/>
                <w:szCs w:val="21"/>
              </w:rPr>
            </w:pPr>
            <w:r>
              <w:rPr>
                <w:b/>
                <w:bCs/>
                <w:color w:val="auto"/>
                <w:sz w:val="21"/>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废气处理设施故障</w:t>
            </w:r>
          </w:p>
        </w:tc>
        <w:tc>
          <w:tcPr>
            <w:tcW w:w="872" w:type="pct"/>
            <w:vMerge w:val="restart"/>
            <w:tcBorders>
              <w:tl2br w:val="nil"/>
              <w:tr2bl w:val="nil"/>
            </w:tcBorders>
            <w:vAlign w:val="center"/>
          </w:tcPr>
          <w:p>
            <w:pPr>
              <w:spacing w:line="240" w:lineRule="auto"/>
              <w:ind w:firstLine="0" w:firstLineChars="0"/>
              <w:jc w:val="center"/>
              <w:rPr>
                <w:color w:val="auto"/>
                <w:sz w:val="21"/>
                <w:szCs w:val="21"/>
              </w:rPr>
            </w:pPr>
            <w:r>
              <w:rPr>
                <w:color w:val="auto"/>
                <w:sz w:val="21"/>
                <w:szCs w:val="21"/>
              </w:rPr>
              <w:t>肉羊精深加工车间排气筒</w:t>
            </w:r>
          </w:p>
        </w:tc>
        <w:tc>
          <w:tcPr>
            <w:tcW w:w="427" w:type="pct"/>
            <w:tcBorders>
              <w:tl2br w:val="nil"/>
              <w:tr2bl w:val="nil"/>
            </w:tcBorders>
            <w:vAlign w:val="center"/>
          </w:tcPr>
          <w:p>
            <w:pPr>
              <w:spacing w:line="240" w:lineRule="auto"/>
              <w:ind w:firstLine="0" w:firstLineChars="0"/>
              <w:jc w:val="center"/>
              <w:rPr>
                <w:color w:val="auto"/>
                <w:kern w:val="0"/>
                <w:sz w:val="21"/>
                <w:szCs w:val="21"/>
              </w:rPr>
            </w:pPr>
            <w:r>
              <w:rPr>
                <w:color w:val="auto"/>
                <w:sz w:val="21"/>
                <w:szCs w:val="21"/>
              </w:rPr>
              <w:t>NH</w:t>
            </w:r>
            <w:r>
              <w:rPr>
                <w:color w:val="auto"/>
                <w:sz w:val="21"/>
                <w:szCs w:val="21"/>
                <w:vertAlign w:val="subscript"/>
              </w:rPr>
              <w:t>3</w:t>
            </w:r>
          </w:p>
        </w:tc>
        <w:tc>
          <w:tcPr>
            <w:tcW w:w="6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0.33</w:t>
            </w:r>
            <w:r>
              <w:rPr>
                <w:color w:val="auto"/>
                <w:sz w:val="21"/>
                <w:szCs w:val="21"/>
              </w:rPr>
              <w:t>kg/h</w:t>
            </w:r>
          </w:p>
        </w:tc>
        <w:tc>
          <w:tcPr>
            <w:tcW w:w="87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2.0</w:t>
            </w:r>
          </w:p>
        </w:tc>
        <w:tc>
          <w:tcPr>
            <w:tcW w:w="771"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0.1</w:t>
            </w:r>
          </w:p>
        </w:tc>
        <w:tc>
          <w:tcPr>
            <w:tcW w:w="795" w:type="pct"/>
            <w:vMerge w:val="restar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立即关停设备并组织专业人员进行维修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645" w:type="pct"/>
            <w:vMerge w:val="continue"/>
            <w:tcBorders>
              <w:tl2br w:val="nil"/>
              <w:tr2bl w:val="nil"/>
            </w:tcBorders>
            <w:vAlign w:val="center"/>
          </w:tcPr>
          <w:p>
            <w:pPr>
              <w:spacing w:line="240" w:lineRule="auto"/>
              <w:ind w:firstLine="0" w:firstLineChars="0"/>
              <w:jc w:val="center"/>
              <w:rPr>
                <w:color w:val="auto"/>
                <w:sz w:val="21"/>
                <w:szCs w:val="21"/>
              </w:rPr>
            </w:pPr>
          </w:p>
        </w:tc>
        <w:tc>
          <w:tcPr>
            <w:tcW w:w="872" w:type="pct"/>
            <w:vMerge w:val="continue"/>
            <w:tcBorders>
              <w:tl2br w:val="nil"/>
              <w:tr2bl w:val="nil"/>
            </w:tcBorders>
            <w:vAlign w:val="center"/>
          </w:tcPr>
          <w:p>
            <w:pPr>
              <w:spacing w:line="240" w:lineRule="auto"/>
              <w:ind w:firstLine="0" w:firstLineChars="0"/>
              <w:jc w:val="center"/>
              <w:rPr>
                <w:color w:val="auto"/>
                <w:sz w:val="21"/>
                <w:szCs w:val="21"/>
              </w:rPr>
            </w:pPr>
          </w:p>
        </w:tc>
        <w:tc>
          <w:tcPr>
            <w:tcW w:w="427" w:type="pct"/>
            <w:tcBorders>
              <w:tl2br w:val="nil"/>
              <w:tr2bl w:val="nil"/>
            </w:tcBorders>
            <w:vAlign w:val="center"/>
          </w:tcPr>
          <w:p>
            <w:pPr>
              <w:spacing w:line="240" w:lineRule="auto"/>
              <w:ind w:firstLine="0" w:firstLineChars="0"/>
              <w:jc w:val="center"/>
              <w:rPr>
                <w:color w:val="auto"/>
                <w:kern w:val="0"/>
                <w:sz w:val="21"/>
                <w:szCs w:val="21"/>
              </w:rPr>
            </w:pPr>
            <w:r>
              <w:rPr>
                <w:color w:val="auto"/>
                <w:sz w:val="21"/>
                <w:szCs w:val="21"/>
              </w:rPr>
              <w:t>H</w:t>
            </w:r>
            <w:r>
              <w:rPr>
                <w:color w:val="auto"/>
                <w:sz w:val="21"/>
                <w:szCs w:val="21"/>
                <w:vertAlign w:val="subscript"/>
              </w:rPr>
              <w:t>2</w:t>
            </w:r>
            <w:r>
              <w:rPr>
                <w:color w:val="auto"/>
                <w:sz w:val="21"/>
                <w:szCs w:val="21"/>
              </w:rPr>
              <w:t>S</w:t>
            </w:r>
          </w:p>
        </w:tc>
        <w:tc>
          <w:tcPr>
            <w:tcW w:w="6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4.9</w:t>
            </w:r>
            <w:r>
              <w:rPr>
                <w:color w:val="auto"/>
                <w:sz w:val="21"/>
                <w:szCs w:val="21"/>
              </w:rPr>
              <w:t>kg/h</w:t>
            </w:r>
          </w:p>
        </w:tc>
        <w:tc>
          <w:tcPr>
            <w:tcW w:w="878"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0.06</w:t>
            </w:r>
          </w:p>
        </w:tc>
        <w:tc>
          <w:tcPr>
            <w:tcW w:w="771"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0.003</w:t>
            </w:r>
          </w:p>
        </w:tc>
        <w:tc>
          <w:tcPr>
            <w:tcW w:w="795" w:type="pct"/>
            <w:vMerge w:val="continue"/>
            <w:tcBorders>
              <w:tl2br w:val="nil"/>
              <w:tr2bl w:val="nil"/>
            </w:tcBorders>
            <w:vAlign w:val="center"/>
          </w:tcPr>
          <w:p>
            <w:pPr>
              <w:spacing w:line="240" w:lineRule="auto"/>
              <w:ind w:firstLine="48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5" w:type="pct"/>
            <w:vMerge w:val="continue"/>
            <w:tcBorders>
              <w:tl2br w:val="nil"/>
              <w:tr2bl w:val="nil"/>
            </w:tcBorders>
            <w:vAlign w:val="center"/>
          </w:tcPr>
          <w:p>
            <w:pPr>
              <w:spacing w:line="240" w:lineRule="auto"/>
              <w:ind w:firstLine="0" w:firstLineChars="0"/>
              <w:jc w:val="center"/>
              <w:rPr>
                <w:color w:val="auto"/>
                <w:sz w:val="21"/>
                <w:szCs w:val="21"/>
              </w:rPr>
            </w:pPr>
          </w:p>
        </w:tc>
        <w:tc>
          <w:tcPr>
            <w:tcW w:w="872"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牛羊预制品生产线烹饪油烟</w:t>
            </w:r>
          </w:p>
        </w:tc>
        <w:tc>
          <w:tcPr>
            <w:tcW w:w="427" w:type="pct"/>
            <w:tcBorders>
              <w:tl2br w:val="nil"/>
              <w:tr2bl w:val="nil"/>
            </w:tcBorders>
            <w:vAlign w:val="center"/>
          </w:tcPr>
          <w:p>
            <w:pPr>
              <w:spacing w:line="240" w:lineRule="auto"/>
              <w:ind w:firstLine="0" w:firstLineChars="0"/>
              <w:jc w:val="center"/>
              <w:rPr>
                <w:color w:val="auto"/>
                <w:sz w:val="21"/>
                <w:szCs w:val="21"/>
              </w:rPr>
            </w:pPr>
            <w:r>
              <w:rPr>
                <w:color w:val="auto"/>
                <w:sz w:val="21"/>
                <w:szCs w:val="21"/>
              </w:rPr>
              <w:t>油烟</w:t>
            </w:r>
          </w:p>
        </w:tc>
        <w:tc>
          <w:tcPr>
            <w:tcW w:w="609" w:type="pct"/>
            <w:tcBorders>
              <w:tl2br w:val="nil"/>
              <w:tr2bl w:val="nil"/>
            </w:tcBorders>
            <w:vAlign w:val="center"/>
          </w:tcPr>
          <w:p>
            <w:pPr>
              <w:spacing w:line="240" w:lineRule="auto"/>
              <w:ind w:firstLine="0" w:firstLineChars="0"/>
              <w:jc w:val="center"/>
              <w:rPr>
                <w:color w:val="auto"/>
                <w:sz w:val="21"/>
                <w:szCs w:val="21"/>
              </w:rPr>
            </w:pPr>
            <w:r>
              <w:rPr>
                <w:rFonts w:hint="eastAsia"/>
                <w:color w:val="auto"/>
                <w:sz w:val="21"/>
                <w:szCs w:val="21"/>
              </w:rPr>
              <w:t>2.0mg/m</w:t>
            </w:r>
            <w:r>
              <w:rPr>
                <w:rFonts w:hint="eastAsia"/>
                <w:color w:val="auto"/>
                <w:sz w:val="21"/>
                <w:szCs w:val="21"/>
                <w:vertAlign w:val="superscript"/>
              </w:rPr>
              <w:t>3</w:t>
            </w:r>
          </w:p>
        </w:tc>
        <w:tc>
          <w:tcPr>
            <w:tcW w:w="878" w:type="pct"/>
            <w:tcBorders>
              <w:tl2br w:val="nil"/>
              <w:tr2bl w:val="nil"/>
            </w:tcBorders>
            <w:vAlign w:val="center"/>
          </w:tcPr>
          <w:p>
            <w:pPr>
              <w:spacing w:line="240" w:lineRule="auto"/>
              <w:ind w:firstLine="0" w:firstLineChars="0"/>
              <w:jc w:val="center"/>
              <w:rPr>
                <w:color w:val="auto"/>
                <w:sz w:val="21"/>
                <w:szCs w:val="21"/>
              </w:rPr>
            </w:pPr>
            <w:r>
              <w:rPr>
                <w:rFonts w:hint="eastAsia" w:ascii="Times New Roman" w:hAnsi="Times New Roman" w:eastAsia="宋体" w:cs="Times New Roman"/>
                <w:sz w:val="21"/>
                <w:szCs w:val="21"/>
                <w:lang w:val="en-US" w:eastAsia="zh-CN"/>
              </w:rPr>
              <w:t>42.0</w:t>
            </w:r>
          </w:p>
        </w:tc>
        <w:tc>
          <w:tcPr>
            <w:tcW w:w="771" w:type="pct"/>
            <w:tcBorders>
              <w:tl2br w:val="nil"/>
              <w:tr2bl w:val="nil"/>
            </w:tcBorders>
            <w:vAlign w:val="center"/>
          </w:tcPr>
          <w:p>
            <w:pPr>
              <w:spacing w:line="240" w:lineRule="auto"/>
              <w:ind w:firstLine="0" w:firstLineChars="0"/>
              <w:jc w:val="center"/>
              <w:rPr>
                <w:color w:val="auto"/>
                <w:sz w:val="21"/>
                <w:szCs w:val="21"/>
              </w:rPr>
            </w:pPr>
            <w:r>
              <w:rPr>
                <w:rFonts w:hint="default" w:ascii="Times New Roman" w:hAnsi="Times New Roman" w:eastAsia="宋体" w:cs="Times New Roman"/>
                <w:sz w:val="21"/>
                <w:szCs w:val="21"/>
              </w:rPr>
              <w:t>0.84</w:t>
            </w:r>
          </w:p>
        </w:tc>
        <w:tc>
          <w:tcPr>
            <w:tcW w:w="795" w:type="pct"/>
            <w:vMerge w:val="continue"/>
            <w:tcBorders>
              <w:tl2br w:val="nil"/>
              <w:tr2bl w:val="nil"/>
            </w:tcBorders>
            <w:vAlign w:val="center"/>
          </w:tcPr>
          <w:p>
            <w:pPr>
              <w:spacing w:line="240" w:lineRule="auto"/>
              <w:ind w:firstLine="480"/>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7"/>
            <w:tcBorders>
              <w:tl2br w:val="nil"/>
              <w:tr2bl w:val="nil"/>
            </w:tcBorders>
            <w:vAlign w:val="center"/>
          </w:tcPr>
          <w:p>
            <w:pPr>
              <w:spacing w:line="240" w:lineRule="auto"/>
              <w:ind w:firstLine="0" w:firstLineChars="0"/>
              <w:rPr>
                <w:rFonts w:hint="eastAsia" w:eastAsia="宋体"/>
                <w:color w:val="auto"/>
                <w:lang w:eastAsia="zh-CN"/>
              </w:rPr>
            </w:pPr>
            <w:r>
              <w:rPr>
                <w:rFonts w:hint="eastAsia"/>
                <w:color w:val="auto"/>
                <w:sz w:val="21"/>
                <w:szCs w:val="21"/>
              </w:rPr>
              <w:t>备注：《</w:t>
            </w:r>
            <w:r>
              <w:rPr>
                <w:color w:val="auto"/>
                <w:sz w:val="21"/>
                <w:szCs w:val="21"/>
              </w:rPr>
              <w:t>恶臭污染物排放标准</w:t>
            </w:r>
            <w:r>
              <w:rPr>
                <w:rFonts w:hint="eastAsia"/>
                <w:color w:val="auto"/>
                <w:sz w:val="21"/>
                <w:szCs w:val="21"/>
              </w:rPr>
              <w:t>》（GB14554-93）中仅对</w:t>
            </w:r>
            <w:r>
              <w:rPr>
                <w:color w:val="auto"/>
                <w:sz w:val="21"/>
                <w:szCs w:val="21"/>
              </w:rPr>
              <w:t>NH</w:t>
            </w:r>
            <w:r>
              <w:rPr>
                <w:color w:val="auto"/>
                <w:sz w:val="21"/>
                <w:szCs w:val="21"/>
                <w:vertAlign w:val="subscript"/>
              </w:rPr>
              <w:t>3</w:t>
            </w:r>
            <w:r>
              <w:rPr>
                <w:rFonts w:hint="eastAsia"/>
                <w:color w:val="auto"/>
                <w:sz w:val="21"/>
                <w:szCs w:val="21"/>
              </w:rPr>
              <w:t>、</w:t>
            </w:r>
            <w:r>
              <w:rPr>
                <w:color w:val="auto"/>
                <w:sz w:val="21"/>
                <w:szCs w:val="21"/>
              </w:rPr>
              <w:t>H</w:t>
            </w:r>
            <w:r>
              <w:rPr>
                <w:color w:val="auto"/>
                <w:sz w:val="21"/>
                <w:szCs w:val="21"/>
                <w:vertAlign w:val="subscript"/>
              </w:rPr>
              <w:t>2</w:t>
            </w:r>
            <w:r>
              <w:rPr>
                <w:color w:val="auto"/>
                <w:sz w:val="21"/>
                <w:szCs w:val="21"/>
              </w:rPr>
              <w:t>S</w:t>
            </w:r>
            <w:r>
              <w:rPr>
                <w:rFonts w:hint="eastAsia"/>
                <w:color w:val="auto"/>
                <w:sz w:val="21"/>
                <w:szCs w:val="21"/>
              </w:rPr>
              <w:t>的排放速率有限值要求</w:t>
            </w:r>
            <w:r>
              <w:rPr>
                <w:rFonts w:hint="eastAsia"/>
                <w:color w:val="auto"/>
                <w:sz w:val="21"/>
                <w:szCs w:val="21"/>
                <w:lang w:eastAsia="zh-CN"/>
              </w:rPr>
              <w:t>。</w:t>
            </w:r>
          </w:p>
        </w:tc>
      </w:tr>
    </w:tbl>
    <w:p>
      <w:pPr>
        <w:ind w:firstLine="480"/>
      </w:pPr>
      <w:r>
        <w:rPr>
          <w:rFonts w:hint="eastAsia"/>
        </w:rPr>
        <w:t>由上表可知，非正常工况下牛羊预制品生产线烹饪油烟不能实现达标排放，油烟</w:t>
      </w:r>
      <w:r>
        <w:t>未经净化直接排放</w:t>
      </w:r>
      <w:r>
        <w:rPr>
          <w:rFonts w:hint="eastAsia"/>
        </w:rPr>
        <w:t>将会对周边环境空气质量造成一定的</w:t>
      </w:r>
      <w:r>
        <w:t>影响。为防止废气非正常工况排放，企业必须加强废气处理设施的管理</w:t>
      </w:r>
      <w:r>
        <w:rPr>
          <w:rFonts w:hint="eastAsia"/>
        </w:rPr>
        <w:t>，尤其是对</w:t>
      </w:r>
      <w:r>
        <w:t>静电油烟处理</w:t>
      </w:r>
      <w:r>
        <w:rPr>
          <w:rFonts w:hint="eastAsia"/>
        </w:rPr>
        <w:t>装置的管理</w:t>
      </w:r>
      <w:r>
        <w:t>，定期检修废气处理设施，确保废气处理设施正常运行，在废气处理设备停止运行或出现故障时，产生废气的各工序也必须相应停止运行。为杜绝废气非正常排放，应采取以下措施确保废气达标排放：</w:t>
      </w:r>
    </w:p>
    <w:p>
      <w:pPr>
        <w:ind w:firstLine="480"/>
      </w:pPr>
      <w:r>
        <w:t>①安排专人负责环保设备的日常维护和管理，固定时间检查、汇报情况，及时发现废气处理设备的隐患，确保废气处理系统正常运行；</w:t>
      </w:r>
    </w:p>
    <w:p>
      <w:pPr>
        <w:ind w:firstLine="480"/>
      </w:pPr>
      <w:r>
        <w:t>②定期更换</w:t>
      </w:r>
      <w:r>
        <w:rPr>
          <w:rFonts w:hint="eastAsia"/>
        </w:rPr>
        <w:t>以损坏或失效的环保材料（如活性炭等）</w:t>
      </w:r>
      <w:r>
        <w:t>；</w:t>
      </w:r>
    </w:p>
    <w:p>
      <w:pPr>
        <w:ind w:firstLine="480"/>
      </w:pPr>
      <w:r>
        <w:t>③建立健全环保管理机构，对环保管理人员和技术人员进行岗位培训，委托具有专业资质的环境检测单位对项目排放的各类污染物进行定期检测；</w:t>
      </w:r>
    </w:p>
    <w:p>
      <w:pPr>
        <w:ind w:firstLine="480"/>
      </w:pPr>
      <w:r>
        <w:t>④应定期维护、检修废气净化装置，以保持废气处理装置的净化能力和净化容量。</w:t>
      </w:r>
    </w:p>
    <w:p>
      <w:pPr>
        <w:ind w:firstLine="480"/>
        <w:rPr>
          <w:b/>
          <w:bCs/>
        </w:rPr>
      </w:pPr>
      <w:r>
        <w:t>⑤</w:t>
      </w:r>
      <w:r>
        <w:rPr>
          <w:rFonts w:hint="eastAsia"/>
        </w:rPr>
        <w:t>加强对厂区职工的培训，严格按照生产工艺规范操作，杜绝因认为因素造成废气超标排放。</w:t>
      </w:r>
    </w:p>
    <w:p>
      <w:pPr>
        <w:pStyle w:val="7"/>
        <w:ind w:firstLine="482"/>
      </w:pPr>
      <w:r>
        <w:rPr>
          <w:rFonts w:hint="eastAsia"/>
          <w:lang w:val="en-US" w:eastAsia="zh-CN"/>
        </w:rPr>
        <w:t>5</w:t>
      </w:r>
      <w:r>
        <w:rPr>
          <w:rFonts w:hint="eastAsia"/>
        </w:rPr>
        <w:t>.2.3.3、废气污染物排放量核算</w:t>
      </w:r>
    </w:p>
    <w:p>
      <w:pPr>
        <w:ind w:firstLine="482"/>
      </w:pPr>
      <w:r>
        <w:rPr>
          <w:rFonts w:hint="eastAsia"/>
          <w:b/>
          <w:bCs/>
        </w:rPr>
        <w:t>1、大气污染物有组织排放量核算</w:t>
      </w:r>
    </w:p>
    <w:p>
      <w:pPr>
        <w:ind w:firstLine="480"/>
      </w:pPr>
      <w:r>
        <w:rPr>
          <w:rFonts w:hint="eastAsia"/>
        </w:rPr>
        <w:t>大气污染物有组织排放量核算见表</w:t>
      </w:r>
      <w:r>
        <w:rPr>
          <w:rFonts w:hint="eastAsia"/>
          <w:lang w:val="en-US" w:eastAsia="zh-CN"/>
        </w:rPr>
        <w:t>5</w:t>
      </w:r>
      <w:r>
        <w:rPr>
          <w:rFonts w:hint="eastAsia"/>
        </w:rPr>
        <w:t>.16。</w:t>
      </w:r>
    </w:p>
    <w:p>
      <w:pPr>
        <w:spacing w:line="240" w:lineRule="auto"/>
        <w:ind w:firstLine="482"/>
        <w:jc w:val="center"/>
        <w:rPr>
          <w:rFonts w:hint="eastAsia"/>
          <w:b/>
          <w:bCs/>
        </w:rPr>
      </w:pPr>
    </w:p>
    <w:p>
      <w:pPr>
        <w:spacing w:line="240" w:lineRule="auto"/>
        <w:ind w:firstLine="482"/>
        <w:jc w:val="center"/>
        <w:rPr>
          <w:rFonts w:hint="eastAsia"/>
          <w:b/>
          <w:bCs/>
        </w:rPr>
      </w:pPr>
    </w:p>
    <w:p>
      <w:pPr>
        <w:spacing w:line="240" w:lineRule="auto"/>
        <w:ind w:firstLine="482"/>
        <w:jc w:val="center"/>
        <w:rPr>
          <w:rFonts w:hint="eastAsia"/>
          <w:b/>
          <w:bCs/>
        </w:rPr>
      </w:pPr>
    </w:p>
    <w:p>
      <w:pPr>
        <w:spacing w:line="240" w:lineRule="auto"/>
        <w:ind w:firstLine="482"/>
        <w:jc w:val="center"/>
        <w:rPr>
          <w:b/>
          <w:bCs/>
        </w:rPr>
      </w:pPr>
      <w:r>
        <w:rPr>
          <w:rFonts w:hint="eastAsia"/>
          <w:b/>
          <w:bCs/>
        </w:rPr>
        <w:t>表</w:t>
      </w:r>
      <w:r>
        <w:rPr>
          <w:rFonts w:hint="eastAsia"/>
          <w:b/>
          <w:bCs/>
          <w:lang w:val="en-US" w:eastAsia="zh-CN"/>
        </w:rPr>
        <w:t>5</w:t>
      </w:r>
      <w:r>
        <w:rPr>
          <w:rFonts w:hint="eastAsia"/>
          <w:b/>
          <w:bCs/>
        </w:rPr>
        <w:t>.16    大气污染物有组织排放量核算表</w:t>
      </w:r>
    </w:p>
    <w:tbl>
      <w:tblPr>
        <w:tblStyle w:val="32"/>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957"/>
        <w:gridCol w:w="1061"/>
        <w:gridCol w:w="2201"/>
        <w:gridCol w:w="1939"/>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序号</w:t>
            </w:r>
          </w:p>
        </w:tc>
        <w:tc>
          <w:tcPr>
            <w:tcW w:w="983"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排放口</w:t>
            </w:r>
          </w:p>
        </w:tc>
        <w:tc>
          <w:tcPr>
            <w:tcW w:w="533"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污染物</w:t>
            </w:r>
          </w:p>
        </w:tc>
        <w:tc>
          <w:tcPr>
            <w:tcW w:w="1106"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核算排放浓度/（mg/m</w:t>
            </w:r>
            <w:r>
              <w:rPr>
                <w:b/>
                <w:bCs/>
                <w:kern w:val="0"/>
                <w:sz w:val="21"/>
                <w:szCs w:val="21"/>
                <w:vertAlign w:val="superscript"/>
              </w:rPr>
              <w:t>3</w:t>
            </w:r>
            <w:r>
              <w:rPr>
                <w:b/>
                <w:bCs/>
                <w:kern w:val="0"/>
                <w:sz w:val="21"/>
                <w:szCs w:val="21"/>
              </w:rPr>
              <w:t>）</w:t>
            </w:r>
          </w:p>
        </w:tc>
        <w:tc>
          <w:tcPr>
            <w:tcW w:w="973"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核算排放速率/（kg/h）</w:t>
            </w:r>
          </w:p>
        </w:tc>
        <w:tc>
          <w:tcPr>
            <w:tcW w:w="1035"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核算年排放量/（t/a）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 w:type="pct"/>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rFonts w:hint="eastAsia"/>
                <w:kern w:val="0"/>
                <w:sz w:val="21"/>
                <w:szCs w:val="21"/>
              </w:rPr>
              <w:t>1</w:t>
            </w:r>
          </w:p>
        </w:tc>
        <w:tc>
          <w:tcPr>
            <w:tcW w:w="983" w:type="pct"/>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rFonts w:hint="eastAsia"/>
                <w:kern w:val="0"/>
                <w:sz w:val="21"/>
                <w:szCs w:val="21"/>
              </w:rPr>
              <w:t>肉羊精深加工车间排气筒</w:t>
            </w:r>
          </w:p>
        </w:tc>
        <w:tc>
          <w:tcPr>
            <w:tcW w:w="533" w:type="pct"/>
            <w:tcBorders>
              <w:tl2br w:val="nil"/>
              <w:tr2bl w:val="nil"/>
            </w:tcBorders>
            <w:shd w:val="clear" w:color="auto" w:fill="auto"/>
            <w:vAlign w:val="center"/>
          </w:tcPr>
          <w:p>
            <w:pPr>
              <w:spacing w:line="240" w:lineRule="auto"/>
              <w:ind w:firstLine="0" w:firstLineChars="0"/>
              <w:jc w:val="center"/>
              <w:rPr>
                <w:kern w:val="0"/>
                <w:sz w:val="21"/>
                <w:szCs w:val="21"/>
              </w:rPr>
            </w:pPr>
            <w:r>
              <w:rPr>
                <w:sz w:val="21"/>
                <w:szCs w:val="21"/>
              </w:rPr>
              <w:t>NH</w:t>
            </w:r>
            <w:r>
              <w:rPr>
                <w:sz w:val="21"/>
                <w:szCs w:val="21"/>
                <w:vertAlign w:val="subscript"/>
              </w:rPr>
              <w:t>3</w:t>
            </w:r>
          </w:p>
        </w:tc>
        <w:tc>
          <w:tcPr>
            <w:tcW w:w="2201"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rPr>
              <w:t>0.54</w:t>
            </w:r>
          </w:p>
        </w:tc>
        <w:tc>
          <w:tcPr>
            <w:tcW w:w="1939"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0.24</w:t>
            </w:r>
          </w:p>
        </w:tc>
        <w:tc>
          <w:tcPr>
            <w:tcW w:w="2060"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 w:type="pct"/>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983" w:type="pct"/>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533" w:type="pct"/>
            <w:tcBorders>
              <w:tl2br w:val="nil"/>
              <w:tr2bl w:val="nil"/>
            </w:tcBorders>
            <w:shd w:val="clear" w:color="auto" w:fill="auto"/>
            <w:vAlign w:val="center"/>
          </w:tcPr>
          <w:p>
            <w:pPr>
              <w:spacing w:line="240" w:lineRule="auto"/>
              <w:ind w:firstLine="0" w:firstLineChars="0"/>
              <w:jc w:val="center"/>
              <w:rPr>
                <w:kern w:val="0"/>
                <w:sz w:val="21"/>
                <w:szCs w:val="21"/>
              </w:rPr>
            </w:pPr>
            <w:r>
              <w:rPr>
                <w:sz w:val="21"/>
                <w:szCs w:val="21"/>
              </w:rPr>
              <w:t>H</w:t>
            </w:r>
            <w:r>
              <w:rPr>
                <w:sz w:val="21"/>
                <w:szCs w:val="21"/>
                <w:vertAlign w:val="subscript"/>
              </w:rPr>
              <w:t>2</w:t>
            </w:r>
            <w:r>
              <w:rPr>
                <w:sz w:val="21"/>
                <w:szCs w:val="21"/>
              </w:rPr>
              <w:t>S</w:t>
            </w:r>
          </w:p>
        </w:tc>
        <w:tc>
          <w:tcPr>
            <w:tcW w:w="2201"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0.018</w:t>
            </w:r>
          </w:p>
        </w:tc>
        <w:tc>
          <w:tcPr>
            <w:tcW w:w="1939"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0.0081</w:t>
            </w:r>
          </w:p>
        </w:tc>
        <w:tc>
          <w:tcPr>
            <w:tcW w:w="2060"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0.0081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rFonts w:hint="eastAsia"/>
                <w:kern w:val="0"/>
                <w:sz w:val="21"/>
                <w:szCs w:val="21"/>
              </w:rPr>
              <w:t>2</w:t>
            </w:r>
          </w:p>
        </w:tc>
        <w:tc>
          <w:tcPr>
            <w:tcW w:w="983"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牛羊预制品生产线烹饪油烟</w:t>
            </w:r>
            <w:r>
              <w:rPr>
                <w:rFonts w:hint="eastAsia"/>
                <w:kern w:val="0"/>
                <w:sz w:val="21"/>
                <w:szCs w:val="21"/>
              </w:rPr>
              <w:t>排气筒</w:t>
            </w:r>
          </w:p>
        </w:tc>
        <w:tc>
          <w:tcPr>
            <w:tcW w:w="533" w:type="pct"/>
            <w:tcBorders>
              <w:tl2br w:val="nil"/>
              <w:tr2bl w:val="nil"/>
            </w:tcBorders>
            <w:shd w:val="clear" w:color="auto" w:fill="auto"/>
            <w:vAlign w:val="center"/>
          </w:tcPr>
          <w:p>
            <w:pPr>
              <w:spacing w:line="240" w:lineRule="auto"/>
              <w:ind w:firstLine="0" w:firstLineChars="0"/>
              <w:jc w:val="center"/>
              <w:rPr>
                <w:sz w:val="21"/>
                <w:szCs w:val="21"/>
              </w:rPr>
            </w:pPr>
            <w:r>
              <w:rPr>
                <w:rFonts w:hint="eastAsia"/>
                <w:sz w:val="21"/>
                <w:szCs w:val="21"/>
              </w:rPr>
              <w:t>油烟</w:t>
            </w:r>
          </w:p>
        </w:tc>
        <w:tc>
          <w:tcPr>
            <w:tcW w:w="1106" w:type="pct"/>
            <w:tcBorders>
              <w:tl2br w:val="nil"/>
              <w:tr2bl w:val="nil"/>
            </w:tcBorders>
            <w:shd w:val="clear" w:color="auto" w:fill="auto"/>
            <w:vAlign w:val="center"/>
          </w:tcPr>
          <w:p>
            <w:pPr>
              <w:spacing w:line="240" w:lineRule="auto"/>
              <w:ind w:firstLine="0" w:firstLineChars="0"/>
              <w:jc w:val="center"/>
              <w:rPr>
                <w:sz w:val="21"/>
                <w:szCs w:val="21"/>
              </w:rPr>
            </w:pPr>
            <w:r>
              <w:rPr>
                <w:rFonts w:hint="default" w:ascii="Times New Roman" w:hAnsi="Times New Roman" w:eastAsia="宋体" w:cs="Times New Roman"/>
                <w:sz w:val="21"/>
                <w:szCs w:val="21"/>
              </w:rPr>
              <w:t>1.05</w:t>
            </w:r>
          </w:p>
        </w:tc>
        <w:tc>
          <w:tcPr>
            <w:tcW w:w="973" w:type="pct"/>
            <w:tcBorders>
              <w:tl2br w:val="nil"/>
              <w:tr2bl w:val="nil"/>
            </w:tcBorders>
            <w:shd w:val="clear" w:color="auto" w:fill="auto"/>
            <w:vAlign w:val="center"/>
          </w:tcPr>
          <w:p>
            <w:pPr>
              <w:spacing w:line="240" w:lineRule="auto"/>
              <w:ind w:firstLine="0" w:firstLineChars="0"/>
              <w:jc w:val="center"/>
              <w:rPr>
                <w:sz w:val="21"/>
                <w:szCs w:val="21"/>
              </w:rPr>
            </w:pPr>
            <w:r>
              <w:rPr>
                <w:rFonts w:hint="default" w:ascii="Times New Roman" w:hAnsi="Times New Roman" w:eastAsia="宋体" w:cs="Times New Roman"/>
                <w:sz w:val="21"/>
                <w:szCs w:val="21"/>
              </w:rPr>
              <w:t>0.084</w:t>
            </w:r>
          </w:p>
        </w:tc>
        <w:tc>
          <w:tcPr>
            <w:tcW w:w="1035" w:type="pct"/>
            <w:tcBorders>
              <w:tl2br w:val="nil"/>
              <w:tr2bl w:val="nil"/>
            </w:tcBorders>
            <w:shd w:val="clear" w:color="auto" w:fill="auto"/>
            <w:vAlign w:val="center"/>
          </w:tcPr>
          <w:p>
            <w:pPr>
              <w:spacing w:line="240" w:lineRule="auto"/>
              <w:ind w:firstLine="0" w:firstLineChars="0"/>
              <w:jc w:val="center"/>
              <w:rPr>
                <w:sz w:val="21"/>
                <w:szCs w:val="21"/>
              </w:rPr>
            </w:pPr>
            <w:r>
              <w:rPr>
                <w:rFonts w:hint="default" w:ascii="Times New Roman" w:hAnsi="Times New Roman" w:eastAsia="宋体" w:cs="Times New Roman"/>
                <w:sz w:val="21"/>
                <w:szCs w:val="21"/>
              </w:rPr>
              <w:t>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pct"/>
            <w:gridSpan w:val="2"/>
            <w:vMerge w:val="restart"/>
            <w:tcBorders>
              <w:tl2br w:val="nil"/>
              <w:tr2bl w:val="nil"/>
            </w:tcBorders>
            <w:vAlign w:val="center"/>
          </w:tcPr>
          <w:p>
            <w:pPr>
              <w:widowControl/>
              <w:spacing w:line="240" w:lineRule="auto"/>
              <w:ind w:firstLine="0" w:firstLineChars="0"/>
              <w:jc w:val="center"/>
              <w:rPr>
                <w:kern w:val="0"/>
                <w:sz w:val="21"/>
                <w:szCs w:val="21"/>
              </w:rPr>
            </w:pPr>
            <w:r>
              <w:rPr>
                <w:rFonts w:hint="eastAsia"/>
                <w:kern w:val="0"/>
                <w:sz w:val="21"/>
                <w:szCs w:val="21"/>
              </w:rPr>
              <w:t>有组织排放合计</w:t>
            </w:r>
          </w:p>
        </w:tc>
        <w:tc>
          <w:tcPr>
            <w:tcW w:w="2613" w:type="pct"/>
            <w:gridSpan w:val="3"/>
            <w:tcBorders>
              <w:tl2br w:val="nil"/>
              <w:tr2bl w:val="nil"/>
            </w:tcBorders>
            <w:shd w:val="clear" w:color="auto" w:fill="auto"/>
            <w:vAlign w:val="center"/>
          </w:tcPr>
          <w:p>
            <w:pPr>
              <w:spacing w:line="240" w:lineRule="auto"/>
              <w:ind w:firstLine="0" w:firstLineChars="0"/>
              <w:jc w:val="center"/>
              <w:rPr>
                <w:kern w:val="0"/>
                <w:sz w:val="21"/>
                <w:szCs w:val="21"/>
              </w:rPr>
            </w:pPr>
            <w:r>
              <w:rPr>
                <w:sz w:val="21"/>
                <w:szCs w:val="21"/>
              </w:rPr>
              <w:t>NH</w:t>
            </w:r>
            <w:r>
              <w:rPr>
                <w:sz w:val="21"/>
                <w:szCs w:val="21"/>
                <w:vertAlign w:val="subscript"/>
              </w:rPr>
              <w:t>3</w:t>
            </w:r>
          </w:p>
        </w:tc>
        <w:tc>
          <w:tcPr>
            <w:tcW w:w="2060"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pct"/>
            <w:gridSpan w:val="2"/>
            <w:vMerge w:val="continue"/>
            <w:tcBorders>
              <w:tl2br w:val="nil"/>
              <w:tr2bl w:val="nil"/>
            </w:tcBorders>
            <w:vAlign w:val="center"/>
          </w:tcPr>
          <w:p>
            <w:pPr>
              <w:widowControl/>
              <w:spacing w:line="240" w:lineRule="auto"/>
              <w:ind w:firstLine="0" w:firstLineChars="0"/>
              <w:jc w:val="center"/>
              <w:rPr>
                <w:kern w:val="0"/>
                <w:sz w:val="21"/>
                <w:szCs w:val="21"/>
              </w:rPr>
            </w:pPr>
          </w:p>
        </w:tc>
        <w:tc>
          <w:tcPr>
            <w:tcW w:w="2613" w:type="pct"/>
            <w:gridSpan w:val="3"/>
            <w:tcBorders>
              <w:tl2br w:val="nil"/>
              <w:tr2bl w:val="nil"/>
            </w:tcBorders>
            <w:shd w:val="clear" w:color="auto" w:fill="auto"/>
            <w:vAlign w:val="center"/>
          </w:tcPr>
          <w:p>
            <w:pPr>
              <w:spacing w:line="240" w:lineRule="auto"/>
              <w:ind w:firstLine="0" w:firstLineChars="0"/>
              <w:jc w:val="center"/>
              <w:rPr>
                <w:kern w:val="0"/>
                <w:sz w:val="21"/>
                <w:szCs w:val="21"/>
              </w:rPr>
            </w:pPr>
            <w:r>
              <w:rPr>
                <w:sz w:val="21"/>
                <w:szCs w:val="21"/>
              </w:rPr>
              <w:t>H</w:t>
            </w:r>
            <w:r>
              <w:rPr>
                <w:sz w:val="21"/>
                <w:szCs w:val="21"/>
                <w:vertAlign w:val="subscript"/>
              </w:rPr>
              <w:t>2</w:t>
            </w:r>
            <w:r>
              <w:rPr>
                <w:sz w:val="21"/>
                <w:szCs w:val="21"/>
              </w:rPr>
              <w:t>S</w:t>
            </w:r>
          </w:p>
        </w:tc>
        <w:tc>
          <w:tcPr>
            <w:tcW w:w="2060" w:type="dxa"/>
            <w:tcBorders>
              <w:tl2br w:val="nil"/>
              <w:tr2bl w:val="nil"/>
            </w:tcBorders>
            <w:shd w:val="clear" w:color="auto" w:fill="auto"/>
            <w:vAlign w:val="center"/>
          </w:tcPr>
          <w:p>
            <w:pPr>
              <w:bidi w:val="0"/>
              <w:spacing w:line="240" w:lineRule="auto"/>
              <w:ind w:left="0" w:leftChars="0" w:firstLine="0" w:firstLineChars="0"/>
              <w:jc w:val="center"/>
              <w:rPr>
                <w:sz w:val="21"/>
                <w:szCs w:val="21"/>
              </w:rPr>
            </w:pPr>
            <w:r>
              <w:rPr>
                <w:rFonts w:hint="default" w:ascii="Times New Roman" w:hAnsi="Times New Roman" w:eastAsia="宋体" w:cs="Times New Roman"/>
                <w:sz w:val="21"/>
                <w:szCs w:val="21"/>
                <w:lang w:val="en-US" w:eastAsia="zh-CN"/>
              </w:rPr>
              <w:t>0.0081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1" w:type="pct"/>
            <w:gridSpan w:val="2"/>
            <w:vMerge w:val="continue"/>
            <w:tcBorders>
              <w:tl2br w:val="nil"/>
              <w:tr2bl w:val="nil"/>
            </w:tcBorders>
            <w:vAlign w:val="center"/>
          </w:tcPr>
          <w:p>
            <w:pPr>
              <w:widowControl/>
              <w:spacing w:line="240" w:lineRule="auto"/>
              <w:ind w:firstLine="0" w:firstLineChars="0"/>
              <w:jc w:val="center"/>
              <w:rPr>
                <w:kern w:val="0"/>
                <w:sz w:val="21"/>
                <w:szCs w:val="21"/>
              </w:rPr>
            </w:pPr>
          </w:p>
        </w:tc>
        <w:tc>
          <w:tcPr>
            <w:tcW w:w="2613" w:type="pct"/>
            <w:gridSpan w:val="3"/>
            <w:tcBorders>
              <w:tl2br w:val="nil"/>
              <w:tr2bl w:val="nil"/>
            </w:tcBorders>
            <w:shd w:val="clear" w:color="auto" w:fill="auto"/>
            <w:vAlign w:val="center"/>
          </w:tcPr>
          <w:p>
            <w:pPr>
              <w:spacing w:line="240" w:lineRule="auto"/>
              <w:ind w:firstLine="0" w:firstLineChars="0"/>
              <w:jc w:val="center"/>
              <w:rPr>
                <w:sz w:val="21"/>
                <w:szCs w:val="21"/>
              </w:rPr>
            </w:pPr>
            <w:r>
              <w:rPr>
                <w:rFonts w:hint="eastAsia"/>
                <w:sz w:val="21"/>
                <w:szCs w:val="21"/>
              </w:rPr>
              <w:t>油烟</w:t>
            </w:r>
          </w:p>
        </w:tc>
        <w:tc>
          <w:tcPr>
            <w:tcW w:w="1035" w:type="pct"/>
            <w:tcBorders>
              <w:tl2br w:val="nil"/>
              <w:tr2bl w:val="nil"/>
            </w:tcBorders>
            <w:shd w:val="clear" w:color="auto" w:fill="auto"/>
            <w:vAlign w:val="center"/>
          </w:tcPr>
          <w:p>
            <w:pPr>
              <w:spacing w:line="240" w:lineRule="auto"/>
              <w:ind w:firstLine="0" w:firstLineChars="0"/>
              <w:jc w:val="center"/>
              <w:rPr>
                <w:sz w:val="21"/>
                <w:szCs w:val="21"/>
              </w:rPr>
            </w:pPr>
            <w:r>
              <w:rPr>
                <w:sz w:val="21"/>
                <w:szCs w:val="21"/>
              </w:rPr>
              <w:t>0.308</w:t>
            </w:r>
          </w:p>
        </w:tc>
      </w:tr>
    </w:tbl>
    <w:p>
      <w:pPr>
        <w:ind w:firstLine="482"/>
      </w:pPr>
      <w:r>
        <w:rPr>
          <w:rFonts w:hint="eastAsia"/>
          <w:b/>
          <w:bCs/>
        </w:rPr>
        <w:t>2、大气污染物无组织排放量核算</w:t>
      </w:r>
    </w:p>
    <w:p>
      <w:pPr>
        <w:ind w:firstLine="480"/>
      </w:pPr>
      <w:r>
        <w:rPr>
          <w:rFonts w:hint="eastAsia"/>
        </w:rPr>
        <w:t>大气污染物无组织排放量核算见表</w:t>
      </w:r>
      <w:r>
        <w:rPr>
          <w:rFonts w:hint="eastAsia"/>
          <w:lang w:val="en-US" w:eastAsia="zh-CN"/>
        </w:rPr>
        <w:t>5</w:t>
      </w:r>
      <w:r>
        <w:rPr>
          <w:rFonts w:hint="eastAsia"/>
        </w:rPr>
        <w:t>.17。</w:t>
      </w:r>
    </w:p>
    <w:p>
      <w:pPr>
        <w:spacing w:line="240" w:lineRule="auto"/>
        <w:ind w:firstLine="482"/>
        <w:jc w:val="center"/>
        <w:rPr>
          <w:b/>
          <w:bCs/>
        </w:rPr>
      </w:pPr>
      <w:r>
        <w:rPr>
          <w:rFonts w:hint="eastAsia"/>
          <w:b/>
          <w:bCs/>
        </w:rPr>
        <w:t>表</w:t>
      </w:r>
      <w:r>
        <w:rPr>
          <w:rFonts w:hint="eastAsia"/>
          <w:b/>
          <w:bCs/>
          <w:lang w:val="en-US" w:eastAsia="zh-CN"/>
        </w:rPr>
        <w:t>5</w:t>
      </w:r>
      <w:r>
        <w:rPr>
          <w:rFonts w:hint="eastAsia"/>
          <w:b/>
          <w:bCs/>
        </w:rPr>
        <w:t>.17    大气污染物无组织排放量核算表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848"/>
        <w:gridCol w:w="963"/>
        <w:gridCol w:w="2000"/>
        <w:gridCol w:w="2525"/>
        <w:gridCol w:w="762"/>
        <w:gridCol w:w="1063"/>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9" w:type="pct"/>
            <w:vMerge w:val="restar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序号</w:t>
            </w:r>
          </w:p>
        </w:tc>
        <w:tc>
          <w:tcPr>
            <w:tcW w:w="425" w:type="pct"/>
            <w:vMerge w:val="restar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产污</w:t>
            </w:r>
          </w:p>
          <w:p>
            <w:pPr>
              <w:widowControl/>
              <w:spacing w:line="240" w:lineRule="auto"/>
              <w:ind w:firstLine="0" w:firstLineChars="0"/>
              <w:jc w:val="center"/>
              <w:rPr>
                <w:b/>
                <w:bCs/>
                <w:kern w:val="0"/>
                <w:sz w:val="21"/>
                <w:szCs w:val="21"/>
              </w:rPr>
            </w:pPr>
            <w:r>
              <w:rPr>
                <w:b/>
                <w:bCs/>
                <w:kern w:val="0"/>
                <w:sz w:val="21"/>
                <w:szCs w:val="21"/>
              </w:rPr>
              <w:t>环节</w:t>
            </w:r>
          </w:p>
        </w:tc>
        <w:tc>
          <w:tcPr>
            <w:tcW w:w="483" w:type="pct"/>
            <w:vMerge w:val="restar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污染物</w:t>
            </w:r>
          </w:p>
        </w:tc>
        <w:tc>
          <w:tcPr>
            <w:tcW w:w="1004" w:type="pct"/>
            <w:vMerge w:val="restar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主要污染防治措施</w:t>
            </w:r>
          </w:p>
        </w:tc>
        <w:tc>
          <w:tcPr>
            <w:tcW w:w="2183" w:type="pct"/>
            <w:gridSpan w:val="3"/>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国家或地方污染物排放标准</w:t>
            </w:r>
          </w:p>
        </w:tc>
        <w:tc>
          <w:tcPr>
            <w:tcW w:w="572" w:type="pct"/>
            <w:vMerge w:val="restar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9" w:type="pct"/>
            <w:vMerge w:val="continue"/>
            <w:tcBorders>
              <w:tl2br w:val="nil"/>
              <w:tr2bl w:val="nil"/>
            </w:tcBorders>
            <w:vAlign w:val="center"/>
          </w:tcPr>
          <w:p>
            <w:pPr>
              <w:widowControl/>
              <w:spacing w:line="240" w:lineRule="auto"/>
              <w:ind w:firstLine="0" w:firstLineChars="0"/>
              <w:rPr>
                <w:kern w:val="0"/>
                <w:sz w:val="21"/>
                <w:szCs w:val="21"/>
              </w:rPr>
            </w:pPr>
          </w:p>
        </w:tc>
        <w:tc>
          <w:tcPr>
            <w:tcW w:w="425" w:type="pct"/>
            <w:vMerge w:val="continue"/>
            <w:tcBorders>
              <w:tl2br w:val="nil"/>
              <w:tr2bl w:val="nil"/>
            </w:tcBorders>
            <w:vAlign w:val="center"/>
          </w:tcPr>
          <w:p>
            <w:pPr>
              <w:widowControl/>
              <w:spacing w:line="240" w:lineRule="auto"/>
              <w:ind w:firstLine="0" w:firstLineChars="0"/>
              <w:rPr>
                <w:kern w:val="0"/>
                <w:sz w:val="21"/>
                <w:szCs w:val="21"/>
              </w:rPr>
            </w:pPr>
          </w:p>
        </w:tc>
        <w:tc>
          <w:tcPr>
            <w:tcW w:w="483" w:type="pct"/>
            <w:vMerge w:val="continue"/>
            <w:tcBorders>
              <w:tl2br w:val="nil"/>
              <w:tr2bl w:val="nil"/>
            </w:tcBorders>
            <w:vAlign w:val="center"/>
          </w:tcPr>
          <w:p>
            <w:pPr>
              <w:widowControl/>
              <w:spacing w:line="240" w:lineRule="auto"/>
              <w:ind w:firstLine="0" w:firstLineChars="0"/>
              <w:rPr>
                <w:kern w:val="0"/>
                <w:sz w:val="21"/>
                <w:szCs w:val="21"/>
              </w:rPr>
            </w:pPr>
          </w:p>
        </w:tc>
        <w:tc>
          <w:tcPr>
            <w:tcW w:w="1004" w:type="pct"/>
            <w:vMerge w:val="continue"/>
            <w:tcBorders>
              <w:tl2br w:val="nil"/>
              <w:tr2bl w:val="nil"/>
            </w:tcBorders>
            <w:vAlign w:val="center"/>
          </w:tcPr>
          <w:p>
            <w:pPr>
              <w:widowControl/>
              <w:spacing w:line="240" w:lineRule="auto"/>
              <w:ind w:firstLine="0" w:firstLineChars="0"/>
              <w:rPr>
                <w:kern w:val="0"/>
                <w:sz w:val="21"/>
                <w:szCs w:val="21"/>
              </w:rPr>
            </w:pPr>
          </w:p>
        </w:tc>
        <w:tc>
          <w:tcPr>
            <w:tcW w:w="1267" w:type="pct"/>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标准名称</w:t>
            </w:r>
          </w:p>
        </w:tc>
        <w:tc>
          <w:tcPr>
            <w:tcW w:w="916" w:type="pct"/>
            <w:gridSpan w:val="2"/>
            <w:tcBorders>
              <w:tl2br w:val="nil"/>
              <w:tr2bl w:val="nil"/>
            </w:tcBorders>
            <w:shd w:val="clear" w:color="auto" w:fill="auto"/>
            <w:vAlign w:val="center"/>
          </w:tcPr>
          <w:p>
            <w:pPr>
              <w:widowControl/>
              <w:spacing w:line="240" w:lineRule="auto"/>
              <w:ind w:firstLine="0" w:firstLineChars="0"/>
              <w:jc w:val="center"/>
              <w:rPr>
                <w:b/>
                <w:bCs/>
                <w:kern w:val="0"/>
                <w:sz w:val="21"/>
                <w:szCs w:val="21"/>
              </w:rPr>
            </w:pPr>
            <w:r>
              <w:rPr>
                <w:b/>
                <w:bCs/>
                <w:kern w:val="0"/>
                <w:sz w:val="21"/>
                <w:szCs w:val="21"/>
              </w:rPr>
              <w:t>浓度限值</w:t>
            </w:r>
          </w:p>
        </w:tc>
        <w:tc>
          <w:tcPr>
            <w:tcW w:w="572" w:type="pct"/>
            <w:vMerge w:val="continue"/>
            <w:tcBorders>
              <w:tl2br w:val="nil"/>
              <w:tr2bl w:val="nil"/>
            </w:tcBorders>
            <w:vAlign w:val="center"/>
          </w:tcPr>
          <w:p>
            <w:pPr>
              <w:widowControl/>
              <w:spacing w:line="240" w:lineRule="auto"/>
              <w:ind w:firstLine="0" w:firstLineChars="0"/>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9" w:type="pct"/>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1</w:t>
            </w:r>
          </w:p>
        </w:tc>
        <w:tc>
          <w:tcPr>
            <w:tcW w:w="425" w:type="pct"/>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rFonts w:hint="eastAsia"/>
                <w:kern w:val="0"/>
                <w:sz w:val="21"/>
                <w:szCs w:val="21"/>
              </w:rPr>
              <w:t>待宰圈</w:t>
            </w:r>
          </w:p>
        </w:tc>
        <w:tc>
          <w:tcPr>
            <w:tcW w:w="483"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H</w:t>
            </w:r>
            <w:r>
              <w:rPr>
                <w:kern w:val="0"/>
                <w:sz w:val="21"/>
                <w:szCs w:val="21"/>
                <w:vertAlign w:val="subscript"/>
              </w:rPr>
              <w:t>2</w:t>
            </w:r>
            <w:r>
              <w:rPr>
                <w:kern w:val="0"/>
                <w:sz w:val="21"/>
                <w:szCs w:val="21"/>
              </w:rPr>
              <w:t>S</w:t>
            </w:r>
          </w:p>
        </w:tc>
        <w:tc>
          <w:tcPr>
            <w:tcW w:w="1004" w:type="pct"/>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干清粪工艺+定期喷洒生物除臭剂</w:t>
            </w:r>
          </w:p>
        </w:tc>
        <w:tc>
          <w:tcPr>
            <w:tcW w:w="1267" w:type="pct"/>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《恶臭污染物排放标准》（GB14554-93）</w:t>
            </w:r>
          </w:p>
        </w:tc>
        <w:tc>
          <w:tcPr>
            <w:tcW w:w="382"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NH</w:t>
            </w:r>
            <w:r>
              <w:rPr>
                <w:kern w:val="0"/>
                <w:sz w:val="21"/>
                <w:szCs w:val="21"/>
                <w:vertAlign w:val="subscript"/>
              </w:rPr>
              <w:t>3</w:t>
            </w:r>
          </w:p>
        </w:tc>
        <w:tc>
          <w:tcPr>
            <w:tcW w:w="533"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2.0mg/m</w:t>
            </w:r>
            <w:r>
              <w:rPr>
                <w:kern w:val="0"/>
                <w:sz w:val="21"/>
                <w:szCs w:val="21"/>
                <w:vertAlign w:val="superscript"/>
              </w:rPr>
              <w:t>3</w:t>
            </w:r>
          </w:p>
        </w:tc>
        <w:tc>
          <w:tcPr>
            <w:tcW w:w="572" w:type="pct"/>
            <w:tcBorders>
              <w:tl2br w:val="nil"/>
              <w:tr2bl w:val="nil"/>
            </w:tcBorders>
            <w:shd w:val="clear" w:color="auto" w:fill="auto"/>
            <w:vAlign w:val="center"/>
          </w:tcPr>
          <w:p>
            <w:pPr>
              <w:spacing w:line="240" w:lineRule="auto"/>
              <w:ind w:firstLine="0" w:firstLineChars="0"/>
              <w:jc w:val="center"/>
              <w:rPr>
                <w:sz w:val="21"/>
                <w:szCs w:val="21"/>
              </w:rPr>
            </w:pPr>
            <w:r>
              <w:rPr>
                <w:rFonts w:hint="eastAsia"/>
                <w:sz w:val="21"/>
                <w:szCs w:val="21"/>
              </w:rPr>
              <w:t>0.0084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329" w:type="pct"/>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425" w:type="pct"/>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483"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NH</w:t>
            </w:r>
            <w:r>
              <w:rPr>
                <w:kern w:val="0"/>
                <w:sz w:val="21"/>
                <w:szCs w:val="21"/>
                <w:vertAlign w:val="subscript"/>
              </w:rPr>
              <w:t>3</w:t>
            </w:r>
          </w:p>
        </w:tc>
        <w:tc>
          <w:tcPr>
            <w:tcW w:w="1004" w:type="pct"/>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1267" w:type="pct"/>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382"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H</w:t>
            </w:r>
            <w:r>
              <w:rPr>
                <w:kern w:val="0"/>
                <w:sz w:val="21"/>
                <w:szCs w:val="21"/>
                <w:vertAlign w:val="subscript"/>
              </w:rPr>
              <w:t>2</w:t>
            </w:r>
            <w:r>
              <w:rPr>
                <w:kern w:val="0"/>
                <w:sz w:val="21"/>
                <w:szCs w:val="21"/>
              </w:rPr>
              <w:t>S</w:t>
            </w:r>
          </w:p>
        </w:tc>
        <w:tc>
          <w:tcPr>
            <w:tcW w:w="533" w:type="pc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0.1mg/m</w:t>
            </w:r>
            <w:r>
              <w:rPr>
                <w:kern w:val="0"/>
                <w:sz w:val="21"/>
                <w:szCs w:val="21"/>
                <w:vertAlign w:val="superscript"/>
              </w:rPr>
              <w:t>3</w:t>
            </w:r>
          </w:p>
        </w:tc>
        <w:tc>
          <w:tcPr>
            <w:tcW w:w="572" w:type="pct"/>
            <w:tcBorders>
              <w:tl2br w:val="nil"/>
              <w:tr2bl w:val="nil"/>
            </w:tcBorders>
            <w:shd w:val="clear" w:color="auto" w:fill="auto"/>
            <w:vAlign w:val="center"/>
          </w:tcPr>
          <w:p>
            <w:pPr>
              <w:spacing w:line="240" w:lineRule="auto"/>
              <w:ind w:firstLine="0" w:firstLineChars="0"/>
              <w:jc w:val="center"/>
              <w:rPr>
                <w:sz w:val="21"/>
                <w:szCs w:val="21"/>
              </w:rPr>
            </w:pPr>
            <w:r>
              <w:rPr>
                <w:rFonts w:hint="eastAsia"/>
                <w:sz w:val="21"/>
                <w:szCs w:val="21"/>
              </w:rPr>
              <w:t>0.00084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3" w:type="pct"/>
            <w:gridSpan w:val="4"/>
            <w:vMerge w:val="restart"/>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无组织排放总计</w:t>
            </w:r>
          </w:p>
        </w:tc>
        <w:tc>
          <w:tcPr>
            <w:tcW w:w="2183" w:type="pct"/>
            <w:gridSpan w:val="3"/>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NH</w:t>
            </w:r>
            <w:r>
              <w:rPr>
                <w:kern w:val="0"/>
                <w:sz w:val="21"/>
                <w:szCs w:val="21"/>
                <w:vertAlign w:val="subscript"/>
              </w:rPr>
              <w:t>3</w:t>
            </w:r>
          </w:p>
        </w:tc>
        <w:tc>
          <w:tcPr>
            <w:tcW w:w="572" w:type="pct"/>
            <w:tcBorders>
              <w:tl2br w:val="nil"/>
              <w:tr2bl w:val="nil"/>
            </w:tcBorders>
            <w:shd w:val="clear" w:color="auto" w:fill="auto"/>
            <w:vAlign w:val="center"/>
          </w:tcPr>
          <w:p>
            <w:pPr>
              <w:spacing w:line="240" w:lineRule="auto"/>
              <w:ind w:firstLine="0" w:firstLineChars="0"/>
              <w:jc w:val="center"/>
              <w:rPr>
                <w:sz w:val="21"/>
                <w:szCs w:val="21"/>
              </w:rPr>
            </w:pPr>
            <w:r>
              <w:rPr>
                <w:rFonts w:hint="eastAsia"/>
                <w:sz w:val="21"/>
                <w:szCs w:val="21"/>
              </w:rPr>
              <w:t>0.0084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3" w:type="pct"/>
            <w:gridSpan w:val="4"/>
            <w:vMerge w:val="continue"/>
            <w:tcBorders>
              <w:tl2br w:val="nil"/>
              <w:tr2bl w:val="nil"/>
            </w:tcBorders>
            <w:shd w:val="clear" w:color="auto" w:fill="auto"/>
            <w:vAlign w:val="center"/>
          </w:tcPr>
          <w:p>
            <w:pPr>
              <w:widowControl/>
              <w:spacing w:line="240" w:lineRule="auto"/>
              <w:ind w:firstLine="0" w:firstLineChars="0"/>
              <w:jc w:val="center"/>
              <w:rPr>
                <w:kern w:val="0"/>
                <w:sz w:val="21"/>
                <w:szCs w:val="21"/>
              </w:rPr>
            </w:pPr>
          </w:p>
        </w:tc>
        <w:tc>
          <w:tcPr>
            <w:tcW w:w="2183" w:type="pct"/>
            <w:gridSpan w:val="3"/>
            <w:tcBorders>
              <w:tl2br w:val="nil"/>
              <w:tr2bl w:val="nil"/>
            </w:tcBorders>
            <w:shd w:val="clear" w:color="auto" w:fill="auto"/>
            <w:vAlign w:val="center"/>
          </w:tcPr>
          <w:p>
            <w:pPr>
              <w:widowControl/>
              <w:spacing w:line="240" w:lineRule="auto"/>
              <w:ind w:firstLine="0" w:firstLineChars="0"/>
              <w:jc w:val="center"/>
              <w:rPr>
                <w:kern w:val="0"/>
                <w:sz w:val="21"/>
                <w:szCs w:val="21"/>
              </w:rPr>
            </w:pPr>
            <w:r>
              <w:rPr>
                <w:kern w:val="0"/>
                <w:sz w:val="21"/>
                <w:szCs w:val="21"/>
              </w:rPr>
              <w:t>H</w:t>
            </w:r>
            <w:r>
              <w:rPr>
                <w:kern w:val="0"/>
                <w:sz w:val="21"/>
                <w:szCs w:val="21"/>
                <w:vertAlign w:val="subscript"/>
              </w:rPr>
              <w:t>2</w:t>
            </w:r>
            <w:r>
              <w:rPr>
                <w:kern w:val="0"/>
                <w:sz w:val="21"/>
                <w:szCs w:val="21"/>
              </w:rPr>
              <w:t>S</w:t>
            </w:r>
          </w:p>
        </w:tc>
        <w:tc>
          <w:tcPr>
            <w:tcW w:w="572" w:type="pct"/>
            <w:tcBorders>
              <w:tl2br w:val="nil"/>
              <w:tr2bl w:val="nil"/>
            </w:tcBorders>
            <w:shd w:val="clear" w:color="auto" w:fill="auto"/>
            <w:vAlign w:val="center"/>
          </w:tcPr>
          <w:p>
            <w:pPr>
              <w:spacing w:line="240" w:lineRule="auto"/>
              <w:ind w:firstLine="0" w:firstLineChars="0"/>
              <w:jc w:val="center"/>
              <w:rPr>
                <w:sz w:val="21"/>
                <w:szCs w:val="21"/>
              </w:rPr>
            </w:pPr>
            <w:r>
              <w:rPr>
                <w:rFonts w:hint="eastAsia"/>
                <w:sz w:val="21"/>
                <w:szCs w:val="21"/>
              </w:rPr>
              <w:t>0.00084</w:t>
            </w:r>
          </w:p>
        </w:tc>
      </w:tr>
    </w:tbl>
    <w:p>
      <w:pPr>
        <w:ind w:firstLine="482"/>
      </w:pPr>
      <w:r>
        <w:rPr>
          <w:rFonts w:hint="eastAsia"/>
          <w:b/>
          <w:bCs/>
        </w:rPr>
        <w:t>3、</w:t>
      </w:r>
      <w:r>
        <w:rPr>
          <w:b/>
          <w:bCs/>
        </w:rPr>
        <w:t>大气污染物年排放量核算</w:t>
      </w:r>
    </w:p>
    <w:p>
      <w:pPr>
        <w:ind w:firstLine="480"/>
      </w:pPr>
      <w:r>
        <w:t>本项目大气污染物年排放量核算见下表所示。</w:t>
      </w:r>
    </w:p>
    <w:p>
      <w:pPr>
        <w:spacing w:line="240" w:lineRule="auto"/>
        <w:ind w:firstLine="482"/>
        <w:jc w:val="center"/>
        <w:rPr>
          <w:b/>
          <w:bCs/>
        </w:rPr>
      </w:pPr>
      <w:r>
        <w:rPr>
          <w:b/>
          <w:bCs/>
        </w:rPr>
        <w:t>表</w:t>
      </w:r>
      <w:r>
        <w:rPr>
          <w:rFonts w:hint="eastAsia"/>
          <w:b/>
          <w:bCs/>
          <w:lang w:val="en-US" w:eastAsia="zh-CN"/>
        </w:rPr>
        <w:t>5</w:t>
      </w:r>
      <w:r>
        <w:rPr>
          <w:rFonts w:hint="eastAsia"/>
          <w:b/>
          <w:bCs/>
        </w:rPr>
        <w:t xml:space="preserve">.18  </w:t>
      </w:r>
      <w:r>
        <w:rPr>
          <w:b/>
          <w:bCs/>
        </w:rPr>
        <w:t xml:space="preserve">  大气污染物年排放量核算表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72"/>
        <w:gridCol w:w="4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6" w:type="pct"/>
            <w:tcBorders>
              <w:tl2br w:val="nil"/>
              <w:tr2bl w:val="nil"/>
            </w:tcBorders>
            <w:vAlign w:val="center"/>
          </w:tcPr>
          <w:p>
            <w:pPr>
              <w:widowControl/>
              <w:spacing w:line="240" w:lineRule="auto"/>
              <w:ind w:firstLine="0" w:firstLineChars="0"/>
              <w:jc w:val="center"/>
              <w:rPr>
                <w:b/>
                <w:bCs/>
                <w:kern w:val="0"/>
                <w:sz w:val="21"/>
                <w:szCs w:val="21"/>
              </w:rPr>
            </w:pPr>
            <w:r>
              <w:rPr>
                <w:b/>
                <w:bCs/>
                <w:kern w:val="0"/>
                <w:sz w:val="21"/>
                <w:szCs w:val="21"/>
              </w:rPr>
              <w:t>污染物</w:t>
            </w:r>
          </w:p>
        </w:tc>
        <w:tc>
          <w:tcPr>
            <w:tcW w:w="2253" w:type="pct"/>
            <w:tcBorders>
              <w:tl2br w:val="nil"/>
              <w:tr2bl w:val="nil"/>
            </w:tcBorders>
            <w:vAlign w:val="center"/>
          </w:tcPr>
          <w:p>
            <w:pPr>
              <w:widowControl/>
              <w:spacing w:line="240" w:lineRule="auto"/>
              <w:ind w:firstLine="0" w:firstLineChars="0"/>
              <w:jc w:val="center"/>
              <w:rPr>
                <w:b/>
                <w:bCs/>
                <w:kern w:val="0"/>
                <w:sz w:val="21"/>
                <w:szCs w:val="21"/>
              </w:rPr>
            </w:pPr>
            <w:r>
              <w:rPr>
                <w:b/>
                <w:bCs/>
                <w:kern w:val="0"/>
                <w:sz w:val="21"/>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6" w:type="pct"/>
            <w:tcBorders>
              <w:tl2br w:val="nil"/>
              <w:tr2bl w:val="nil"/>
            </w:tcBorders>
            <w:vAlign w:val="center"/>
          </w:tcPr>
          <w:p>
            <w:pPr>
              <w:widowControl/>
              <w:spacing w:line="240" w:lineRule="auto"/>
              <w:ind w:firstLine="0" w:firstLineChars="0"/>
              <w:jc w:val="center"/>
              <w:rPr>
                <w:kern w:val="0"/>
                <w:sz w:val="21"/>
                <w:szCs w:val="21"/>
              </w:rPr>
            </w:pPr>
            <w:r>
              <w:rPr>
                <w:kern w:val="0"/>
                <w:sz w:val="21"/>
                <w:szCs w:val="21"/>
              </w:rPr>
              <w:t>H</w:t>
            </w:r>
            <w:r>
              <w:rPr>
                <w:kern w:val="0"/>
                <w:sz w:val="21"/>
                <w:szCs w:val="21"/>
                <w:vertAlign w:val="subscript"/>
              </w:rPr>
              <w:t>2</w:t>
            </w:r>
            <w:r>
              <w:rPr>
                <w:kern w:val="0"/>
                <w:sz w:val="21"/>
                <w:szCs w:val="21"/>
              </w:rPr>
              <w:t>S</w:t>
            </w:r>
          </w:p>
        </w:tc>
        <w:tc>
          <w:tcPr>
            <w:tcW w:w="2253" w:type="pct"/>
            <w:tcBorders>
              <w:tl2br w:val="nil"/>
              <w:tr2bl w:val="nil"/>
            </w:tcBorders>
            <w:vAlign w:val="center"/>
          </w:tcPr>
          <w:p>
            <w:pPr>
              <w:widowControl/>
              <w:spacing w:line="240" w:lineRule="auto"/>
              <w:ind w:firstLine="0" w:firstLineChars="0"/>
              <w:jc w:val="center"/>
              <w:rPr>
                <w:rFonts w:hint="default" w:eastAsia="宋体"/>
                <w:kern w:val="0"/>
                <w:sz w:val="21"/>
                <w:szCs w:val="21"/>
                <w:lang w:val="en-US" w:eastAsia="zh-CN"/>
              </w:rPr>
            </w:pPr>
            <w:r>
              <w:rPr>
                <w:rFonts w:hint="eastAsia"/>
                <w:kern w:val="0"/>
                <w:sz w:val="21"/>
                <w:szCs w:val="21"/>
                <w:lang w:val="en-US" w:eastAsia="zh-CN"/>
              </w:rPr>
              <w:t>0.0089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6" w:type="pct"/>
            <w:tcBorders>
              <w:tl2br w:val="nil"/>
              <w:tr2bl w:val="nil"/>
            </w:tcBorders>
            <w:vAlign w:val="center"/>
          </w:tcPr>
          <w:p>
            <w:pPr>
              <w:widowControl/>
              <w:spacing w:line="240" w:lineRule="auto"/>
              <w:ind w:firstLine="0" w:firstLineChars="0"/>
              <w:jc w:val="center"/>
              <w:rPr>
                <w:kern w:val="0"/>
                <w:sz w:val="21"/>
                <w:szCs w:val="21"/>
              </w:rPr>
            </w:pPr>
            <w:r>
              <w:rPr>
                <w:kern w:val="0"/>
                <w:sz w:val="21"/>
                <w:szCs w:val="21"/>
              </w:rPr>
              <w:t>NH</w:t>
            </w:r>
            <w:r>
              <w:rPr>
                <w:kern w:val="0"/>
                <w:sz w:val="21"/>
                <w:szCs w:val="21"/>
                <w:vertAlign w:val="subscript"/>
              </w:rPr>
              <w:t>3</w:t>
            </w:r>
          </w:p>
        </w:tc>
        <w:tc>
          <w:tcPr>
            <w:tcW w:w="2253" w:type="pct"/>
            <w:tcBorders>
              <w:tl2br w:val="nil"/>
              <w:tr2bl w:val="nil"/>
            </w:tcBorders>
            <w:vAlign w:val="center"/>
          </w:tcPr>
          <w:p>
            <w:pPr>
              <w:widowControl/>
              <w:spacing w:line="240" w:lineRule="auto"/>
              <w:ind w:firstLine="0" w:firstLineChars="0"/>
              <w:jc w:val="center"/>
              <w:rPr>
                <w:rFonts w:hint="default" w:eastAsia="宋体"/>
                <w:kern w:val="0"/>
                <w:sz w:val="21"/>
                <w:szCs w:val="21"/>
                <w:lang w:val="en-US" w:eastAsia="zh-CN"/>
              </w:rPr>
            </w:pPr>
            <w:r>
              <w:rPr>
                <w:rFonts w:hint="eastAsia"/>
                <w:kern w:val="0"/>
                <w:sz w:val="21"/>
                <w:szCs w:val="21"/>
                <w:lang w:val="en-US" w:eastAsia="zh-CN"/>
              </w:rPr>
              <w:t>0.2484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746" w:type="pct"/>
            <w:tcBorders>
              <w:tl2br w:val="nil"/>
              <w:tr2bl w:val="nil"/>
            </w:tcBorders>
            <w:vAlign w:val="center"/>
          </w:tcPr>
          <w:p>
            <w:pPr>
              <w:spacing w:line="240" w:lineRule="auto"/>
              <w:ind w:firstLine="0" w:firstLineChars="0"/>
              <w:jc w:val="center"/>
              <w:rPr>
                <w:sz w:val="21"/>
                <w:szCs w:val="21"/>
              </w:rPr>
            </w:pPr>
            <w:r>
              <w:rPr>
                <w:rFonts w:hint="eastAsia"/>
                <w:sz w:val="21"/>
                <w:szCs w:val="21"/>
              </w:rPr>
              <w:t>油烟</w:t>
            </w:r>
          </w:p>
        </w:tc>
        <w:tc>
          <w:tcPr>
            <w:tcW w:w="2253" w:type="pct"/>
            <w:tcBorders>
              <w:tl2br w:val="nil"/>
              <w:tr2bl w:val="nil"/>
            </w:tcBorders>
            <w:vAlign w:val="center"/>
          </w:tcPr>
          <w:p>
            <w:pPr>
              <w:spacing w:line="240" w:lineRule="auto"/>
              <w:ind w:firstLine="0" w:firstLineChars="0"/>
              <w:jc w:val="center"/>
              <w:rPr>
                <w:sz w:val="21"/>
                <w:szCs w:val="21"/>
              </w:rPr>
            </w:pPr>
            <w:r>
              <w:rPr>
                <w:rFonts w:hint="eastAsia"/>
                <w:sz w:val="21"/>
                <w:szCs w:val="21"/>
              </w:rPr>
              <w:t>0.308</w:t>
            </w:r>
          </w:p>
        </w:tc>
      </w:tr>
    </w:tbl>
    <w:p>
      <w:pPr>
        <w:pStyle w:val="7"/>
        <w:ind w:firstLine="482"/>
      </w:pPr>
      <w:r>
        <w:rPr>
          <w:rFonts w:hint="eastAsia"/>
          <w:lang w:val="en-US" w:eastAsia="zh-CN"/>
        </w:rPr>
        <w:t>5</w:t>
      </w:r>
      <w:r>
        <w:rPr>
          <w:rFonts w:hint="eastAsia"/>
        </w:rPr>
        <w:t>.2.3.4、环境空气影响评价结论</w:t>
      </w:r>
    </w:p>
    <w:p>
      <w:pPr>
        <w:ind w:firstLine="480"/>
      </w:pPr>
      <w:r>
        <w:rPr>
          <w:rFonts w:hint="eastAsia"/>
        </w:rPr>
        <w:t>本项目位于环境空气质量不达标区域，</w:t>
      </w:r>
      <w:r>
        <w:t>正常工况下，</w:t>
      </w:r>
      <w:r>
        <w:rPr>
          <w:rFonts w:hint="eastAsia"/>
        </w:rPr>
        <w:t>各污染源排放的污染物短期浓度贡献值的最大浓度占标率均小于100%</w:t>
      </w:r>
      <w:r>
        <w:t>，</w:t>
      </w:r>
      <w:r>
        <w:rPr>
          <w:rFonts w:hint="eastAsia"/>
        </w:rPr>
        <w:t>待宰圈排放的无组织恶臭气体（硫化氢、氨）及肉羊精深加工车间排气筒排放的有组织恶臭气体（硫化氢、氨）</w:t>
      </w:r>
      <w:r>
        <w:t>最大落地浓度满足《环境空气质量标准》（GB3095-2012附录D的限值要求</w:t>
      </w:r>
      <w:r>
        <w:rPr>
          <w:rFonts w:hint="eastAsia"/>
        </w:rPr>
        <w:t>；牛羊预制品生产线烹饪油烟排放能够满足</w:t>
      </w:r>
      <w:r>
        <w:t>《饮食业油烟排放标准（试行）》（GB18483-2001）中的2.0mg/m</w:t>
      </w:r>
      <w:r>
        <w:rPr>
          <w:vertAlign w:val="superscript"/>
        </w:rPr>
        <w:t>3</w:t>
      </w:r>
      <w:r>
        <w:t>的限值要求。正常工况下，废气排放对周围环境空气影响不大，不会降低项目所在区域大气功能类别</w:t>
      </w:r>
      <w:r>
        <w:rPr>
          <w:rFonts w:hint="eastAsia"/>
        </w:rPr>
        <w:t>，本次评价认为本项目运营期产生的废气对周边环境的影响是可以接受的</w:t>
      </w:r>
      <w:r>
        <w:t>。</w:t>
      </w:r>
    </w:p>
    <w:p>
      <w:pPr>
        <w:ind w:firstLine="480"/>
      </w:pPr>
      <w:r>
        <w:rPr>
          <w:rFonts w:hint="eastAsia"/>
        </w:rPr>
        <w:t>非正常排放情况下，牛羊预制品生产线烹饪油烟排放浓度不能够满足《饮食业油烟排放标准（试行）》（GB18483-2001）中的2.0mg/m</w:t>
      </w:r>
      <w:r>
        <w:rPr>
          <w:rFonts w:hint="eastAsia"/>
          <w:vertAlign w:val="superscript"/>
        </w:rPr>
        <w:t>3</w:t>
      </w:r>
      <w:r>
        <w:rPr>
          <w:rFonts w:hint="eastAsia"/>
        </w:rPr>
        <w:t>的限值要求，对环境影响较大，是不可接受的，因此建设单位必须定期对环保设备进行维护，确保废气治理设施能够正常运行。大气环境影响评价主要内容及结论详见下表。</w:t>
      </w:r>
    </w:p>
    <w:p>
      <w:pPr>
        <w:spacing w:line="240" w:lineRule="auto"/>
        <w:ind w:firstLine="482"/>
        <w:jc w:val="center"/>
        <w:rPr>
          <w:b/>
          <w:bCs/>
        </w:rPr>
      </w:pPr>
      <w:r>
        <w:rPr>
          <w:b/>
          <w:bCs/>
        </w:rPr>
        <w:t>表</w:t>
      </w:r>
      <w:r>
        <w:rPr>
          <w:rFonts w:hint="eastAsia"/>
          <w:b/>
          <w:bCs/>
          <w:lang w:val="en-US" w:eastAsia="zh-CN"/>
        </w:rPr>
        <w:t>5</w:t>
      </w:r>
      <w:r>
        <w:rPr>
          <w:rFonts w:hint="eastAsia"/>
          <w:b/>
          <w:bCs/>
        </w:rPr>
        <w:t>.19</w:t>
      </w:r>
      <w:r>
        <w:rPr>
          <w:b/>
          <w:bCs/>
        </w:rPr>
        <w:t xml:space="preserve">  </w:t>
      </w:r>
      <w:r>
        <w:rPr>
          <w:rFonts w:hint="eastAsia"/>
          <w:b/>
          <w:bCs/>
        </w:rPr>
        <w:t xml:space="preserve">  </w:t>
      </w:r>
      <w:r>
        <w:rPr>
          <w:b/>
          <w:bCs/>
        </w:rPr>
        <w:t>本项目大气环境影响评价自查表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1510"/>
        <w:gridCol w:w="1203"/>
        <w:gridCol w:w="468"/>
        <w:gridCol w:w="541"/>
        <w:gridCol w:w="309"/>
        <w:gridCol w:w="560"/>
        <w:gridCol w:w="342"/>
        <w:gridCol w:w="124"/>
        <w:gridCol w:w="856"/>
        <w:gridCol w:w="465"/>
        <w:gridCol w:w="622"/>
        <w:gridCol w:w="26"/>
        <w:gridCol w:w="902"/>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5" w:type="pct"/>
            <w:gridSpan w:val="2"/>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工作内容</w:t>
            </w:r>
          </w:p>
        </w:tc>
        <w:tc>
          <w:tcPr>
            <w:tcW w:w="3624" w:type="pct"/>
            <w:gridSpan w:val="13"/>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restar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评价等级与范围</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评价等级</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一级</w:t>
            </w:r>
            <w:r>
              <w:rPr>
                <w:kern w:val="0"/>
                <w:sz w:val="18"/>
                <w:szCs w:val="18"/>
              </w:rPr>
              <w:sym w:font="Wingdings 2" w:char="00A3"/>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二级</w:t>
            </w:r>
            <w:r>
              <w:rPr>
                <w:kern w:val="0"/>
                <w:sz w:val="18"/>
                <w:szCs w:val="18"/>
              </w:rPr>
              <w:sym w:font="Wingdings 2" w:char="0052"/>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三级</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评价范围</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边长=50km</w:t>
            </w:r>
            <w:r>
              <w:rPr>
                <w:kern w:val="0"/>
                <w:sz w:val="18"/>
                <w:szCs w:val="18"/>
              </w:rPr>
              <w:sym w:font="Wingdings 2" w:char="00A3"/>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边长5～50km</w:t>
            </w:r>
            <w:r>
              <w:rPr>
                <w:kern w:val="0"/>
                <w:sz w:val="18"/>
                <w:szCs w:val="18"/>
              </w:rPr>
              <w:sym w:font="Wingdings 2" w:char="00A3"/>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边长=5km</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restar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评价因子</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SO</w:t>
            </w:r>
            <w:r>
              <w:rPr>
                <w:kern w:val="0"/>
                <w:sz w:val="18"/>
                <w:szCs w:val="18"/>
                <w:vertAlign w:val="subscript"/>
              </w:rPr>
              <w:t>2</w:t>
            </w:r>
            <w:r>
              <w:rPr>
                <w:kern w:val="0"/>
                <w:sz w:val="18"/>
                <w:szCs w:val="18"/>
              </w:rPr>
              <w:t>+NOx排放量</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≥2000t/a</w:t>
            </w:r>
            <w:r>
              <w:rPr>
                <w:kern w:val="0"/>
                <w:sz w:val="18"/>
                <w:szCs w:val="18"/>
              </w:rPr>
              <w:sym w:font="Wingdings 2" w:char="00A3"/>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500~2000t/a</w:t>
            </w:r>
            <w:r>
              <w:rPr>
                <w:kern w:val="0"/>
                <w:sz w:val="18"/>
                <w:szCs w:val="18"/>
              </w:rPr>
              <w:sym w:font="Wingdings 2" w:char="00A3"/>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＜500t/a</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评价因子</w:t>
            </w:r>
          </w:p>
        </w:tc>
        <w:tc>
          <w:tcPr>
            <w:tcW w:w="2756" w:type="pct"/>
            <w:gridSpan w:val="10"/>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基本污染物（SO</w:t>
            </w:r>
            <w:r>
              <w:rPr>
                <w:kern w:val="0"/>
                <w:sz w:val="18"/>
                <w:szCs w:val="18"/>
                <w:vertAlign w:val="subscript"/>
              </w:rPr>
              <w:t>2</w:t>
            </w:r>
            <w:r>
              <w:rPr>
                <w:kern w:val="0"/>
                <w:sz w:val="18"/>
                <w:szCs w:val="18"/>
              </w:rPr>
              <w:t>、NO</w:t>
            </w:r>
            <w:r>
              <w:rPr>
                <w:kern w:val="0"/>
                <w:sz w:val="18"/>
                <w:szCs w:val="18"/>
                <w:vertAlign w:val="subscript"/>
              </w:rPr>
              <w:t>2</w:t>
            </w:r>
            <w:r>
              <w:rPr>
                <w:kern w:val="0"/>
                <w:sz w:val="18"/>
                <w:szCs w:val="18"/>
              </w:rPr>
              <w:t>、PM</w:t>
            </w:r>
            <w:r>
              <w:rPr>
                <w:kern w:val="0"/>
                <w:sz w:val="18"/>
                <w:szCs w:val="18"/>
                <w:vertAlign w:val="subscript"/>
              </w:rPr>
              <w:t>10</w:t>
            </w:r>
            <w:r>
              <w:rPr>
                <w:kern w:val="0"/>
                <w:sz w:val="18"/>
                <w:szCs w:val="18"/>
              </w:rPr>
              <w:t>、PM</w:t>
            </w:r>
            <w:r>
              <w:rPr>
                <w:kern w:val="0"/>
                <w:sz w:val="18"/>
                <w:szCs w:val="18"/>
                <w:vertAlign w:val="subscript"/>
              </w:rPr>
              <w:t>2.5</w:t>
            </w:r>
            <w:r>
              <w:rPr>
                <w:kern w:val="0"/>
                <w:sz w:val="18"/>
                <w:szCs w:val="18"/>
              </w:rPr>
              <w:t>、CO、O</w:t>
            </w:r>
            <w:r>
              <w:rPr>
                <w:kern w:val="0"/>
                <w:sz w:val="18"/>
                <w:szCs w:val="18"/>
                <w:vertAlign w:val="subscript"/>
              </w:rPr>
              <w:t>3</w:t>
            </w:r>
            <w:r>
              <w:rPr>
                <w:kern w:val="0"/>
                <w:sz w:val="18"/>
                <w:szCs w:val="18"/>
              </w:rPr>
              <w:t>）</w:t>
            </w:r>
          </w:p>
          <w:p>
            <w:pPr>
              <w:autoSpaceDE w:val="0"/>
              <w:autoSpaceDN w:val="0"/>
              <w:adjustRightInd w:val="0"/>
              <w:spacing w:line="240" w:lineRule="auto"/>
              <w:ind w:firstLine="0" w:firstLineChars="0"/>
              <w:jc w:val="center"/>
              <w:rPr>
                <w:kern w:val="0"/>
                <w:sz w:val="18"/>
                <w:szCs w:val="18"/>
              </w:rPr>
            </w:pPr>
            <w:r>
              <w:rPr>
                <w:kern w:val="0"/>
                <w:sz w:val="18"/>
                <w:szCs w:val="18"/>
              </w:rPr>
              <w:t>其他污染物（H</w:t>
            </w:r>
            <w:r>
              <w:rPr>
                <w:kern w:val="0"/>
                <w:sz w:val="18"/>
                <w:szCs w:val="18"/>
                <w:vertAlign w:val="subscript"/>
              </w:rPr>
              <w:t>2</w:t>
            </w:r>
            <w:r>
              <w:rPr>
                <w:kern w:val="0"/>
                <w:sz w:val="18"/>
                <w:szCs w:val="18"/>
              </w:rPr>
              <w:t>S、NH</w:t>
            </w:r>
            <w:r>
              <w:rPr>
                <w:kern w:val="0"/>
                <w:sz w:val="18"/>
                <w:szCs w:val="18"/>
                <w:vertAlign w:val="subscript"/>
              </w:rPr>
              <w:t>3</w:t>
            </w:r>
            <w:r>
              <w:rPr>
                <w:kern w:val="0"/>
                <w:sz w:val="18"/>
                <w:szCs w:val="18"/>
              </w:rPr>
              <w:t>）</w:t>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包括二次PM</w:t>
            </w:r>
            <w:r>
              <w:rPr>
                <w:kern w:val="0"/>
                <w:sz w:val="18"/>
                <w:szCs w:val="18"/>
                <w:vertAlign w:val="subscript"/>
              </w:rPr>
              <w:t>2.5</w:t>
            </w:r>
            <w:r>
              <w:rPr>
                <w:kern w:val="0"/>
                <w:sz w:val="18"/>
                <w:szCs w:val="18"/>
              </w:rPr>
              <w:sym w:font="Wingdings 2" w:char="00A3"/>
            </w:r>
          </w:p>
          <w:p>
            <w:pPr>
              <w:autoSpaceDE w:val="0"/>
              <w:autoSpaceDN w:val="0"/>
              <w:adjustRightInd w:val="0"/>
              <w:spacing w:line="240" w:lineRule="auto"/>
              <w:ind w:firstLine="0" w:firstLineChars="0"/>
              <w:jc w:val="center"/>
              <w:rPr>
                <w:kern w:val="0"/>
                <w:sz w:val="18"/>
                <w:szCs w:val="18"/>
              </w:rPr>
            </w:pPr>
            <w:r>
              <w:rPr>
                <w:kern w:val="0"/>
                <w:sz w:val="18"/>
                <w:szCs w:val="18"/>
              </w:rPr>
              <w:t>不包括二次PM</w:t>
            </w:r>
            <w:r>
              <w:rPr>
                <w:kern w:val="0"/>
                <w:sz w:val="18"/>
                <w:szCs w:val="18"/>
                <w:vertAlign w:val="subscript"/>
              </w:rPr>
              <w:t>2.5</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评价标准</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评价标准</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国家标准</w:t>
            </w:r>
            <w:r>
              <w:rPr>
                <w:kern w:val="0"/>
                <w:sz w:val="18"/>
                <w:szCs w:val="18"/>
              </w:rPr>
              <w:sym w:font="Wingdings 2" w:char="0052"/>
            </w:r>
          </w:p>
        </w:tc>
        <w:tc>
          <w:tcPr>
            <w:tcW w:w="670" w:type="pct"/>
            <w:gridSpan w:val="4"/>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地方标准</w:t>
            </w:r>
            <w:r>
              <w:rPr>
                <w:kern w:val="0"/>
                <w:sz w:val="18"/>
                <w:szCs w:val="18"/>
              </w:rPr>
              <w:sym w:font="Wingdings 2" w:char="00A3"/>
            </w:r>
          </w:p>
        </w:tc>
        <w:tc>
          <w:tcPr>
            <w:tcW w:w="975"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 xml:space="preserve">附录D </w:t>
            </w:r>
            <w:r>
              <w:rPr>
                <w:kern w:val="0"/>
                <w:sz w:val="18"/>
                <w:szCs w:val="18"/>
              </w:rPr>
              <w:sym w:font="Wingdings 2" w:char="0052"/>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其他标准</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restar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现状评价</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环境功能区</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一类区</w:t>
            </w:r>
            <w:r>
              <w:rPr>
                <w:kern w:val="0"/>
                <w:sz w:val="18"/>
                <w:szCs w:val="18"/>
              </w:rPr>
              <w:sym w:font="Wingdings 2" w:char="00A3"/>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二类区</w:t>
            </w:r>
            <w:r>
              <w:rPr>
                <w:kern w:val="0"/>
                <w:sz w:val="18"/>
                <w:szCs w:val="18"/>
              </w:rPr>
              <w:sym w:font="Wingdings 2" w:char="0052"/>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一类区和二类区</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基准年</w:t>
            </w:r>
          </w:p>
        </w:tc>
        <w:tc>
          <w:tcPr>
            <w:tcW w:w="3624" w:type="pct"/>
            <w:gridSpan w:val="1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（20</w:t>
            </w:r>
            <w:r>
              <w:rPr>
                <w:rFonts w:hint="eastAsia"/>
                <w:kern w:val="0"/>
                <w:sz w:val="18"/>
                <w:szCs w:val="18"/>
              </w:rPr>
              <w:t>21</w:t>
            </w:r>
            <w:r>
              <w:rPr>
                <w:kern w:val="0"/>
                <w:sz w:val="18"/>
                <w:szCs w:val="1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环境空气质量现状调查数据来源</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长期例行监测数据</w:t>
            </w:r>
            <w:r>
              <w:rPr>
                <w:kern w:val="0"/>
                <w:sz w:val="18"/>
                <w:szCs w:val="18"/>
              </w:rPr>
              <w:sym w:font="Wingdings 2" w:char="00A3"/>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主管部门发布的数据</w:t>
            </w:r>
            <w:r>
              <w:rPr>
                <w:kern w:val="0"/>
                <w:sz w:val="18"/>
                <w:szCs w:val="18"/>
              </w:rPr>
              <w:sym w:font="Wingdings 2" w:char="0052"/>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现状补充监测</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现状评价</w:t>
            </w:r>
          </w:p>
        </w:tc>
        <w:tc>
          <w:tcPr>
            <w:tcW w:w="2210" w:type="pct"/>
            <w:gridSpan w:val="8"/>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达标区</w:t>
            </w:r>
            <w:r>
              <w:rPr>
                <w:kern w:val="0"/>
                <w:sz w:val="18"/>
                <w:szCs w:val="18"/>
              </w:rPr>
              <w:sym w:font="Wingdings 2" w:char="0052"/>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不达标区</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污染源调查</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调查内容</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本项目正常排放源</w:t>
            </w:r>
            <w:r>
              <w:rPr>
                <w:kern w:val="0"/>
                <w:sz w:val="18"/>
                <w:szCs w:val="18"/>
              </w:rPr>
              <w:sym w:font="Wingdings 2" w:char="0052"/>
            </w:r>
          </w:p>
          <w:p>
            <w:pPr>
              <w:autoSpaceDE w:val="0"/>
              <w:autoSpaceDN w:val="0"/>
              <w:adjustRightInd w:val="0"/>
              <w:spacing w:line="240" w:lineRule="auto"/>
              <w:ind w:firstLine="0" w:firstLineChars="0"/>
              <w:jc w:val="center"/>
              <w:rPr>
                <w:kern w:val="0"/>
                <w:sz w:val="18"/>
                <w:szCs w:val="18"/>
              </w:rPr>
            </w:pPr>
            <w:r>
              <w:rPr>
                <w:kern w:val="0"/>
                <w:sz w:val="18"/>
                <w:szCs w:val="18"/>
              </w:rPr>
              <w:t>本项目非正常排放源</w:t>
            </w:r>
            <w:r>
              <w:rPr>
                <w:kern w:val="0"/>
                <w:sz w:val="18"/>
                <w:szCs w:val="18"/>
              </w:rPr>
              <w:sym w:font="Wingdings 2" w:char="0052"/>
            </w:r>
          </w:p>
          <w:p>
            <w:pPr>
              <w:autoSpaceDE w:val="0"/>
              <w:autoSpaceDN w:val="0"/>
              <w:adjustRightInd w:val="0"/>
              <w:spacing w:line="240" w:lineRule="auto"/>
              <w:ind w:firstLine="0" w:firstLineChars="0"/>
              <w:jc w:val="center"/>
              <w:rPr>
                <w:kern w:val="0"/>
                <w:sz w:val="18"/>
                <w:szCs w:val="18"/>
              </w:rPr>
            </w:pPr>
            <w:r>
              <w:rPr>
                <w:kern w:val="0"/>
                <w:sz w:val="18"/>
                <w:szCs w:val="18"/>
              </w:rPr>
              <w:t>现有污染源</w:t>
            </w:r>
            <w:r>
              <w:rPr>
                <w:kern w:val="0"/>
                <w:sz w:val="18"/>
                <w:szCs w:val="18"/>
              </w:rPr>
              <w:sym w:font="Wingdings 2" w:char="00A3"/>
            </w:r>
          </w:p>
        </w:tc>
        <w:tc>
          <w:tcPr>
            <w:tcW w:w="1100"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拟替代的污染源</w:t>
            </w:r>
            <w:r>
              <w:rPr>
                <w:kern w:val="0"/>
                <w:sz w:val="18"/>
                <w:szCs w:val="18"/>
              </w:rPr>
              <w:sym w:font="Wingdings 2" w:char="00A3"/>
            </w:r>
          </w:p>
        </w:tc>
        <w:tc>
          <w:tcPr>
            <w:tcW w:w="545" w:type="pct"/>
            <w:gridSpan w:val="2"/>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其他在建、拟建项目污染源</w:t>
            </w:r>
            <w:r>
              <w:rPr>
                <w:kern w:val="0"/>
                <w:sz w:val="18"/>
                <w:szCs w:val="18"/>
              </w:rPr>
              <w:sym w:font="Wingdings 2" w:char="00A3"/>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区域污染源</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restar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大气环境影响预测与评价</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预测模型</w:t>
            </w:r>
          </w:p>
        </w:tc>
        <w:tc>
          <w:tcPr>
            <w:tcW w:w="604"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AERMOD</w:t>
            </w:r>
            <w:r>
              <w:rPr>
                <w:kern w:val="0"/>
                <w:sz w:val="18"/>
                <w:szCs w:val="18"/>
              </w:rPr>
              <w:sym w:font="Wingdings 2" w:char="00A3"/>
            </w:r>
          </w:p>
        </w:tc>
        <w:tc>
          <w:tcPr>
            <w:tcW w:w="506" w:type="pct"/>
            <w:gridSpan w:val="2"/>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ADMS</w:t>
            </w:r>
            <w:r>
              <w:rPr>
                <w:kern w:val="0"/>
                <w:sz w:val="18"/>
                <w:szCs w:val="18"/>
              </w:rPr>
              <w:sym w:font="Wingdings 2" w:char="00A3"/>
            </w:r>
          </w:p>
        </w:tc>
        <w:tc>
          <w:tcPr>
            <w:tcW w:w="436" w:type="pct"/>
            <w:gridSpan w:val="2"/>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AUSTAL2000</w:t>
            </w:r>
            <w:r>
              <w:rPr>
                <w:kern w:val="0"/>
                <w:sz w:val="18"/>
                <w:szCs w:val="18"/>
              </w:rPr>
              <w:sym w:font="Wingdings 2" w:char="00A3"/>
            </w:r>
          </w:p>
        </w:tc>
        <w:tc>
          <w:tcPr>
            <w:tcW w:w="663"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 xml:space="preserve">EDMS/AEDT </w:t>
            </w:r>
            <w:r>
              <w:rPr>
                <w:kern w:val="0"/>
                <w:sz w:val="18"/>
                <w:szCs w:val="18"/>
              </w:rPr>
              <w:sym w:font="Wingdings 2" w:char="00A3"/>
            </w:r>
          </w:p>
        </w:tc>
        <w:tc>
          <w:tcPr>
            <w:tcW w:w="545" w:type="pct"/>
            <w:gridSpan w:val="2"/>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CALPUFF</w:t>
            </w:r>
            <w:r>
              <w:rPr>
                <w:kern w:val="0"/>
                <w:sz w:val="18"/>
                <w:szCs w:val="18"/>
              </w:rPr>
              <w:sym w:font="Wingdings 2" w:char="00A3"/>
            </w:r>
          </w:p>
        </w:tc>
        <w:tc>
          <w:tcPr>
            <w:tcW w:w="465" w:type="pct"/>
            <w:gridSpan w:val="2"/>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网格模型</w:t>
            </w:r>
            <w:r>
              <w:rPr>
                <w:kern w:val="0"/>
                <w:sz w:val="18"/>
                <w:szCs w:val="18"/>
              </w:rPr>
              <w:sym w:font="Wingdings 2" w:char="00A3"/>
            </w:r>
          </w:p>
        </w:tc>
        <w:tc>
          <w:tcPr>
            <w:tcW w:w="402"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其他</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预测范围</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边长≥50km</w:t>
            </w:r>
            <w:r>
              <w:rPr>
                <w:kern w:val="0"/>
                <w:sz w:val="18"/>
                <w:szCs w:val="18"/>
              </w:rPr>
              <w:sym w:font="Wingdings 2" w:char="00A3"/>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边长5～50km</w:t>
            </w:r>
            <w:r>
              <w:rPr>
                <w:kern w:val="0"/>
                <w:sz w:val="18"/>
                <w:szCs w:val="18"/>
              </w:rPr>
              <w:sym w:font="Wingdings 2" w:char="00A3"/>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边长= 5km</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预测因子</w:t>
            </w:r>
          </w:p>
        </w:tc>
        <w:tc>
          <w:tcPr>
            <w:tcW w:w="2210" w:type="pct"/>
            <w:gridSpan w:val="8"/>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预测因子（H</w:t>
            </w:r>
            <w:r>
              <w:rPr>
                <w:kern w:val="0"/>
                <w:sz w:val="18"/>
                <w:szCs w:val="18"/>
                <w:vertAlign w:val="subscript"/>
              </w:rPr>
              <w:t>2</w:t>
            </w:r>
            <w:r>
              <w:rPr>
                <w:kern w:val="0"/>
                <w:sz w:val="18"/>
                <w:szCs w:val="18"/>
              </w:rPr>
              <w:t>S、NH</w:t>
            </w:r>
            <w:r>
              <w:rPr>
                <w:kern w:val="0"/>
                <w:sz w:val="18"/>
                <w:szCs w:val="18"/>
                <w:vertAlign w:val="subscript"/>
              </w:rPr>
              <w:t>3</w:t>
            </w:r>
            <w:r>
              <w:rPr>
                <w:kern w:val="0"/>
                <w:sz w:val="18"/>
                <w:szCs w:val="18"/>
              </w:rPr>
              <w:t>）</w:t>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包括二次PM</w:t>
            </w:r>
            <w:r>
              <w:rPr>
                <w:kern w:val="0"/>
                <w:sz w:val="18"/>
                <w:szCs w:val="18"/>
                <w:vertAlign w:val="subscript"/>
              </w:rPr>
              <w:t>2.5</w:t>
            </w:r>
            <w:r>
              <w:rPr>
                <w:kern w:val="0"/>
                <w:sz w:val="18"/>
                <w:szCs w:val="18"/>
              </w:rPr>
              <w:sym w:font="Wingdings 2" w:char="00A3"/>
            </w:r>
          </w:p>
          <w:p>
            <w:pPr>
              <w:autoSpaceDE w:val="0"/>
              <w:autoSpaceDN w:val="0"/>
              <w:adjustRightInd w:val="0"/>
              <w:spacing w:line="240" w:lineRule="auto"/>
              <w:ind w:firstLine="0" w:firstLineChars="0"/>
              <w:jc w:val="center"/>
              <w:rPr>
                <w:kern w:val="0"/>
                <w:sz w:val="18"/>
                <w:szCs w:val="18"/>
              </w:rPr>
            </w:pPr>
            <w:r>
              <w:rPr>
                <w:kern w:val="0"/>
                <w:sz w:val="18"/>
                <w:szCs w:val="18"/>
              </w:rPr>
              <w:t>不包括二次PM2.5</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正常排放短期浓度贡献值</w:t>
            </w:r>
          </w:p>
        </w:tc>
        <w:tc>
          <w:tcPr>
            <w:tcW w:w="2210" w:type="pct"/>
            <w:gridSpan w:val="8"/>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本项目最大占标率≤100%</w:t>
            </w:r>
            <w:r>
              <w:rPr>
                <w:kern w:val="0"/>
                <w:sz w:val="18"/>
                <w:szCs w:val="18"/>
              </w:rPr>
              <w:sym w:font="Wingdings 2" w:char="0052"/>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本项目最大占标率＞100%</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vMerge w:val="restar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正常排放年均浓度贡献值</w:t>
            </w:r>
          </w:p>
        </w:tc>
        <w:tc>
          <w:tcPr>
            <w:tcW w:w="604"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一类区</w:t>
            </w:r>
          </w:p>
        </w:tc>
        <w:tc>
          <w:tcPr>
            <w:tcW w:w="1606"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本项目最大占标率≤10%</w:t>
            </w:r>
            <w:r>
              <w:rPr>
                <w:kern w:val="0"/>
                <w:sz w:val="18"/>
                <w:szCs w:val="18"/>
              </w:rPr>
              <w:sym w:font="Wingdings 2" w:char="00A3"/>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 xml:space="preserve">本项目最大标率＞10% </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vMerge w:val="continue"/>
            <w:tcBorders>
              <w:tl2br w:val="nil"/>
              <w:tr2bl w:val="nil"/>
            </w:tcBorders>
            <w:vAlign w:val="center"/>
          </w:tcPr>
          <w:p>
            <w:pPr>
              <w:autoSpaceDE w:val="0"/>
              <w:autoSpaceDN w:val="0"/>
              <w:adjustRightInd w:val="0"/>
              <w:spacing w:line="240" w:lineRule="auto"/>
              <w:ind w:firstLine="0" w:firstLineChars="0"/>
              <w:jc w:val="center"/>
              <w:rPr>
                <w:kern w:val="0"/>
                <w:sz w:val="18"/>
                <w:szCs w:val="18"/>
              </w:rPr>
            </w:pPr>
          </w:p>
        </w:tc>
        <w:tc>
          <w:tcPr>
            <w:tcW w:w="604"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二类区</w:t>
            </w:r>
          </w:p>
        </w:tc>
        <w:tc>
          <w:tcPr>
            <w:tcW w:w="1606"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本项目最大占标率≤30%</w:t>
            </w:r>
            <w:r>
              <w:rPr>
                <w:kern w:val="0"/>
                <w:sz w:val="18"/>
                <w:szCs w:val="18"/>
              </w:rPr>
              <w:sym w:font="Wingdings 2" w:char="0052"/>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 xml:space="preserve">本项目最大标率＞30% </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非正常排放1h浓度贡献值</w:t>
            </w:r>
          </w:p>
        </w:tc>
        <w:tc>
          <w:tcPr>
            <w:tcW w:w="604"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非正常持续时长（</w:t>
            </w:r>
            <w:r>
              <w:rPr>
                <w:rFonts w:hint="eastAsia"/>
                <w:kern w:val="0"/>
                <w:sz w:val="18"/>
                <w:szCs w:val="18"/>
                <w:lang w:val="en-US" w:eastAsia="zh-CN"/>
              </w:rPr>
              <w:t>1</w:t>
            </w:r>
            <w:r>
              <w:rPr>
                <w:kern w:val="0"/>
                <w:sz w:val="18"/>
                <w:szCs w:val="18"/>
              </w:rPr>
              <w:t>）h</w:t>
            </w:r>
          </w:p>
        </w:tc>
        <w:tc>
          <w:tcPr>
            <w:tcW w:w="1606"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非正常占标率≤100%</w:t>
            </w:r>
            <w:r>
              <w:rPr>
                <w:kern w:val="0"/>
                <w:sz w:val="18"/>
                <w:szCs w:val="18"/>
              </w:rPr>
              <w:sym w:font="Wingdings 2" w:char="0052"/>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非正常占标率＞100%</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保证率日平均浓度和年平均浓度叠加值</w:t>
            </w:r>
          </w:p>
        </w:tc>
        <w:tc>
          <w:tcPr>
            <w:tcW w:w="2210" w:type="pct"/>
            <w:gridSpan w:val="8"/>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叠加达标</w:t>
            </w:r>
            <w:r>
              <w:rPr>
                <w:kern w:val="0"/>
                <w:sz w:val="18"/>
                <w:szCs w:val="18"/>
              </w:rPr>
              <w:sym w:font="Wingdings 2" w:char="00A3"/>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叠加不达标</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区域环境质量的整体变化情况</w:t>
            </w:r>
          </w:p>
        </w:tc>
        <w:tc>
          <w:tcPr>
            <w:tcW w:w="2210" w:type="pct"/>
            <w:gridSpan w:val="8"/>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 xml:space="preserve">k ≤-20% </w:t>
            </w:r>
            <w:r>
              <w:rPr>
                <w:kern w:val="0"/>
                <w:sz w:val="18"/>
                <w:szCs w:val="18"/>
              </w:rPr>
              <w:sym w:font="Wingdings 2" w:char="00A3"/>
            </w:r>
          </w:p>
        </w:tc>
        <w:tc>
          <w:tcPr>
            <w:tcW w:w="1413" w:type="pct"/>
            <w:gridSpan w:val="5"/>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 xml:space="preserve">k ＞-20% </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restar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环境监测计划</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污染源监测</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监测因子：（H</w:t>
            </w:r>
            <w:r>
              <w:rPr>
                <w:kern w:val="0"/>
                <w:sz w:val="18"/>
                <w:szCs w:val="18"/>
                <w:vertAlign w:val="subscript"/>
              </w:rPr>
              <w:t>2</w:t>
            </w:r>
            <w:r>
              <w:rPr>
                <w:kern w:val="0"/>
                <w:sz w:val="18"/>
                <w:szCs w:val="18"/>
              </w:rPr>
              <w:t>S、NH</w:t>
            </w:r>
            <w:r>
              <w:rPr>
                <w:kern w:val="0"/>
                <w:sz w:val="18"/>
                <w:szCs w:val="18"/>
                <w:vertAlign w:val="subscript"/>
              </w:rPr>
              <w:t>3</w:t>
            </w:r>
            <w:r>
              <w:rPr>
                <w:rFonts w:hint="eastAsia"/>
                <w:kern w:val="0"/>
                <w:sz w:val="18"/>
                <w:szCs w:val="18"/>
              </w:rPr>
              <w:t>、油烟</w:t>
            </w:r>
            <w:r>
              <w:rPr>
                <w:kern w:val="0"/>
                <w:sz w:val="18"/>
                <w:szCs w:val="18"/>
              </w:rPr>
              <w:t>）</w:t>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有组织废气监测</w:t>
            </w:r>
            <w:r>
              <w:rPr>
                <w:kern w:val="0"/>
                <w:sz w:val="18"/>
                <w:szCs w:val="18"/>
              </w:rPr>
              <w:sym w:font="Wingdings 2" w:char="0052"/>
            </w:r>
          </w:p>
          <w:p>
            <w:pPr>
              <w:autoSpaceDE w:val="0"/>
              <w:autoSpaceDN w:val="0"/>
              <w:adjustRightInd w:val="0"/>
              <w:spacing w:line="240" w:lineRule="auto"/>
              <w:ind w:firstLine="0" w:firstLineChars="0"/>
              <w:jc w:val="center"/>
              <w:rPr>
                <w:kern w:val="0"/>
                <w:sz w:val="18"/>
                <w:szCs w:val="18"/>
              </w:rPr>
            </w:pPr>
            <w:r>
              <w:rPr>
                <w:kern w:val="0"/>
                <w:sz w:val="18"/>
                <w:szCs w:val="18"/>
              </w:rPr>
              <w:t>无组织废气监测</w:t>
            </w:r>
            <w:r>
              <w:rPr>
                <w:kern w:val="0"/>
                <w:sz w:val="18"/>
                <w:szCs w:val="18"/>
              </w:rPr>
              <w:sym w:font="Wingdings 2" w:char="0052"/>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无监测</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环境质量</w:t>
            </w:r>
          </w:p>
          <w:p>
            <w:pPr>
              <w:autoSpaceDE w:val="0"/>
              <w:autoSpaceDN w:val="0"/>
              <w:adjustRightInd w:val="0"/>
              <w:spacing w:line="240" w:lineRule="auto"/>
              <w:ind w:firstLine="0" w:firstLineChars="0"/>
              <w:jc w:val="center"/>
              <w:rPr>
                <w:kern w:val="0"/>
                <w:sz w:val="18"/>
                <w:szCs w:val="18"/>
              </w:rPr>
            </w:pPr>
            <w:r>
              <w:rPr>
                <w:kern w:val="0"/>
                <w:sz w:val="18"/>
                <w:szCs w:val="18"/>
              </w:rPr>
              <w:t>监测</w:t>
            </w:r>
          </w:p>
        </w:tc>
        <w:tc>
          <w:tcPr>
            <w:tcW w:w="1110"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监测因子：（</w:t>
            </w:r>
            <w:r>
              <w:rPr>
                <w:rFonts w:hint="eastAsia"/>
                <w:kern w:val="0"/>
                <w:sz w:val="18"/>
                <w:szCs w:val="18"/>
              </w:rPr>
              <w:t>/</w:t>
            </w:r>
            <w:r>
              <w:rPr>
                <w:kern w:val="0"/>
                <w:sz w:val="18"/>
                <w:szCs w:val="18"/>
              </w:rPr>
              <w:t>）</w:t>
            </w:r>
          </w:p>
        </w:tc>
        <w:tc>
          <w:tcPr>
            <w:tcW w:w="1645" w:type="pct"/>
            <w:gridSpan w:val="7"/>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监测点位数</w:t>
            </w:r>
            <w:r>
              <w:rPr>
                <w:rFonts w:hint="eastAsia"/>
                <w:kern w:val="0"/>
                <w:sz w:val="18"/>
                <w:szCs w:val="18"/>
              </w:rPr>
              <w:t>（/）</w:t>
            </w:r>
          </w:p>
        </w:tc>
        <w:tc>
          <w:tcPr>
            <w:tcW w:w="868" w:type="pct"/>
            <w:gridSpan w:val="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无监测</w:t>
            </w:r>
            <w:r>
              <w:rPr>
                <w:kern w:val="0"/>
                <w:sz w:val="18"/>
                <w:szCs w:val="18"/>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restart"/>
            <w:tcBorders>
              <w:tl2br w:val="nil"/>
              <w:tr2bl w:val="nil"/>
            </w:tcBorders>
            <w:vAlign w:val="center"/>
          </w:tcPr>
          <w:p>
            <w:pPr>
              <w:autoSpaceDE w:val="0"/>
              <w:autoSpaceDN w:val="0"/>
              <w:adjustRightInd w:val="0"/>
              <w:spacing w:line="240" w:lineRule="auto"/>
              <w:ind w:firstLine="0" w:firstLineChars="0"/>
              <w:jc w:val="center"/>
              <w:rPr>
                <w:b/>
                <w:bCs/>
                <w:kern w:val="0"/>
                <w:sz w:val="18"/>
                <w:szCs w:val="18"/>
              </w:rPr>
            </w:pPr>
            <w:r>
              <w:rPr>
                <w:b/>
                <w:bCs/>
                <w:kern w:val="0"/>
                <w:sz w:val="18"/>
                <w:szCs w:val="18"/>
              </w:rPr>
              <w:t>评价结论</w:t>
            </w: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环境影响</w:t>
            </w:r>
          </w:p>
        </w:tc>
        <w:tc>
          <w:tcPr>
            <w:tcW w:w="3624" w:type="pct"/>
            <w:gridSpan w:val="1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可以接受</w:t>
            </w:r>
            <w:r>
              <w:rPr>
                <w:kern w:val="0"/>
                <w:sz w:val="18"/>
                <w:szCs w:val="18"/>
              </w:rPr>
              <w:sym w:font="Wingdings 2" w:char="0052"/>
            </w:r>
            <w:r>
              <w:rPr>
                <w:kern w:val="0"/>
                <w:sz w:val="18"/>
                <w:szCs w:val="18"/>
              </w:rPr>
              <w:t xml:space="preserve">         不可以接受</w:t>
            </w:r>
            <w:r>
              <w:rPr>
                <w:kern w:val="0"/>
                <w:sz w:val="18"/>
                <w:szCs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jc w:val="center"/>
              <w:rPr>
                <w:kern w:val="0"/>
                <w:sz w:val="18"/>
                <w:szCs w:val="18"/>
              </w:rPr>
            </w:pPr>
          </w:p>
        </w:tc>
        <w:tc>
          <w:tcPr>
            <w:tcW w:w="758" w:type="pc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大气环境</w:t>
            </w:r>
          </w:p>
          <w:p>
            <w:pPr>
              <w:autoSpaceDE w:val="0"/>
              <w:autoSpaceDN w:val="0"/>
              <w:adjustRightInd w:val="0"/>
              <w:spacing w:line="240" w:lineRule="auto"/>
              <w:ind w:firstLine="0" w:firstLineChars="0"/>
              <w:jc w:val="center"/>
              <w:rPr>
                <w:kern w:val="0"/>
                <w:sz w:val="18"/>
                <w:szCs w:val="18"/>
              </w:rPr>
            </w:pPr>
            <w:r>
              <w:rPr>
                <w:kern w:val="0"/>
                <w:sz w:val="18"/>
                <w:szCs w:val="18"/>
              </w:rPr>
              <w:t>防护距离</w:t>
            </w:r>
          </w:p>
        </w:tc>
        <w:tc>
          <w:tcPr>
            <w:tcW w:w="3624" w:type="pct"/>
            <w:gridSpan w:val="13"/>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距厂界最远（</w:t>
            </w:r>
            <w:r>
              <w:rPr>
                <w:rFonts w:hint="eastAsia"/>
                <w:kern w:val="0"/>
                <w:sz w:val="18"/>
                <w:szCs w:val="18"/>
                <w:lang w:val="en-US" w:eastAsia="zh-CN"/>
              </w:rPr>
              <w:t>/</w:t>
            </w:r>
            <w:r>
              <w:rPr>
                <w:kern w:val="0"/>
                <w:sz w:val="18"/>
                <w:szCs w:val="18"/>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rPr>
                <w:kern w:val="0"/>
                <w:sz w:val="18"/>
                <w:szCs w:val="18"/>
              </w:rPr>
            </w:pPr>
          </w:p>
        </w:tc>
        <w:tc>
          <w:tcPr>
            <w:tcW w:w="758" w:type="pct"/>
            <w:vMerge w:val="restart"/>
            <w:tcBorders>
              <w:tl2br w:val="nil"/>
              <w:tr2bl w:val="nil"/>
            </w:tcBorders>
            <w:vAlign w:val="center"/>
          </w:tcPr>
          <w:p>
            <w:pPr>
              <w:autoSpaceDE w:val="0"/>
              <w:autoSpaceDN w:val="0"/>
              <w:adjustRightInd w:val="0"/>
              <w:spacing w:line="240" w:lineRule="auto"/>
              <w:ind w:firstLine="0" w:firstLineChars="0"/>
              <w:jc w:val="center"/>
              <w:rPr>
                <w:kern w:val="0"/>
                <w:sz w:val="18"/>
                <w:szCs w:val="18"/>
              </w:rPr>
            </w:pPr>
            <w:r>
              <w:rPr>
                <w:kern w:val="0"/>
                <w:sz w:val="18"/>
                <w:szCs w:val="18"/>
              </w:rPr>
              <w:t>污染源</w:t>
            </w:r>
          </w:p>
          <w:p>
            <w:pPr>
              <w:autoSpaceDE w:val="0"/>
              <w:autoSpaceDN w:val="0"/>
              <w:adjustRightInd w:val="0"/>
              <w:spacing w:line="240" w:lineRule="auto"/>
              <w:ind w:firstLine="0" w:firstLineChars="0"/>
              <w:jc w:val="center"/>
              <w:rPr>
                <w:kern w:val="0"/>
                <w:sz w:val="18"/>
                <w:szCs w:val="18"/>
              </w:rPr>
            </w:pPr>
            <w:r>
              <w:rPr>
                <w:kern w:val="0"/>
                <w:sz w:val="18"/>
                <w:szCs w:val="18"/>
              </w:rPr>
              <w:t>排放量</w:t>
            </w:r>
          </w:p>
        </w:tc>
        <w:tc>
          <w:tcPr>
            <w:tcW w:w="839" w:type="pct"/>
            <w:gridSpan w:val="2"/>
            <w:tcBorders>
              <w:tl2br w:val="nil"/>
              <w:tr2bl w:val="nil"/>
            </w:tcBorders>
            <w:vAlign w:val="center"/>
          </w:tcPr>
          <w:p>
            <w:pPr>
              <w:autoSpaceDE w:val="0"/>
              <w:autoSpaceDN w:val="0"/>
              <w:adjustRightInd w:val="0"/>
              <w:spacing w:line="240" w:lineRule="auto"/>
              <w:ind w:firstLine="0" w:firstLineChars="0"/>
              <w:rPr>
                <w:kern w:val="0"/>
                <w:sz w:val="18"/>
                <w:szCs w:val="18"/>
              </w:rPr>
            </w:pPr>
            <w:r>
              <w:rPr>
                <w:rFonts w:hint="eastAsia"/>
                <w:kern w:val="0"/>
                <w:sz w:val="18"/>
                <w:szCs w:val="18"/>
              </w:rPr>
              <w:t>SO</w:t>
            </w:r>
            <w:r>
              <w:rPr>
                <w:rFonts w:hint="eastAsia"/>
                <w:kern w:val="0"/>
                <w:sz w:val="18"/>
                <w:szCs w:val="18"/>
                <w:vertAlign w:val="subscript"/>
              </w:rPr>
              <w:t>2</w:t>
            </w:r>
            <w:r>
              <w:rPr>
                <w:rFonts w:hint="eastAsia"/>
                <w:kern w:val="0"/>
                <w:sz w:val="18"/>
                <w:szCs w:val="18"/>
              </w:rPr>
              <w:t>（/）t/a</w:t>
            </w:r>
          </w:p>
        </w:tc>
        <w:tc>
          <w:tcPr>
            <w:tcW w:w="879" w:type="pct"/>
            <w:gridSpan w:val="4"/>
            <w:tcBorders>
              <w:tl2br w:val="nil"/>
              <w:tr2bl w:val="nil"/>
            </w:tcBorders>
            <w:vAlign w:val="center"/>
          </w:tcPr>
          <w:p>
            <w:pPr>
              <w:autoSpaceDE w:val="0"/>
              <w:autoSpaceDN w:val="0"/>
              <w:adjustRightInd w:val="0"/>
              <w:spacing w:line="240" w:lineRule="auto"/>
              <w:ind w:firstLine="0" w:firstLineChars="0"/>
              <w:rPr>
                <w:kern w:val="0"/>
                <w:sz w:val="18"/>
                <w:szCs w:val="18"/>
              </w:rPr>
            </w:pPr>
            <w:r>
              <w:rPr>
                <w:rFonts w:hint="eastAsia"/>
                <w:kern w:val="0"/>
                <w:sz w:val="18"/>
                <w:szCs w:val="18"/>
              </w:rPr>
              <w:t>NOx.（/）t/a</w:t>
            </w:r>
          </w:p>
        </w:tc>
        <w:tc>
          <w:tcPr>
            <w:tcW w:w="1050" w:type="pct"/>
            <w:gridSpan w:val="5"/>
            <w:tcBorders>
              <w:tl2br w:val="nil"/>
              <w:tr2bl w:val="nil"/>
            </w:tcBorders>
            <w:vAlign w:val="center"/>
          </w:tcPr>
          <w:p>
            <w:pPr>
              <w:autoSpaceDE w:val="0"/>
              <w:autoSpaceDN w:val="0"/>
              <w:adjustRightInd w:val="0"/>
              <w:spacing w:line="240" w:lineRule="auto"/>
              <w:ind w:firstLine="0" w:firstLineChars="0"/>
              <w:rPr>
                <w:kern w:val="0"/>
                <w:sz w:val="18"/>
                <w:szCs w:val="18"/>
              </w:rPr>
            </w:pPr>
            <w:r>
              <w:rPr>
                <w:rFonts w:hint="eastAsia"/>
                <w:kern w:val="0"/>
                <w:sz w:val="18"/>
                <w:szCs w:val="18"/>
              </w:rPr>
              <w:t>颗粒物.（/）t/a</w:t>
            </w:r>
          </w:p>
        </w:tc>
        <w:tc>
          <w:tcPr>
            <w:tcW w:w="855" w:type="pct"/>
            <w:gridSpan w:val="2"/>
            <w:tcBorders>
              <w:tl2br w:val="nil"/>
              <w:tr2bl w:val="nil"/>
            </w:tcBorders>
            <w:vAlign w:val="center"/>
          </w:tcPr>
          <w:p>
            <w:pPr>
              <w:autoSpaceDE w:val="0"/>
              <w:autoSpaceDN w:val="0"/>
              <w:adjustRightInd w:val="0"/>
              <w:spacing w:line="240" w:lineRule="auto"/>
              <w:ind w:firstLine="0" w:firstLineChars="0"/>
              <w:rPr>
                <w:kern w:val="0"/>
                <w:sz w:val="18"/>
                <w:szCs w:val="18"/>
              </w:rPr>
            </w:pPr>
            <w:r>
              <w:rPr>
                <w:rFonts w:hint="eastAsia"/>
                <w:kern w:val="0"/>
                <w:sz w:val="18"/>
                <w:szCs w:val="18"/>
              </w:rPr>
              <w:t>VOCs.（/）t/a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7" w:type="pct"/>
            <w:vMerge w:val="continue"/>
            <w:tcBorders>
              <w:tl2br w:val="nil"/>
              <w:tr2bl w:val="nil"/>
            </w:tcBorders>
            <w:vAlign w:val="center"/>
          </w:tcPr>
          <w:p>
            <w:pPr>
              <w:autoSpaceDE w:val="0"/>
              <w:autoSpaceDN w:val="0"/>
              <w:adjustRightInd w:val="0"/>
              <w:spacing w:line="240" w:lineRule="auto"/>
              <w:ind w:firstLine="0" w:firstLineChars="0"/>
              <w:rPr>
                <w:kern w:val="0"/>
                <w:sz w:val="18"/>
                <w:szCs w:val="18"/>
              </w:rPr>
            </w:pPr>
          </w:p>
        </w:tc>
        <w:tc>
          <w:tcPr>
            <w:tcW w:w="758" w:type="pct"/>
            <w:vMerge w:val="continue"/>
            <w:tcBorders>
              <w:tl2br w:val="nil"/>
              <w:tr2bl w:val="nil"/>
            </w:tcBorders>
            <w:vAlign w:val="center"/>
          </w:tcPr>
          <w:p>
            <w:pPr>
              <w:autoSpaceDE w:val="0"/>
              <w:autoSpaceDN w:val="0"/>
              <w:adjustRightInd w:val="0"/>
              <w:spacing w:line="240" w:lineRule="auto"/>
              <w:ind w:firstLine="0" w:firstLineChars="0"/>
              <w:rPr>
                <w:kern w:val="0"/>
                <w:sz w:val="18"/>
                <w:szCs w:val="18"/>
              </w:rPr>
            </w:pPr>
          </w:p>
        </w:tc>
        <w:tc>
          <w:tcPr>
            <w:tcW w:w="1265" w:type="pct"/>
            <w:gridSpan w:val="4"/>
            <w:tcBorders>
              <w:tl2br w:val="nil"/>
              <w:tr2bl w:val="nil"/>
            </w:tcBorders>
            <w:vAlign w:val="center"/>
          </w:tcPr>
          <w:p>
            <w:pPr>
              <w:autoSpaceDE w:val="0"/>
              <w:autoSpaceDN w:val="0"/>
              <w:adjustRightInd w:val="0"/>
              <w:spacing w:line="240" w:lineRule="auto"/>
              <w:ind w:firstLine="0" w:firstLineChars="0"/>
              <w:rPr>
                <w:kern w:val="0"/>
                <w:sz w:val="18"/>
                <w:szCs w:val="18"/>
              </w:rPr>
            </w:pPr>
            <w:r>
              <w:rPr>
                <w:kern w:val="0"/>
                <w:sz w:val="18"/>
                <w:szCs w:val="18"/>
              </w:rPr>
              <w:t>NH</w:t>
            </w:r>
            <w:r>
              <w:rPr>
                <w:kern w:val="0"/>
                <w:sz w:val="18"/>
                <w:szCs w:val="18"/>
                <w:vertAlign w:val="subscript"/>
              </w:rPr>
              <w:t>3</w:t>
            </w:r>
            <w:r>
              <w:rPr>
                <w:kern w:val="0"/>
                <w:sz w:val="18"/>
                <w:szCs w:val="18"/>
              </w:rPr>
              <w:t>：</w:t>
            </w:r>
            <w:r>
              <w:rPr>
                <w:rFonts w:hint="eastAsia"/>
                <w:kern w:val="0"/>
                <w:sz w:val="18"/>
                <w:szCs w:val="18"/>
              </w:rPr>
              <w:t>（</w:t>
            </w:r>
            <w:r>
              <w:rPr>
                <w:rFonts w:hint="eastAsia"/>
                <w:kern w:val="0"/>
                <w:sz w:val="18"/>
                <w:szCs w:val="18"/>
                <w:lang w:val="en-US" w:eastAsia="zh-CN"/>
              </w:rPr>
              <w:t>0.2484</w:t>
            </w:r>
            <w:r>
              <w:rPr>
                <w:rFonts w:hint="eastAsia"/>
                <w:kern w:val="0"/>
                <w:sz w:val="18"/>
                <w:szCs w:val="18"/>
              </w:rPr>
              <w:t>）t/a</w:t>
            </w:r>
          </w:p>
        </w:tc>
        <w:tc>
          <w:tcPr>
            <w:tcW w:w="1178" w:type="pct"/>
            <w:gridSpan w:val="5"/>
            <w:tcBorders>
              <w:tl2br w:val="nil"/>
              <w:tr2bl w:val="nil"/>
            </w:tcBorders>
            <w:vAlign w:val="center"/>
          </w:tcPr>
          <w:p>
            <w:pPr>
              <w:autoSpaceDE w:val="0"/>
              <w:autoSpaceDN w:val="0"/>
              <w:adjustRightInd w:val="0"/>
              <w:spacing w:line="240" w:lineRule="auto"/>
              <w:ind w:firstLine="0" w:firstLineChars="0"/>
              <w:rPr>
                <w:kern w:val="0"/>
                <w:sz w:val="18"/>
                <w:szCs w:val="18"/>
              </w:rPr>
            </w:pPr>
            <w:r>
              <w:rPr>
                <w:kern w:val="0"/>
                <w:sz w:val="18"/>
                <w:szCs w:val="18"/>
              </w:rPr>
              <w:t>H</w:t>
            </w:r>
            <w:r>
              <w:rPr>
                <w:kern w:val="0"/>
                <w:sz w:val="18"/>
                <w:szCs w:val="18"/>
                <w:vertAlign w:val="subscript"/>
              </w:rPr>
              <w:t>2</w:t>
            </w:r>
            <w:r>
              <w:rPr>
                <w:kern w:val="0"/>
                <w:sz w:val="18"/>
                <w:szCs w:val="18"/>
              </w:rPr>
              <w:t>S：</w:t>
            </w:r>
            <w:r>
              <w:rPr>
                <w:rFonts w:hint="eastAsia"/>
                <w:kern w:val="0"/>
                <w:sz w:val="18"/>
                <w:szCs w:val="18"/>
              </w:rPr>
              <w:t>（</w:t>
            </w:r>
            <w:r>
              <w:rPr>
                <w:rFonts w:hint="eastAsia"/>
                <w:kern w:val="0"/>
                <w:sz w:val="18"/>
                <w:szCs w:val="18"/>
                <w:lang w:val="en-US" w:eastAsia="zh-CN"/>
              </w:rPr>
              <w:t>0.0089</w:t>
            </w:r>
            <w:r>
              <w:rPr>
                <w:rFonts w:hint="eastAsia"/>
                <w:kern w:val="0"/>
                <w:sz w:val="18"/>
                <w:szCs w:val="18"/>
              </w:rPr>
              <w:t>）t/a</w:t>
            </w:r>
          </w:p>
        </w:tc>
        <w:tc>
          <w:tcPr>
            <w:tcW w:w="1180" w:type="pct"/>
            <w:gridSpan w:val="4"/>
            <w:tcBorders>
              <w:tl2br w:val="nil"/>
              <w:tr2bl w:val="nil"/>
            </w:tcBorders>
            <w:vAlign w:val="center"/>
          </w:tcPr>
          <w:p>
            <w:pPr>
              <w:autoSpaceDE w:val="0"/>
              <w:autoSpaceDN w:val="0"/>
              <w:adjustRightInd w:val="0"/>
              <w:spacing w:line="240" w:lineRule="auto"/>
              <w:ind w:firstLine="0" w:firstLineChars="0"/>
              <w:rPr>
                <w:kern w:val="0"/>
                <w:sz w:val="18"/>
                <w:szCs w:val="18"/>
              </w:rPr>
            </w:pPr>
            <w:r>
              <w:rPr>
                <w:rFonts w:hint="eastAsia"/>
                <w:kern w:val="0"/>
                <w:sz w:val="18"/>
                <w:szCs w:val="18"/>
              </w:rPr>
              <w:t>油烟：（0.308）t/a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5"/>
            <w:tcBorders>
              <w:tl2br w:val="nil"/>
              <w:tr2bl w:val="nil"/>
            </w:tcBorders>
            <w:vAlign w:val="center"/>
          </w:tcPr>
          <w:p>
            <w:pPr>
              <w:autoSpaceDE w:val="0"/>
              <w:autoSpaceDN w:val="0"/>
              <w:adjustRightInd w:val="0"/>
              <w:spacing w:line="240" w:lineRule="auto"/>
              <w:ind w:firstLine="0" w:firstLineChars="0"/>
              <w:rPr>
                <w:kern w:val="0"/>
                <w:sz w:val="18"/>
                <w:szCs w:val="18"/>
              </w:rPr>
            </w:pPr>
            <w:r>
              <w:rPr>
                <w:kern w:val="0"/>
                <w:sz w:val="18"/>
                <w:szCs w:val="18"/>
              </w:rPr>
              <w:t>注：“□”为勾选项，填“√”；“（）”为内容填写项</w:t>
            </w:r>
          </w:p>
        </w:tc>
      </w:tr>
      <w:bookmarkEnd w:id="722"/>
      <w:bookmarkEnd w:id="723"/>
      <w:bookmarkEnd w:id="724"/>
      <w:bookmarkEnd w:id="725"/>
      <w:bookmarkEnd w:id="726"/>
      <w:bookmarkEnd w:id="727"/>
      <w:bookmarkEnd w:id="728"/>
      <w:bookmarkEnd w:id="729"/>
    </w:tbl>
    <w:p>
      <w:pPr>
        <w:pStyle w:val="6"/>
        <w:ind w:firstLine="482"/>
      </w:pPr>
      <w:bookmarkStart w:id="730" w:name="_Toc31719"/>
      <w:bookmarkStart w:id="731" w:name="_Toc25182"/>
      <w:bookmarkStart w:id="732" w:name="_Toc14446_WPSOffice_Level2"/>
      <w:bookmarkStart w:id="733" w:name="_Toc9215_WPSOffice_Level2"/>
      <w:bookmarkStart w:id="734" w:name="_Toc3546"/>
      <w:r>
        <w:rPr>
          <w:rFonts w:hint="eastAsia"/>
          <w:lang w:val="en-US" w:eastAsia="zh-CN"/>
        </w:rPr>
        <w:t>5</w:t>
      </w:r>
      <w:r>
        <w:t>.2.</w:t>
      </w:r>
      <w:r>
        <w:rPr>
          <w:rFonts w:hint="eastAsia"/>
        </w:rPr>
        <w:t>4、</w:t>
      </w:r>
      <w:r>
        <w:t>运营期声环境影响分析</w:t>
      </w:r>
      <w:bookmarkEnd w:id="730"/>
      <w:bookmarkEnd w:id="731"/>
      <w:bookmarkEnd w:id="732"/>
      <w:bookmarkEnd w:id="733"/>
      <w:bookmarkEnd w:id="734"/>
    </w:p>
    <w:p>
      <w:pPr>
        <w:ind w:firstLine="482"/>
        <w:rPr>
          <w:b/>
          <w:bCs/>
        </w:rPr>
      </w:pPr>
      <w:bookmarkStart w:id="735" w:name="_Toc25663_WPSOffice_Level3"/>
      <w:bookmarkStart w:id="736" w:name="_Toc7347_WPSOffice_Level3"/>
      <w:bookmarkStart w:id="737" w:name="_Toc27215_WPSOffice_Level3"/>
      <w:bookmarkStart w:id="738" w:name="_Toc4418_WPSOffice_Level3"/>
      <w:bookmarkStart w:id="739" w:name="_Toc14367_WPSOffice_Level3"/>
      <w:bookmarkStart w:id="740" w:name="_Toc17880_WPSOffice_Level3"/>
      <w:bookmarkStart w:id="741" w:name="_Toc1919_WPSOffice_Level3"/>
      <w:bookmarkStart w:id="742" w:name="_Toc16841_WPSOffice_Level3"/>
      <w:r>
        <w:rPr>
          <w:rFonts w:hint="eastAsia"/>
          <w:b/>
          <w:bCs/>
        </w:rPr>
        <w:t>1、</w:t>
      </w:r>
      <w:r>
        <w:rPr>
          <w:b/>
          <w:bCs/>
        </w:rPr>
        <w:t>噪声源强</w:t>
      </w:r>
    </w:p>
    <w:p>
      <w:pPr>
        <w:ind w:firstLine="480"/>
      </w:pPr>
      <w:r>
        <w:t>本项目运营期噪声主要为生产设备运转时的噪声，主要为</w:t>
      </w:r>
      <w:r>
        <w:rPr>
          <w:rFonts w:hint="eastAsia"/>
        </w:rPr>
        <w:t>牵羊机</w:t>
      </w:r>
      <w:r>
        <w:t>、</w:t>
      </w:r>
      <w:r>
        <w:rPr>
          <w:rFonts w:hint="eastAsia"/>
        </w:rPr>
        <w:t>肉羊输送机</w:t>
      </w:r>
      <w:r>
        <w:t>、剥皮机、</w:t>
      </w:r>
      <w:r>
        <w:rPr>
          <w:rFonts w:hint="eastAsia"/>
        </w:rPr>
        <w:t>自动清洗机、真空包装机、洗肚机、砍排机、全自动搅拌式电炒锅</w:t>
      </w:r>
      <w:r>
        <w:t>以及风机、水泵等机械设备噪声的连续噪声，噪声源类型为固定噪声源。设备噪声强度在</w:t>
      </w:r>
      <w:r>
        <w:rPr>
          <w:rFonts w:hint="eastAsia"/>
        </w:rPr>
        <w:t>8</w:t>
      </w:r>
      <w:r>
        <w:t>0-95dB</w:t>
      </w:r>
      <w:r>
        <w:rPr>
          <w:rFonts w:hint="eastAsia"/>
        </w:rPr>
        <w:t>（</w:t>
      </w:r>
      <w:r>
        <w:t>A</w:t>
      </w:r>
      <w:r>
        <w:rPr>
          <w:rFonts w:hint="eastAsia"/>
        </w:rPr>
        <w:t>）</w:t>
      </w:r>
      <w:r>
        <w:t>，</w:t>
      </w:r>
      <w:r>
        <w:rPr>
          <w:rFonts w:hint="eastAsia"/>
        </w:rPr>
        <w:t>生产</w:t>
      </w:r>
      <w:r>
        <w:t>设备均设置于车间内，在采取基座减震和厂房隔声措施后，设备噪声强度在≤</w:t>
      </w:r>
      <w:r>
        <w:rPr>
          <w:rFonts w:hint="eastAsia"/>
        </w:rPr>
        <w:t>8</w:t>
      </w:r>
      <w:r>
        <w:t>0dB</w:t>
      </w:r>
      <w:r>
        <w:rPr>
          <w:rFonts w:hint="eastAsia"/>
        </w:rPr>
        <w:t>（</w:t>
      </w:r>
      <w:r>
        <w:t>A</w:t>
      </w:r>
      <w:r>
        <w:rPr>
          <w:rFonts w:hint="eastAsia"/>
        </w:rPr>
        <w:t>）</w:t>
      </w:r>
      <w:r>
        <w:t>，具体产噪设备</w:t>
      </w:r>
      <w:r>
        <w:rPr>
          <w:rFonts w:hint="eastAsia"/>
          <w:lang w:val="en-US" w:eastAsia="zh-CN"/>
        </w:rPr>
        <w:t>源强详见“3.6.2.3、运用期噪声源强分析”章节</w:t>
      </w:r>
      <w:r>
        <w:t>。</w:t>
      </w:r>
    </w:p>
    <w:p>
      <w:pPr>
        <w:ind w:firstLine="482"/>
      </w:pPr>
      <w:r>
        <w:rPr>
          <w:rFonts w:hint="eastAsia"/>
          <w:b/>
          <w:bCs/>
        </w:rPr>
        <w:t>2、</w:t>
      </w:r>
      <w:r>
        <w:rPr>
          <w:b/>
          <w:bCs/>
        </w:rPr>
        <w:t>预测因子</w:t>
      </w:r>
      <w:r>
        <w:t>：等效</w:t>
      </w:r>
      <w:r>
        <w:rPr>
          <w:rFonts w:hint="eastAsia"/>
        </w:rPr>
        <w:t>连续</w:t>
      </w:r>
      <w:r>
        <w:t>A声级；</w:t>
      </w:r>
    </w:p>
    <w:p>
      <w:pPr>
        <w:ind w:firstLine="482"/>
        <w:rPr>
          <w:rFonts w:hint="eastAsia"/>
          <w:lang w:val="en-US" w:eastAsia="zh-CN"/>
        </w:rPr>
      </w:pPr>
      <w:r>
        <w:rPr>
          <w:rFonts w:hint="eastAsia"/>
          <w:b/>
          <w:bCs/>
        </w:rPr>
        <w:t>3、</w:t>
      </w:r>
      <w:r>
        <w:rPr>
          <w:b/>
          <w:bCs/>
        </w:rPr>
        <w:t>预测</w:t>
      </w:r>
      <w:r>
        <w:rPr>
          <w:rFonts w:hint="eastAsia"/>
          <w:b/>
          <w:bCs/>
        </w:rPr>
        <w:t>内容</w:t>
      </w:r>
      <w:r>
        <w:t>：</w:t>
      </w:r>
      <w:r>
        <w:rPr>
          <w:rFonts w:hint="eastAsia"/>
        </w:rPr>
        <w:t>根据</w:t>
      </w:r>
      <w:r>
        <w:t>《环境影响评价技术导则 声环境》（HJ2.4—2021）</w:t>
      </w:r>
      <w:r>
        <w:rPr>
          <w:rFonts w:hint="eastAsia"/>
        </w:rPr>
        <w:t>中的要求，</w:t>
      </w:r>
      <w:r>
        <w:rPr>
          <w:rFonts w:hint="eastAsia"/>
          <w:lang w:val="en-US" w:eastAsia="zh-CN"/>
        </w:rPr>
        <w:t>运营期噪声预测应对</w:t>
      </w:r>
      <w:r>
        <w:rPr>
          <w:rFonts w:hint="eastAsia"/>
        </w:rPr>
        <w:t>建设项目评价范围内</w:t>
      </w:r>
      <w:r>
        <w:rPr>
          <w:rFonts w:hint="eastAsia"/>
          <w:lang w:val="en-US" w:eastAsia="zh-CN"/>
        </w:rPr>
        <w:t>的</w:t>
      </w:r>
      <w:r>
        <w:rPr>
          <w:rFonts w:hint="eastAsia"/>
        </w:rPr>
        <w:t>声环境保护目标和建设项目厂界（场界、边界）</w:t>
      </w:r>
      <w:r>
        <w:rPr>
          <w:rFonts w:hint="eastAsia"/>
          <w:lang w:val="en-US" w:eastAsia="zh-CN"/>
        </w:rPr>
        <w:t>进行</w:t>
      </w:r>
      <w:r>
        <w:rPr>
          <w:rFonts w:hint="eastAsia"/>
        </w:rPr>
        <w:t>预测和评价。</w:t>
      </w:r>
      <w:r>
        <w:rPr>
          <w:rFonts w:hint="eastAsia"/>
          <w:lang w:val="en-US" w:eastAsia="zh-CN"/>
        </w:rPr>
        <w:t>其中声环境保护目标处主要预测项目运营期的噪声贡献值和预测值，并评价其超标和达标情况；</w:t>
      </w:r>
      <w:r>
        <w:rPr>
          <w:rFonts w:hint="eastAsia"/>
        </w:rPr>
        <w:t>建设项目厂界</w:t>
      </w:r>
      <w:r>
        <w:rPr>
          <w:rFonts w:hint="eastAsia"/>
          <w:lang w:val="en-US" w:eastAsia="zh-CN"/>
        </w:rPr>
        <w:t>主要预测项目运营期的噪声贡献值，并评价其超标和达标情况。</w:t>
      </w:r>
    </w:p>
    <w:p>
      <w:pPr>
        <w:ind w:firstLine="482"/>
      </w:pPr>
      <w:r>
        <w:rPr>
          <w:rFonts w:hint="eastAsia"/>
        </w:rPr>
        <w:t>本项目</w:t>
      </w:r>
      <w:r>
        <w:rPr>
          <w:rFonts w:hint="eastAsia"/>
          <w:lang w:val="en-US" w:eastAsia="zh-CN"/>
        </w:rPr>
        <w:t>声环境</w:t>
      </w:r>
      <w:r>
        <w:rPr>
          <w:rFonts w:hint="eastAsia"/>
        </w:rPr>
        <w:t>评价范围内（拟建区域边界外扩200m范围内）无声环境保护目标，因此本环评将建设项目厂界作为评价点</w:t>
      </w:r>
      <w:r>
        <w:rPr>
          <w:rFonts w:hint="eastAsia"/>
          <w:lang w:eastAsia="zh-CN"/>
        </w:rPr>
        <w:t>，</w:t>
      </w:r>
      <w:r>
        <w:rPr>
          <w:rFonts w:hint="eastAsia"/>
          <w:lang w:val="en-US" w:eastAsia="zh-CN"/>
        </w:rPr>
        <w:t>只对运营期本项目产生的噪声贡献值进行预测</w:t>
      </w:r>
      <w:r>
        <w:rPr>
          <w:rFonts w:hint="eastAsia"/>
        </w:rPr>
        <w:t>。</w:t>
      </w:r>
    </w:p>
    <w:p>
      <w:pPr>
        <w:ind w:firstLine="482"/>
        <w:rPr>
          <w:b/>
          <w:bCs/>
        </w:rPr>
      </w:pPr>
      <w:r>
        <w:rPr>
          <w:rFonts w:hint="eastAsia"/>
          <w:b/>
          <w:bCs/>
          <w:lang w:val="en-US" w:eastAsia="zh-CN"/>
        </w:rPr>
        <w:t>4</w:t>
      </w:r>
      <w:r>
        <w:rPr>
          <w:rFonts w:hint="eastAsia"/>
          <w:b/>
          <w:bCs/>
        </w:rPr>
        <w:t>、</w:t>
      </w:r>
      <w:r>
        <w:rPr>
          <w:b/>
          <w:bCs/>
        </w:rPr>
        <w:t>预测</w:t>
      </w:r>
      <w:r>
        <w:rPr>
          <w:rFonts w:hint="eastAsia"/>
          <w:b/>
          <w:bCs/>
        </w:rPr>
        <w:t>模型</w:t>
      </w:r>
    </w:p>
    <w:p>
      <w:pPr>
        <w:ind w:firstLine="480"/>
        <w:rPr>
          <w:b/>
          <w:bCs/>
          <w:color w:val="000000" w:themeColor="text1"/>
          <w14:textFill>
            <w14:gradFill>
              <w14:gsLst>
                <w14:gs w14:pos="0">
                  <w14:srgbClr w14:val="14CD68"/>
                </w14:gs>
                <w14:gs w14:pos="100000">
                  <w14:srgbClr w14:val="0B6E38"/>
                </w14:gs>
              </w14:gsLst>
              <w14:lin w14:ang="0" w14:scaled="0"/>
            </w14:gradFill>
          </w14:textFill>
        </w:rPr>
      </w:pPr>
      <w:r>
        <w:t>由于本项目</w:t>
      </w:r>
      <w:r>
        <w:rPr>
          <w:rFonts w:hint="eastAsia"/>
        </w:rPr>
        <w:t>产噪</w:t>
      </w:r>
      <w:r>
        <w:t>设备</w:t>
      </w:r>
      <w:r>
        <w:rPr>
          <w:rFonts w:hint="eastAsia"/>
        </w:rPr>
        <w:t>全部</w:t>
      </w:r>
      <w:r>
        <w:t>位于室内</w:t>
      </w:r>
      <w:r>
        <w:rPr>
          <w:rFonts w:hint="eastAsia"/>
        </w:rPr>
        <w:t>，预测</w:t>
      </w:r>
      <w:r>
        <w:t>模型</w:t>
      </w:r>
      <w:r>
        <w:rPr>
          <w:rFonts w:hint="eastAsia"/>
        </w:rPr>
        <w:t>参照《环境影响评价技术导则 声环境》</w:t>
      </w:r>
      <w:r>
        <w:t>（HJ2.4-20</w:t>
      </w:r>
      <w:r>
        <w:rPr>
          <w:rFonts w:hint="eastAsia"/>
        </w:rPr>
        <w:t>21</w:t>
      </w:r>
      <w:r>
        <w:t>）</w:t>
      </w:r>
      <w:r>
        <w:rPr>
          <w:rFonts w:hint="eastAsia"/>
        </w:rPr>
        <w:t>中的推荐模型进行预测。预测时先将室内所有声源简化为等效声源，然后</w:t>
      </w:r>
      <w:r>
        <w:t>采用将室内声源等效为室外声源声功率级，再按照点声源计算衰减后进行叠加的方法来进行预测。</w:t>
      </w:r>
    </w:p>
    <w:bookmarkEnd w:id="735"/>
    <w:bookmarkEnd w:id="736"/>
    <w:bookmarkEnd w:id="737"/>
    <w:bookmarkEnd w:id="738"/>
    <w:bookmarkEnd w:id="739"/>
    <w:bookmarkEnd w:id="740"/>
    <w:bookmarkEnd w:id="741"/>
    <w:bookmarkEnd w:id="742"/>
    <w:p>
      <w:pPr>
        <w:bidi w:val="0"/>
        <w:rPr>
          <w:b/>
          <w:bCs/>
        </w:rPr>
      </w:pPr>
      <w:r>
        <w:rPr>
          <w:rFonts w:hint="eastAsia"/>
          <w:b/>
          <w:bCs/>
        </w:rPr>
        <w:t>（</w:t>
      </w:r>
      <w:r>
        <w:rPr>
          <w:rFonts w:hint="eastAsia"/>
          <w:b/>
          <w:bCs/>
          <w:lang w:val="en-US" w:eastAsia="zh-CN"/>
        </w:rPr>
        <w:t>1</w:t>
      </w:r>
      <w:r>
        <w:rPr>
          <w:rFonts w:hint="eastAsia"/>
          <w:b/>
          <w:bCs/>
        </w:rPr>
        <w:t>）</w:t>
      </w:r>
      <w:r>
        <w:rPr>
          <w:b/>
          <w:bCs/>
        </w:rPr>
        <w:t>室内声源等效室外声源声功率级计算方法</w:t>
      </w:r>
    </w:p>
    <w:p>
      <w:pPr>
        <w:bidi w:val="0"/>
      </w:pPr>
      <w:r>
        <w:rPr>
          <w:rFonts w:hint="eastAsia" w:ascii="宋体" w:hAnsi="宋体" w:eastAsia="宋体" w:cs="宋体"/>
          <w:b/>
          <w:bCs/>
        </w:rPr>
        <w:t>①</w:t>
      </w:r>
      <w:r>
        <w:rPr>
          <w:b/>
          <w:bCs/>
        </w:rPr>
        <w:t>所有声源在室外靠近围护结构处产生的声压级</w:t>
      </w:r>
    </w:p>
    <w:p>
      <w:pPr>
        <w:ind w:firstLine="480"/>
      </w:pPr>
      <w:r>
        <w:t>如下图所示，声源位于室内，室内声源可采用等效室外声源声功率级法进行计算。设靠近开口处（或窗户）室内、室外某倍频带的声压级分别为L</w:t>
      </w:r>
      <w:r>
        <w:rPr>
          <w:vertAlign w:val="subscript"/>
        </w:rPr>
        <w:t>p1</w:t>
      </w:r>
      <w:r>
        <w:t>和L</w:t>
      </w:r>
      <w:r>
        <w:rPr>
          <w:vertAlign w:val="subscript"/>
        </w:rPr>
        <w:t>p2</w:t>
      </w:r>
      <w:r>
        <w:t>。若声源所在室内声场为近似扩散声场，则室外的倍频带声压级可按下式近似求出：</w:t>
      </w:r>
    </w:p>
    <w:p>
      <w:pPr>
        <w:pStyle w:val="109"/>
        <w:ind w:firstLine="0" w:firstLineChars="0"/>
        <w:jc w:val="center"/>
        <w:rPr>
          <w:color w:val="auto"/>
        </w:rPr>
      </w:pPr>
      <w:r>
        <w:rPr>
          <w:color w:val="auto"/>
        </w:rPr>
        <w:drawing>
          <wp:inline distT="0" distB="0" distL="114300" distR="114300">
            <wp:extent cx="2030730" cy="445135"/>
            <wp:effectExtent l="0" t="0" r="7620" b="12065"/>
            <wp:docPr id="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9"/>
                    <pic:cNvPicPr>
                      <a:picLocks noChangeAspect="1"/>
                    </pic:cNvPicPr>
                  </pic:nvPicPr>
                  <pic:blipFill>
                    <a:blip r:embed="rId78"/>
                    <a:stretch>
                      <a:fillRect/>
                    </a:stretch>
                  </pic:blipFill>
                  <pic:spPr>
                    <a:xfrm>
                      <a:off x="0" y="0"/>
                      <a:ext cx="2030730" cy="445135"/>
                    </a:xfrm>
                    <a:prstGeom prst="rect">
                      <a:avLst/>
                    </a:prstGeom>
                    <a:noFill/>
                    <a:ln>
                      <a:noFill/>
                    </a:ln>
                  </pic:spPr>
                </pic:pic>
              </a:graphicData>
            </a:graphic>
          </wp:inline>
        </w:drawing>
      </w:r>
    </w:p>
    <w:p>
      <w:pPr>
        <w:bidi w:val="0"/>
      </w:pPr>
      <w:r>
        <w:t>式中：L</w:t>
      </w:r>
      <w:r>
        <w:rPr>
          <w:vertAlign w:val="subscript"/>
        </w:rPr>
        <w:t>p1</w:t>
      </w:r>
      <w:r>
        <w:t>—某室内声源在靠近围护结构处产生的声压级，dB；</w:t>
      </w:r>
    </w:p>
    <w:p>
      <w:pPr>
        <w:bidi w:val="0"/>
        <w:ind w:firstLine="1200" w:firstLineChars="500"/>
      </w:pPr>
      <w:r>
        <w:t>L</w:t>
      </w:r>
      <w:r>
        <w:rPr>
          <w:vertAlign w:val="subscript"/>
        </w:rPr>
        <w:t>w</w:t>
      </w:r>
      <w:r>
        <w:t>—为某声源的声功率级，dB；</w:t>
      </w:r>
    </w:p>
    <w:p>
      <w:pPr>
        <w:bidi w:val="0"/>
        <w:ind w:firstLine="1200" w:firstLineChars="500"/>
      </w:pPr>
      <w:r>
        <w:t>r—为室内某个声源与靠近围护结构处的距离，m；</w:t>
      </w:r>
    </w:p>
    <w:p>
      <w:pPr>
        <w:bidi w:val="0"/>
        <w:ind w:firstLine="1200" w:firstLineChars="500"/>
        <w:rPr>
          <w:rFonts w:hint="default"/>
          <w:lang w:val="en-US" w:eastAsia="zh-CN"/>
        </w:rPr>
      </w:pPr>
      <w:r>
        <w:t>R—房间常数，R=</w:t>
      </w:r>
      <w:r>
        <w:rPr>
          <w:rFonts w:hint="eastAsia"/>
          <w:lang w:val="en-US" w:eastAsia="zh-CN"/>
        </w:rPr>
        <w:t>S</w:t>
      </w:r>
      <w:r>
        <w:rPr>
          <w:rFonts w:hint="default"/>
          <w:lang w:val="en-US" w:eastAsia="zh-CN"/>
        </w:rPr>
        <w:t>α</w:t>
      </w:r>
      <w:r>
        <w:rPr>
          <w:rFonts w:hint="eastAsia"/>
          <w:lang w:val="en-US" w:eastAsia="zh-CN"/>
        </w:rPr>
        <w:t>/（1—</w:t>
      </w:r>
      <w:r>
        <w:rPr>
          <w:rFonts w:hint="default"/>
          <w:lang w:val="en-US" w:eastAsia="zh-CN"/>
        </w:rPr>
        <w:t>α</w:t>
      </w:r>
      <w:r>
        <w:rPr>
          <w:rFonts w:hint="eastAsia"/>
          <w:lang w:val="en-US" w:eastAsia="zh-CN"/>
        </w:rPr>
        <w:t>）</w:t>
      </w:r>
    </w:p>
    <w:p>
      <w:pPr>
        <w:bidi w:val="0"/>
        <w:ind w:firstLine="1200" w:firstLineChars="500"/>
      </w:pPr>
      <w:r>
        <w:t>S—室内总表面积，m</w:t>
      </w:r>
      <w:r>
        <w:rPr>
          <w:vertAlign w:val="superscript"/>
        </w:rPr>
        <w:t>2</w:t>
      </w:r>
      <w:r>
        <w:t>；</w:t>
      </w:r>
    </w:p>
    <w:p>
      <w:pPr>
        <w:bidi w:val="0"/>
        <w:ind w:firstLine="1200" w:firstLineChars="500"/>
      </w:pPr>
      <w:r>
        <w:drawing>
          <wp:inline distT="0" distB="0" distL="114300" distR="114300">
            <wp:extent cx="111125" cy="74930"/>
            <wp:effectExtent l="0" t="0" r="3175" b="1270"/>
            <wp:docPr id="38" name="图片 31"/>
            <wp:cNvGraphicFramePr/>
            <a:graphic xmlns:a="http://schemas.openxmlformats.org/drawingml/2006/main">
              <a:graphicData uri="http://schemas.openxmlformats.org/drawingml/2006/picture">
                <pic:pic xmlns:pic="http://schemas.openxmlformats.org/drawingml/2006/picture">
                  <pic:nvPicPr>
                    <pic:cNvPr id="38" name="图片 31"/>
                    <pic:cNvPicPr/>
                  </pic:nvPicPr>
                  <pic:blipFill>
                    <a:blip r:embed="rId79"/>
                    <a:stretch>
                      <a:fillRect/>
                    </a:stretch>
                  </pic:blipFill>
                  <pic:spPr>
                    <a:xfrm>
                      <a:off x="0" y="0"/>
                      <a:ext cx="111125" cy="74930"/>
                    </a:xfrm>
                    <a:prstGeom prst="rect">
                      <a:avLst/>
                    </a:prstGeom>
                    <a:noFill/>
                    <a:ln>
                      <a:noFill/>
                    </a:ln>
                  </pic:spPr>
                </pic:pic>
              </a:graphicData>
            </a:graphic>
          </wp:inline>
        </w:drawing>
      </w:r>
      <w:r>
        <w:t>—平均吸声系数；</w:t>
      </w:r>
    </w:p>
    <w:p>
      <w:pPr>
        <w:bidi w:val="0"/>
        <w:ind w:firstLine="1200" w:firstLineChars="500"/>
        <w:rPr>
          <w:rFonts w:hint="eastAsia"/>
          <w:b/>
          <w:bCs/>
        </w:rPr>
      </w:pPr>
      <w:r>
        <w:t>Q—指向性因数。</w:t>
      </w:r>
      <w:r>
        <w:rPr>
          <w:rFonts w:hint="eastAsia"/>
        </w:rPr>
        <w:t>通常对无指向性声源，当声源放在房间中心时，Q=1；当放在一面墙的中心时，Q=2；当放在两面墙夹角处时，Q=4；当放在三面墙夹角处时，Q=8；</w:t>
      </w:r>
    </w:p>
    <w:p>
      <w:pPr>
        <w:bidi w:val="0"/>
        <w:rPr>
          <w:b/>
          <w:bCs/>
          <w:color w:val="auto"/>
        </w:rPr>
      </w:pPr>
      <w:r>
        <w:rPr>
          <w:rFonts w:hint="default"/>
          <w:b/>
          <w:bCs/>
        </w:rPr>
        <w:t>②</w:t>
      </w:r>
      <w:r>
        <w:rPr>
          <w:b/>
          <w:bCs/>
        </w:rPr>
        <w:t>所有室内声源在靠近围护结构处产生的总声压级</w:t>
      </w:r>
    </w:p>
    <w:p>
      <w:pPr>
        <w:pStyle w:val="109"/>
        <w:ind w:firstLine="0" w:firstLineChars="0"/>
        <w:jc w:val="center"/>
        <w:rPr>
          <w:color w:val="auto"/>
        </w:rPr>
      </w:pPr>
      <w:r>
        <w:rPr>
          <w:color w:val="auto"/>
        </w:rPr>
        <w:drawing>
          <wp:inline distT="0" distB="0" distL="114300" distR="114300">
            <wp:extent cx="2040255" cy="528320"/>
            <wp:effectExtent l="0" t="0" r="17145" b="5080"/>
            <wp:docPr id="3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2"/>
                    <pic:cNvPicPr>
                      <a:picLocks noChangeAspect="1"/>
                    </pic:cNvPicPr>
                  </pic:nvPicPr>
                  <pic:blipFill>
                    <a:blip r:embed="rId80"/>
                    <a:stretch>
                      <a:fillRect/>
                    </a:stretch>
                  </pic:blipFill>
                  <pic:spPr>
                    <a:xfrm>
                      <a:off x="0" y="0"/>
                      <a:ext cx="2040255" cy="528320"/>
                    </a:xfrm>
                    <a:prstGeom prst="rect">
                      <a:avLst/>
                    </a:prstGeom>
                    <a:noFill/>
                    <a:ln>
                      <a:noFill/>
                    </a:ln>
                  </pic:spPr>
                </pic:pic>
              </a:graphicData>
            </a:graphic>
          </wp:inline>
        </w:drawing>
      </w:r>
    </w:p>
    <w:p>
      <w:pPr>
        <w:bidi w:val="0"/>
      </w:pPr>
      <w:r>
        <w:rPr>
          <w:rFonts w:hint="eastAsia"/>
          <w:lang w:val="en-US" w:eastAsia="zh-CN"/>
        </w:rPr>
        <w:t>式中：</w:t>
      </w:r>
      <w:r>
        <w:rPr>
          <w:rFonts w:hint="default"/>
          <w:lang w:val="en-US" w:eastAsia="zh-CN"/>
        </w:rPr>
        <w:t>L</w:t>
      </w:r>
      <w:r>
        <w:rPr>
          <w:rFonts w:hint="default"/>
          <w:vertAlign w:val="subscript"/>
          <w:lang w:val="en-US" w:eastAsia="zh-CN"/>
        </w:rPr>
        <w:t>p1i</w:t>
      </w:r>
      <w:r>
        <w:rPr>
          <w:rFonts w:hint="eastAsia"/>
          <w:vertAlign w:val="subscript"/>
          <w:lang w:val="en-US" w:eastAsia="zh-CN"/>
        </w:rPr>
        <w:t>（</w:t>
      </w:r>
      <w:r>
        <w:rPr>
          <w:rFonts w:hint="default"/>
          <w:vertAlign w:val="subscript"/>
          <w:lang w:val="en-US" w:eastAsia="zh-CN"/>
        </w:rPr>
        <w:t>T</w:t>
      </w:r>
      <w:r>
        <w:rPr>
          <w:rFonts w:hint="eastAsia"/>
          <w:vertAlign w:val="subscript"/>
          <w:lang w:val="en-US" w:eastAsia="zh-CN"/>
        </w:rPr>
        <w:t>）</w:t>
      </w:r>
      <w:r>
        <w:rPr>
          <w:rFonts w:hint="default"/>
          <w:lang w:val="en-US" w:eastAsia="zh-CN"/>
        </w:rPr>
        <w:t>—</w:t>
      </w:r>
      <w:r>
        <w:rPr>
          <w:rFonts w:hint="eastAsia"/>
          <w:lang w:val="en-US" w:eastAsia="zh-CN"/>
        </w:rPr>
        <w:t>靠近围护结构处室内</w:t>
      </w:r>
      <w:r>
        <w:rPr>
          <w:rFonts w:hint="default"/>
          <w:lang w:val="en-US" w:eastAsia="zh-CN"/>
        </w:rPr>
        <w:t>N</w:t>
      </w:r>
      <w:r>
        <w:rPr>
          <w:rFonts w:hint="eastAsia"/>
          <w:lang w:val="en-US" w:eastAsia="zh-CN"/>
        </w:rPr>
        <w:t>个声源</w:t>
      </w:r>
      <w:r>
        <w:rPr>
          <w:rFonts w:hint="default"/>
          <w:lang w:val="en-US" w:eastAsia="zh-CN"/>
        </w:rPr>
        <w:t>i</w:t>
      </w:r>
      <w:r>
        <w:rPr>
          <w:rFonts w:hint="eastAsia"/>
          <w:lang w:val="en-US" w:eastAsia="zh-CN"/>
        </w:rPr>
        <w:t>倍频带的叠加声压级，</w:t>
      </w:r>
      <w:r>
        <w:rPr>
          <w:rFonts w:hint="default"/>
          <w:lang w:val="en-US" w:eastAsia="zh-CN"/>
        </w:rPr>
        <w:t>dB</w:t>
      </w:r>
      <w:r>
        <w:rPr>
          <w:rFonts w:hint="eastAsia"/>
          <w:lang w:val="en-US" w:eastAsia="zh-CN"/>
        </w:rPr>
        <w:t>；</w:t>
      </w:r>
    </w:p>
    <w:p>
      <w:pPr>
        <w:bidi w:val="0"/>
        <w:ind w:firstLine="1200" w:firstLineChars="500"/>
      </w:pPr>
      <w:r>
        <w:rPr>
          <w:rFonts w:hint="default"/>
          <w:lang w:val="en-US" w:eastAsia="zh-CN"/>
        </w:rPr>
        <w:t>L</w:t>
      </w:r>
      <w:r>
        <w:rPr>
          <w:rFonts w:hint="default"/>
          <w:vertAlign w:val="subscript"/>
          <w:lang w:val="en-US" w:eastAsia="zh-CN"/>
        </w:rPr>
        <w:t>p</w:t>
      </w:r>
      <w:r>
        <w:rPr>
          <w:rFonts w:hint="eastAsia"/>
          <w:vertAlign w:val="subscript"/>
          <w:lang w:val="en-US" w:eastAsia="zh-CN"/>
        </w:rPr>
        <w:t>1</w:t>
      </w:r>
      <w:r>
        <w:rPr>
          <w:rFonts w:hint="default"/>
          <w:vertAlign w:val="subscript"/>
          <w:lang w:val="en-US" w:eastAsia="zh-CN"/>
        </w:rPr>
        <w:t>ij</w:t>
      </w:r>
      <w:r>
        <w:rPr>
          <w:rFonts w:hint="default"/>
          <w:lang w:val="en-US" w:eastAsia="zh-CN"/>
        </w:rPr>
        <w:t>—</w:t>
      </w:r>
      <w:r>
        <w:rPr>
          <w:rFonts w:hint="eastAsia"/>
          <w:lang w:val="en-US" w:eastAsia="zh-CN"/>
        </w:rPr>
        <w:t>室内</w:t>
      </w:r>
      <w:r>
        <w:rPr>
          <w:rFonts w:hint="default"/>
          <w:lang w:val="en-US" w:eastAsia="zh-CN"/>
        </w:rPr>
        <w:t>j</w:t>
      </w:r>
      <w:r>
        <w:rPr>
          <w:rFonts w:hint="eastAsia"/>
          <w:lang w:val="en-US" w:eastAsia="zh-CN"/>
        </w:rPr>
        <w:t>声源</w:t>
      </w:r>
      <w:r>
        <w:rPr>
          <w:rFonts w:hint="default"/>
          <w:lang w:val="en-US" w:eastAsia="zh-CN"/>
        </w:rPr>
        <w:t>i</w:t>
      </w:r>
      <w:r>
        <w:rPr>
          <w:rFonts w:hint="eastAsia"/>
          <w:lang w:val="en-US" w:eastAsia="zh-CN"/>
        </w:rPr>
        <w:t>倍频带的声压级，</w:t>
      </w:r>
      <w:r>
        <w:rPr>
          <w:rFonts w:hint="default"/>
          <w:lang w:val="en-US" w:eastAsia="zh-CN"/>
        </w:rPr>
        <w:t>dB</w:t>
      </w:r>
      <w:r>
        <w:rPr>
          <w:rFonts w:hint="eastAsia"/>
          <w:lang w:val="en-US" w:eastAsia="zh-CN"/>
        </w:rPr>
        <w:t>；</w:t>
      </w:r>
    </w:p>
    <w:p>
      <w:pPr>
        <w:bidi w:val="0"/>
        <w:ind w:firstLine="1200" w:firstLineChars="500"/>
        <w:rPr>
          <w:rFonts w:hint="eastAsia"/>
        </w:rPr>
      </w:pPr>
      <w:r>
        <w:rPr>
          <w:rFonts w:hint="default"/>
          <w:lang w:val="en-US" w:eastAsia="zh-CN"/>
        </w:rPr>
        <w:t>N——</w:t>
      </w:r>
      <w:r>
        <w:rPr>
          <w:rFonts w:hint="eastAsia"/>
          <w:lang w:val="en-US" w:eastAsia="zh-CN"/>
        </w:rPr>
        <w:t>室内声源总数。</w:t>
      </w:r>
    </w:p>
    <w:p>
      <w:pPr>
        <w:bidi w:val="0"/>
      </w:pPr>
      <w:r>
        <w:rPr>
          <w:rFonts w:hint="eastAsia" w:ascii="宋体" w:hAnsi="宋体" w:eastAsia="宋体" w:cs="宋体"/>
          <w:b/>
          <w:bCs/>
        </w:rPr>
        <w:t>③</w:t>
      </w:r>
      <w:r>
        <w:rPr>
          <w:b/>
          <w:bCs/>
        </w:rPr>
        <w:t>所有声源在室外靠近围护结构处产生的声压级</w:t>
      </w:r>
    </w:p>
    <w:p>
      <w:pPr>
        <w:ind w:firstLine="480"/>
      </w:pPr>
      <w:r>
        <w:t>如下图所示，声源位于室内，室内声源可采用等效室外声源声功率级法进行计算。设靠近开口处（或窗户）室内、室外某倍频带的声压级分别为L</w:t>
      </w:r>
      <w:r>
        <w:rPr>
          <w:vertAlign w:val="subscript"/>
        </w:rPr>
        <w:t>p1</w:t>
      </w:r>
      <w:r>
        <w:t>和L</w:t>
      </w:r>
      <w:r>
        <w:rPr>
          <w:vertAlign w:val="subscript"/>
        </w:rPr>
        <w:t>p2</w:t>
      </w:r>
      <w:r>
        <w:t>。若声源所在室内声场为近似扩散声场，则室外的倍频带声压级可按下式近似求出：</w:t>
      </w:r>
    </w:p>
    <w:p>
      <w:pPr>
        <w:autoSpaceDE w:val="0"/>
        <w:autoSpaceDN w:val="0"/>
        <w:adjustRightInd w:val="0"/>
        <w:ind w:right="120" w:firstLine="480"/>
        <w:jc w:val="center"/>
        <w:rPr>
          <w:szCs w:val="28"/>
        </w:rPr>
      </w:pPr>
      <w:r>
        <w:rPr>
          <w:position w:val="-10"/>
          <w:szCs w:val="28"/>
        </w:rPr>
        <w:object>
          <v:shape id="_x0000_i1048" o:spt="75" type="#_x0000_t75" style="height:16.85pt;width:94.8pt;" o:ole="t" filled="f" o:preferrelative="t" stroked="f" coordsize="21600,21600">
            <v:path/>
            <v:fill on="f" focussize="0,0"/>
            <v:stroke on="f" joinstyle="miter"/>
            <v:imagedata r:id="rId82" o:title=""/>
            <o:lock v:ext="edit" aspectratio="t"/>
            <w10:wrap type="none"/>
            <w10:anchorlock/>
          </v:shape>
          <o:OLEObject Type="Embed" ProgID="Equation.3" ShapeID="_x0000_i1048" DrawAspect="Content" ObjectID="_1468075748" r:id="rId81">
            <o:LockedField>false</o:LockedField>
          </o:OLEObject>
        </w:object>
      </w:r>
    </w:p>
    <w:p>
      <w:pPr>
        <w:ind w:firstLine="480"/>
        <w:jc w:val="both"/>
        <w:rPr>
          <w:rFonts w:hint="default" w:ascii="Times New Roman" w:hAnsi="Times New Roman" w:cs="Times New Roman"/>
          <w:color w:val="auto"/>
          <w:lang w:eastAsia="zh-CN"/>
        </w:rPr>
      </w:pPr>
      <w:r>
        <w:t>式中：</w:t>
      </w:r>
      <w:r>
        <w:rPr>
          <w:rFonts w:hint="default" w:ascii="Times New Roman" w:hAnsi="Times New Roman" w:cs="Times New Roman"/>
          <w:color w:val="auto"/>
          <w:lang w:eastAsia="zh-CN"/>
        </w:rPr>
        <w:t>L</w:t>
      </w:r>
      <w:r>
        <w:rPr>
          <w:rFonts w:hint="default" w:ascii="Times New Roman" w:hAnsi="Times New Roman" w:cs="Times New Roman"/>
          <w:color w:val="auto"/>
          <w:vertAlign w:val="subscript"/>
          <w:lang w:eastAsia="zh-CN"/>
        </w:rPr>
        <w:t>p1</w:t>
      </w:r>
      <w:r>
        <w:rPr>
          <w:rFonts w:hint="default" w:ascii="Times New Roman" w:hAnsi="Times New Roman" w:cs="Times New Roman"/>
          <w:color w:val="auto"/>
          <w:lang w:eastAsia="zh-CN"/>
        </w:rPr>
        <w:t>—靠近开口处（或窗户）室内某倍频带的声压级或A声级，dB；</w:t>
      </w:r>
    </w:p>
    <w:p>
      <w:pPr>
        <w:ind w:firstLine="1200" w:firstLineChars="50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L</w:t>
      </w:r>
      <w:r>
        <w:rPr>
          <w:rFonts w:hint="default" w:ascii="Times New Roman" w:hAnsi="Times New Roman" w:cs="Times New Roman"/>
          <w:color w:val="auto"/>
          <w:vertAlign w:val="subscript"/>
          <w:lang w:eastAsia="zh-CN"/>
        </w:rPr>
        <w:t>p2</w:t>
      </w:r>
      <w:r>
        <w:rPr>
          <w:rFonts w:hint="default" w:ascii="Times New Roman" w:hAnsi="Times New Roman" w:cs="Times New Roman"/>
          <w:color w:val="auto"/>
          <w:lang w:eastAsia="zh-CN"/>
        </w:rPr>
        <w:t>—靠近开口处（或窗户）室外某倍频带的声压级或A声级，dB；</w:t>
      </w:r>
    </w:p>
    <w:p>
      <w:pPr>
        <w:ind w:firstLine="1200" w:firstLineChars="500"/>
      </w:pPr>
      <w:r>
        <w:rPr>
          <w:rFonts w:hint="default" w:ascii="Times New Roman" w:hAnsi="Times New Roman" w:cs="Times New Roman"/>
          <w:color w:val="auto"/>
          <w:lang w:eastAsia="zh-CN"/>
        </w:rPr>
        <w:t>TL—隔墙（或窗户）倍频带的隔声量，dB。</w:t>
      </w:r>
      <w:r>
        <w:rPr>
          <w:rFonts w:hint="default" w:ascii="Times New Roman" w:hAnsi="Times New Roman" w:cs="Times New Roman"/>
          <w:color w:val="auto"/>
          <w:lang w:val="zh-CN" w:eastAsia="zh-CN"/>
        </w:rPr>
        <w:t>结合《彩钢复合板公路声屏障材料室内声学性能研究》</w:t>
      </w:r>
      <w:r>
        <w:rPr>
          <w:rFonts w:hint="default" w:ascii="Times New Roman" w:hAnsi="Times New Roman" w:cs="Times New Roman"/>
          <w:color w:val="auto"/>
          <w:lang w:eastAsia="zh-CN"/>
        </w:rPr>
        <w:t>（</w:t>
      </w:r>
      <w:r>
        <w:rPr>
          <w:rFonts w:hint="default" w:ascii="Times New Roman" w:hAnsi="Times New Roman" w:cs="Times New Roman"/>
          <w:color w:val="auto"/>
          <w:lang w:val="zh-CN" w:eastAsia="zh-CN"/>
        </w:rPr>
        <w:t>杨满宏、刘书套）中对各规格钢板隔声量研究结果：钢板隔声量大于</w:t>
      </w:r>
      <w:r>
        <w:rPr>
          <w:rFonts w:hint="eastAsia" w:ascii="Times New Roman" w:hAnsi="Times New Roman" w:cs="Times New Roman"/>
          <w:color w:val="auto"/>
          <w:lang w:val="en-US" w:eastAsia="zh-CN"/>
        </w:rPr>
        <w:t>2</w:t>
      </w:r>
      <w:r>
        <w:rPr>
          <w:rFonts w:hint="default" w:ascii="Times New Roman" w:hAnsi="Times New Roman" w:cs="Times New Roman"/>
          <w:color w:val="auto"/>
          <w:lang w:eastAsia="zh-CN"/>
        </w:rPr>
        <w:t>5dB(A)</w:t>
      </w:r>
      <w:r>
        <w:rPr>
          <w:rFonts w:hint="default" w:ascii="Times New Roman" w:hAnsi="Times New Roman" w:cs="Times New Roman"/>
          <w:color w:val="auto"/>
          <w:lang w:val="zh-CN" w:eastAsia="zh-CN"/>
        </w:rPr>
        <w:t>，因此，本次预测</w:t>
      </w:r>
      <w:r>
        <w:rPr>
          <w:rFonts w:hint="default" w:ascii="Times New Roman" w:hAnsi="Times New Roman" w:cs="Times New Roman"/>
          <w:color w:val="auto"/>
          <w:lang w:eastAsia="zh-CN"/>
        </w:rPr>
        <w:t>TL取</w:t>
      </w:r>
      <w:r>
        <w:rPr>
          <w:rFonts w:hint="eastAsia" w:ascii="Times New Roman" w:hAnsi="Times New Roman" w:cs="Times New Roman"/>
          <w:color w:val="auto"/>
          <w:lang w:val="en-US" w:eastAsia="zh-CN"/>
        </w:rPr>
        <w:t>2</w:t>
      </w:r>
      <w:r>
        <w:rPr>
          <w:rFonts w:hint="default" w:ascii="Times New Roman" w:hAnsi="Times New Roman" w:cs="Times New Roman"/>
          <w:color w:val="auto"/>
          <w:lang w:val="zh-CN" w:eastAsia="zh-CN"/>
        </w:rPr>
        <w:t>5。</w:t>
      </w:r>
    </w:p>
    <w:p>
      <w:pPr>
        <w:ind w:firstLine="480"/>
        <w:jc w:val="center"/>
      </w:pPr>
      <w:r>
        <w:drawing>
          <wp:inline distT="0" distB="0" distL="114300" distR="114300">
            <wp:extent cx="2048510" cy="988695"/>
            <wp:effectExtent l="0" t="0" r="889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83"/>
                    <a:srcRect b="8575"/>
                    <a:stretch>
                      <a:fillRect/>
                    </a:stretch>
                  </pic:blipFill>
                  <pic:spPr>
                    <a:xfrm>
                      <a:off x="0" y="0"/>
                      <a:ext cx="2048510" cy="988695"/>
                    </a:xfrm>
                    <a:prstGeom prst="rect">
                      <a:avLst/>
                    </a:prstGeom>
                    <a:noFill/>
                    <a:ln>
                      <a:noFill/>
                    </a:ln>
                  </pic:spPr>
                </pic:pic>
              </a:graphicData>
            </a:graphic>
          </wp:inline>
        </w:drawing>
      </w:r>
    </w:p>
    <w:p>
      <w:pPr>
        <w:pStyle w:val="27"/>
        <w:spacing w:beforeAutospacing="0" w:afterAutospacing="0" w:line="240" w:lineRule="auto"/>
        <w:ind w:firstLine="482"/>
        <w:jc w:val="center"/>
        <w:rPr>
          <w:b/>
          <w:bCs/>
        </w:rPr>
      </w:pPr>
      <w:r>
        <w:rPr>
          <w:b/>
          <w:bCs/>
        </w:rPr>
        <w:t>图</w:t>
      </w:r>
      <w:r>
        <w:rPr>
          <w:rFonts w:hint="eastAsia"/>
          <w:b/>
          <w:bCs/>
          <w:lang w:val="en-US" w:eastAsia="zh-CN"/>
        </w:rPr>
        <w:t>5</w:t>
      </w:r>
      <w:r>
        <w:rPr>
          <w:b/>
          <w:bCs/>
        </w:rPr>
        <w:t>-</w:t>
      </w:r>
      <w:r>
        <w:rPr>
          <w:rFonts w:hint="eastAsia"/>
          <w:b/>
          <w:bCs/>
        </w:rPr>
        <w:t>7</w:t>
      </w:r>
      <w:r>
        <w:rPr>
          <w:rFonts w:hint="eastAsia"/>
          <w:b/>
          <w:bCs/>
          <w:lang w:val="en-US" w:eastAsia="zh-CN"/>
        </w:rPr>
        <w:t xml:space="preserve">  </w:t>
      </w:r>
      <w:r>
        <w:rPr>
          <w:b/>
          <w:bCs/>
        </w:rPr>
        <w:t xml:space="preserve">  室内声源等效为室外声源图例</w:t>
      </w:r>
    </w:p>
    <w:p>
      <w:pPr>
        <w:bidi w:val="0"/>
        <w:rPr>
          <w:b/>
          <w:bCs/>
        </w:rPr>
      </w:pPr>
      <w:r>
        <w:rPr>
          <w:rFonts w:hint="default"/>
          <w:b/>
          <w:bCs/>
        </w:rPr>
        <w:t>④</w:t>
      </w:r>
      <w:r>
        <w:rPr>
          <w:b/>
          <w:bCs/>
        </w:rPr>
        <w:t>等效室外声级</w:t>
      </w:r>
    </w:p>
    <w:p>
      <w:pPr>
        <w:ind w:firstLine="48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然后将室外声源的声压级和透过面积换算成等效的室外声源，计算出中心位置位于透声面积（S）处的等效声源的倍频带声功率级。</w:t>
      </w:r>
    </w:p>
    <w:p>
      <w:pPr>
        <w:ind w:firstLine="480"/>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position w:val="-14"/>
          <w:lang w:eastAsia="zh-CN"/>
        </w:rPr>
        <w:object>
          <v:shape id="_x0000_i1049" o:spt="75" type="#_x0000_t75" style="height:28.25pt;width:171.95pt;" o:ole="t" filled="f" o:preferrelative="t" stroked="f" coordsize="21600,21600">
            <v:path/>
            <v:fill on="f" focussize="0,0"/>
            <v:stroke on="f"/>
            <v:imagedata r:id="rId85" o:title=""/>
            <o:lock v:ext="edit" aspectratio="t"/>
            <w10:wrap type="none"/>
            <w10:anchorlock/>
          </v:shape>
          <o:OLEObject Type="Embed" ProgID="Equation.3" ShapeID="_x0000_i1049" DrawAspect="Content" ObjectID="_1468075749" r:id="rId84">
            <o:LockedField>false</o:LockedField>
          </o:OLEObject>
        </w:object>
      </w:r>
    </w:p>
    <w:p>
      <w:pPr>
        <w:ind w:firstLine="48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式中：L</w:t>
      </w:r>
      <w:r>
        <w:rPr>
          <w:rFonts w:hint="default" w:ascii="Times New Roman" w:hAnsi="Times New Roman" w:cs="Times New Roman"/>
          <w:color w:val="auto"/>
          <w:vertAlign w:val="subscript"/>
          <w:lang w:eastAsia="zh-CN"/>
        </w:rPr>
        <w:t>w</w:t>
      </w:r>
      <w:r>
        <w:rPr>
          <w:rFonts w:hint="default" w:ascii="Times New Roman" w:hAnsi="Times New Roman" w:cs="Times New Roman"/>
          <w:color w:val="auto"/>
          <w:lang w:eastAsia="zh-CN"/>
        </w:rPr>
        <w:t>—中心位置位于透声面积（S）处的等效声源的倍频带声功率级，dB；</w:t>
      </w:r>
    </w:p>
    <w:p>
      <w:pPr>
        <w:ind w:firstLine="1200" w:firstLineChars="50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L</w:t>
      </w:r>
      <w:r>
        <w:rPr>
          <w:rFonts w:hint="default" w:ascii="Times New Roman" w:hAnsi="Times New Roman" w:cs="Times New Roman"/>
          <w:color w:val="auto"/>
          <w:vertAlign w:val="subscript"/>
          <w:lang w:eastAsia="zh-CN"/>
        </w:rPr>
        <w:t>p2</w:t>
      </w:r>
      <w:r>
        <w:rPr>
          <w:rFonts w:hint="eastAsia" w:ascii="Times New Roman" w:hAnsi="Times New Roman" w:cs="Times New Roman"/>
          <w:color w:val="auto"/>
          <w:vertAlign w:val="baseline"/>
          <w:lang w:eastAsia="zh-CN"/>
        </w:rPr>
        <w:t>（</w:t>
      </w:r>
      <w:r>
        <w:rPr>
          <w:rFonts w:hint="default" w:ascii="Times New Roman" w:hAnsi="Times New Roman" w:cs="Times New Roman"/>
          <w:color w:val="auto"/>
          <w:vertAlign w:val="baseline"/>
          <w:lang w:eastAsia="zh-CN"/>
        </w:rPr>
        <w:t>T</w:t>
      </w:r>
      <w:r>
        <w:rPr>
          <w:rFonts w:hint="eastAsia" w:ascii="Times New Roman" w:hAnsi="Times New Roman" w:cs="Times New Roman"/>
          <w:color w:val="auto"/>
          <w:vertAlign w:val="baseline"/>
          <w:lang w:eastAsia="zh-CN"/>
        </w:rPr>
        <w:t>）</w:t>
      </w:r>
      <w:r>
        <w:rPr>
          <w:rFonts w:hint="default" w:ascii="Times New Roman" w:hAnsi="Times New Roman" w:cs="Times New Roman"/>
          <w:color w:val="auto"/>
          <w:lang w:eastAsia="zh-CN"/>
        </w:rPr>
        <w:t>—靠近围护结构处室外声源的声压级，dB；</w:t>
      </w:r>
    </w:p>
    <w:p>
      <w:pPr>
        <w:ind w:firstLine="482"/>
        <w:rPr>
          <w:rFonts w:hint="eastAsia"/>
          <w:b/>
          <w:bCs/>
        </w:rPr>
      </w:pPr>
      <w:r>
        <w:rPr>
          <w:rFonts w:hint="default" w:ascii="Times New Roman" w:hAnsi="Times New Roman" w:cs="Times New Roman"/>
          <w:color w:val="auto"/>
          <w:lang w:eastAsia="zh-CN"/>
        </w:rPr>
        <w:t>S——透声面积，m</w:t>
      </w:r>
      <w:r>
        <w:rPr>
          <w:rFonts w:hint="default" w:ascii="Times New Roman" w:hAnsi="Times New Roman" w:cs="Times New Roman"/>
          <w:color w:val="auto"/>
          <w:vertAlign w:val="superscript"/>
          <w:lang w:eastAsia="zh-CN"/>
        </w:rPr>
        <w:t>2</w:t>
      </w:r>
      <w:r>
        <w:rPr>
          <w:rFonts w:hint="default" w:ascii="Times New Roman" w:hAnsi="Times New Roman" w:cs="Times New Roman"/>
          <w:color w:val="auto"/>
          <w:lang w:eastAsia="zh-CN"/>
        </w:rPr>
        <w:t>。</w:t>
      </w:r>
    </w:p>
    <w:p>
      <w:pPr>
        <w:ind w:firstLine="482"/>
        <w:jc w:val="both"/>
        <w:rPr>
          <w:rFonts w:hint="default" w:ascii="Times New Roman" w:hAnsi="Times New Roman" w:cs="Times New Roman"/>
          <w:b/>
          <w:bCs/>
          <w:color w:val="auto"/>
          <w:lang w:eastAsia="zh-CN"/>
        </w:rPr>
      </w:pPr>
      <w:r>
        <w:rPr>
          <w:rFonts w:hint="eastAsia" w:ascii="Times New Roman" w:hAnsi="Times New Roman" w:cs="Times New Roman"/>
          <w:b/>
          <w:bCs/>
          <w:color w:val="auto"/>
          <w:lang w:eastAsia="zh-CN"/>
        </w:rPr>
        <w:t>（</w:t>
      </w:r>
      <w:r>
        <w:rPr>
          <w:rFonts w:hint="eastAsia" w:ascii="Times New Roman" w:hAnsi="Times New Roman" w:cs="Times New Roman"/>
          <w:b/>
          <w:bCs/>
          <w:color w:val="auto"/>
          <w:lang w:val="en-US" w:eastAsia="zh-CN"/>
        </w:rPr>
        <w:t>2</w:t>
      </w:r>
      <w:r>
        <w:rPr>
          <w:rFonts w:hint="eastAsia" w:ascii="Times New Roman" w:hAnsi="Times New Roman" w:cs="Times New Roman"/>
          <w:b/>
          <w:bCs/>
          <w:color w:val="auto"/>
          <w:lang w:eastAsia="zh-CN"/>
        </w:rPr>
        <w:t>）</w:t>
      </w:r>
      <w:r>
        <w:rPr>
          <w:rFonts w:hint="default" w:ascii="Times New Roman" w:hAnsi="Times New Roman" w:cs="Times New Roman"/>
          <w:b/>
          <w:bCs/>
          <w:color w:val="auto"/>
          <w:lang w:eastAsia="zh-CN"/>
        </w:rPr>
        <w:t>点声源衰减模式</w:t>
      </w:r>
    </w:p>
    <w:p>
      <w:pPr>
        <w:pStyle w:val="38"/>
        <w:ind w:firstLine="48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本环评预测时室外点声源衰减只考虑几何发散衰减，具体计算方法如下：</w:t>
      </w:r>
    </w:p>
    <w:p>
      <w:pPr>
        <w:pStyle w:val="2"/>
        <w:ind w:firstLine="480"/>
        <w:jc w:val="center"/>
        <w:rPr>
          <w:rFonts w:hint="default" w:ascii="Times New Roman" w:hAnsi="Times New Roman" w:cs="Times New Roman"/>
          <w:color w:val="auto"/>
        </w:rPr>
      </w:pPr>
      <w:r>
        <w:rPr>
          <w:rFonts w:hint="default" w:ascii="Times New Roman" w:hAnsi="Times New Roman" w:cs="Times New Roman"/>
          <w:color w:val="auto"/>
        </w:rPr>
        <w:object>
          <v:shape id="_x0000_i1050" o:spt="75" type="#_x0000_t75" style="height:35.65pt;width:136.3pt;" o:ole="t" filled="f" o:preferrelative="t" stroked="f" coordsize="21600,21600">
            <v:path/>
            <v:fill on="f" focussize="0,0"/>
            <v:stroke on="f"/>
            <v:imagedata r:id="rId63" o:title=""/>
            <o:lock v:ext="edit" aspectratio="t"/>
            <w10:wrap type="none"/>
            <w10:anchorlock/>
          </v:shape>
          <o:OLEObject Type="Embed" ProgID="Equation.KSEE3" ShapeID="_x0000_i1050" DrawAspect="Content" ObjectID="_1468075750" r:id="rId86">
            <o:LockedField>false</o:LockedField>
          </o:OLEObject>
        </w:object>
      </w:r>
    </w:p>
    <w:p>
      <w:pPr>
        <w:ind w:firstLine="48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式中：r、r</w:t>
      </w:r>
      <w:r>
        <w:rPr>
          <w:rFonts w:hint="default" w:ascii="Times New Roman" w:hAnsi="Times New Roman" w:cs="Times New Roman"/>
          <w:color w:val="auto"/>
          <w:vertAlign w:val="subscript"/>
          <w:lang w:eastAsia="zh-CN"/>
        </w:rPr>
        <w:t>0</w:t>
      </w:r>
      <w:r>
        <w:rPr>
          <w:rFonts w:hint="default" w:ascii="Times New Roman" w:hAnsi="Times New Roman" w:cs="Times New Roman"/>
          <w:color w:val="auto"/>
          <w:lang w:eastAsia="zh-CN"/>
        </w:rPr>
        <w:t>—距声源的距离，m；</w:t>
      </w:r>
    </w:p>
    <w:p>
      <w:pPr>
        <w:ind w:firstLine="1200" w:firstLineChars="500"/>
        <w:jc w:val="both"/>
        <w:rPr>
          <w:rFonts w:hint="default" w:ascii="Times New Roman" w:hAnsi="Times New Roman" w:cs="Times New Roman"/>
          <w:color w:val="auto"/>
          <w:lang w:eastAsia="zh-CN"/>
        </w:rPr>
      </w:pPr>
      <w:r>
        <w:rPr>
          <w:rFonts w:hint="default" w:ascii="Times New Roman" w:hAnsi="Times New Roman" w:cs="Times New Roman"/>
          <w:color w:val="auto"/>
          <w:lang w:eastAsia="zh-CN"/>
        </w:rPr>
        <w:t>L</w:t>
      </w:r>
      <w:r>
        <w:rPr>
          <w:rFonts w:hint="default" w:ascii="Times New Roman" w:hAnsi="Times New Roman" w:cs="Times New Roman"/>
          <w:color w:val="auto"/>
          <w:vertAlign w:val="subscript"/>
          <w:lang w:eastAsia="zh-CN"/>
        </w:rPr>
        <w:t>p（r）</w:t>
      </w:r>
      <w:r>
        <w:rPr>
          <w:rFonts w:hint="default" w:ascii="Times New Roman" w:hAnsi="Times New Roman" w:cs="Times New Roman"/>
          <w:color w:val="auto"/>
          <w:lang w:eastAsia="zh-CN"/>
        </w:rPr>
        <w:t>、L</w:t>
      </w:r>
      <w:r>
        <w:rPr>
          <w:rFonts w:hint="default" w:ascii="Times New Roman" w:hAnsi="Times New Roman" w:cs="Times New Roman"/>
          <w:color w:val="auto"/>
          <w:vertAlign w:val="subscript"/>
          <w:lang w:eastAsia="zh-CN"/>
        </w:rPr>
        <w:t>p（r0）</w:t>
      </w:r>
      <w:r>
        <w:rPr>
          <w:rFonts w:hint="default" w:ascii="Times New Roman" w:hAnsi="Times New Roman" w:cs="Times New Roman"/>
          <w:color w:val="auto"/>
          <w:lang w:eastAsia="zh-CN"/>
        </w:rPr>
        <w:t>—r、r</w:t>
      </w:r>
      <w:r>
        <w:rPr>
          <w:rFonts w:hint="default" w:ascii="Times New Roman" w:hAnsi="Times New Roman" w:cs="Times New Roman"/>
          <w:color w:val="auto"/>
          <w:vertAlign w:val="subscript"/>
          <w:lang w:eastAsia="zh-CN"/>
        </w:rPr>
        <w:t>0</w:t>
      </w:r>
      <w:r>
        <w:rPr>
          <w:rFonts w:hint="default" w:ascii="Times New Roman" w:hAnsi="Times New Roman" w:cs="Times New Roman"/>
          <w:color w:val="auto"/>
          <w:lang w:eastAsia="zh-CN"/>
        </w:rPr>
        <w:t>处的等效声级强度，dB（A）；</w:t>
      </w:r>
    </w:p>
    <w:p>
      <w:pPr>
        <w:ind w:firstLine="482"/>
      </w:pPr>
      <w:r>
        <w:rPr>
          <w:rFonts w:hint="eastAsia"/>
          <w:b/>
          <w:bCs/>
        </w:rPr>
        <w:t>（</w:t>
      </w:r>
      <w:r>
        <w:rPr>
          <w:rFonts w:hint="eastAsia"/>
          <w:b/>
          <w:bCs/>
          <w:lang w:val="en-US" w:eastAsia="zh-CN"/>
        </w:rPr>
        <w:t>3</w:t>
      </w:r>
      <w:r>
        <w:rPr>
          <w:rFonts w:hint="eastAsia"/>
          <w:b/>
          <w:bCs/>
        </w:rPr>
        <w:t>）</w:t>
      </w:r>
      <w:r>
        <w:rPr>
          <w:b/>
          <w:bCs/>
        </w:rPr>
        <w:t>噪声贡献值计算</w:t>
      </w:r>
    </w:p>
    <w:p>
      <w:pPr>
        <w:bidi w:val="0"/>
      </w:pPr>
      <w:r>
        <w:rPr>
          <w:rFonts w:hint="eastAsia"/>
          <w:lang w:val="en-US" w:eastAsia="zh-CN"/>
        </w:rPr>
        <w:t>由建设项目自身声源在预测点产生的声级。噪声贡献值（</w:t>
      </w:r>
      <w:r>
        <w:rPr>
          <w:rFonts w:hint="default"/>
          <w:lang w:val="en-US" w:eastAsia="zh-CN"/>
        </w:rPr>
        <w:t>L</w:t>
      </w:r>
      <w:r>
        <w:rPr>
          <w:rFonts w:hint="default"/>
          <w:vertAlign w:val="subscript"/>
          <w:lang w:val="en-US" w:eastAsia="zh-CN"/>
        </w:rPr>
        <w:t>eqg</w:t>
      </w:r>
      <w:r>
        <w:rPr>
          <w:rFonts w:hint="eastAsia"/>
          <w:lang w:val="en-US" w:eastAsia="zh-CN"/>
        </w:rPr>
        <w:t>）计算公式为：</w:t>
      </w:r>
    </w:p>
    <w:p>
      <w:pPr>
        <w:ind w:firstLine="480"/>
        <w:jc w:val="center"/>
      </w:pPr>
      <w:r>
        <w:drawing>
          <wp:inline distT="0" distB="0" distL="114300" distR="114300">
            <wp:extent cx="2371725" cy="714375"/>
            <wp:effectExtent l="0" t="0" r="9525" b="9525"/>
            <wp:docPr id="3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5"/>
                    <pic:cNvPicPr>
                      <a:picLocks noChangeAspect="1"/>
                    </pic:cNvPicPr>
                  </pic:nvPicPr>
                  <pic:blipFill>
                    <a:blip r:embed="rId87"/>
                    <a:stretch>
                      <a:fillRect/>
                    </a:stretch>
                  </pic:blipFill>
                  <pic:spPr>
                    <a:xfrm>
                      <a:off x="0" y="0"/>
                      <a:ext cx="2371725" cy="714375"/>
                    </a:xfrm>
                    <a:prstGeom prst="rect">
                      <a:avLst/>
                    </a:prstGeom>
                    <a:noFill/>
                    <a:ln>
                      <a:noFill/>
                    </a:ln>
                  </pic:spPr>
                </pic:pic>
              </a:graphicData>
            </a:graphic>
          </wp:inline>
        </w:drawing>
      </w:r>
    </w:p>
    <w:p>
      <w:pPr>
        <w:ind w:firstLine="480"/>
      </w:pPr>
      <w:r>
        <w:t>式中：</w:t>
      </w:r>
      <w:r>
        <w:rPr>
          <w:rFonts w:hint="default"/>
          <w:lang w:val="en-US" w:eastAsia="zh-CN"/>
        </w:rPr>
        <w:t>L</w:t>
      </w:r>
      <w:r>
        <w:rPr>
          <w:rFonts w:hint="default"/>
          <w:vertAlign w:val="subscript"/>
          <w:lang w:val="en-US" w:eastAsia="zh-CN"/>
        </w:rPr>
        <w:t>eqg</w:t>
      </w:r>
      <w:r>
        <w:t>—</w:t>
      </w:r>
      <w:r>
        <w:rPr>
          <w:rFonts w:hint="eastAsia"/>
          <w:lang w:val="en-US" w:eastAsia="zh-CN"/>
        </w:rPr>
        <w:t>噪声贡献值，</w:t>
      </w:r>
      <w:r>
        <w:rPr>
          <w:rFonts w:hint="default"/>
          <w:lang w:val="en-US" w:eastAsia="zh-CN"/>
        </w:rPr>
        <w:t>dB</w:t>
      </w:r>
      <w:r>
        <w:rPr>
          <w:rFonts w:hint="eastAsia"/>
          <w:lang w:val="en-US" w:eastAsia="zh-CN"/>
        </w:rPr>
        <w:t>；</w:t>
      </w:r>
    </w:p>
    <w:p>
      <w:pPr>
        <w:ind w:firstLine="1200" w:firstLineChars="500"/>
      </w:pPr>
      <w:r>
        <w:t>T—</w:t>
      </w:r>
      <w:r>
        <w:rPr>
          <w:rFonts w:hint="eastAsia"/>
          <w:lang w:val="en-US" w:eastAsia="zh-CN"/>
        </w:rPr>
        <w:t>预测计算的时间段</w:t>
      </w:r>
      <w:r>
        <w:t>，s；</w:t>
      </w:r>
    </w:p>
    <w:p>
      <w:pPr>
        <w:ind w:firstLine="1200" w:firstLineChars="500"/>
      </w:pPr>
      <w:r>
        <w:t>t</w:t>
      </w:r>
      <w:r>
        <w:rPr>
          <w:vertAlign w:val="subscript"/>
        </w:rPr>
        <w:t>i</w:t>
      </w:r>
      <w:r>
        <w:t>—i声源在T时间内</w:t>
      </w:r>
      <w:r>
        <w:rPr>
          <w:rFonts w:hint="eastAsia"/>
          <w:lang w:val="en-US" w:eastAsia="zh-CN"/>
        </w:rPr>
        <w:t>的运行</w:t>
      </w:r>
      <w:r>
        <w:t>时间，s；</w:t>
      </w:r>
    </w:p>
    <w:p>
      <w:pPr>
        <w:ind w:firstLine="1200" w:firstLineChars="500"/>
        <w:rPr>
          <w:rFonts w:hint="eastAsia"/>
          <w:b/>
          <w:bCs/>
          <w:lang w:val="en-US" w:eastAsia="zh-CN"/>
        </w:rPr>
      </w:pPr>
      <w:r>
        <w:rPr>
          <w:rFonts w:hint="default"/>
          <w:lang w:val="en-US" w:eastAsia="zh-CN"/>
        </w:rPr>
        <w:t>L</w:t>
      </w:r>
      <w:r>
        <w:rPr>
          <w:rFonts w:hint="eastAsia"/>
          <w:vertAlign w:val="subscript"/>
          <w:lang w:val="en-US" w:eastAsia="zh-CN"/>
        </w:rPr>
        <w:t>Ai</w:t>
      </w:r>
      <w:r>
        <w:t>—i声源</w:t>
      </w:r>
      <w:r>
        <w:rPr>
          <w:rFonts w:hint="eastAsia"/>
          <w:lang w:val="en-US" w:eastAsia="zh-CN"/>
        </w:rPr>
        <w:t>在预测点产生的等效连续A声级，</w:t>
      </w:r>
      <w:r>
        <w:rPr>
          <w:rFonts w:hint="default"/>
          <w:lang w:val="en-US" w:eastAsia="zh-CN"/>
        </w:rPr>
        <w:t>dB</w:t>
      </w:r>
      <w:r>
        <w:rPr>
          <w:rFonts w:hint="eastAsia"/>
          <w:lang w:val="en-US" w:eastAsia="zh-CN"/>
        </w:rPr>
        <w:t>；</w:t>
      </w:r>
    </w:p>
    <w:p>
      <w:pPr>
        <w:ind w:firstLine="482"/>
        <w:rPr>
          <w:b/>
          <w:bCs/>
        </w:rPr>
      </w:pPr>
      <w:r>
        <w:rPr>
          <w:rFonts w:hint="eastAsia"/>
          <w:b/>
          <w:bCs/>
          <w:lang w:val="en-US" w:eastAsia="zh-CN"/>
        </w:rPr>
        <w:t>5</w:t>
      </w:r>
      <w:r>
        <w:rPr>
          <w:rFonts w:hint="eastAsia"/>
          <w:b/>
          <w:bCs/>
        </w:rPr>
        <w:t>、</w:t>
      </w:r>
      <w:r>
        <w:rPr>
          <w:b/>
          <w:bCs/>
        </w:rPr>
        <w:t>预测结果</w:t>
      </w:r>
    </w:p>
    <w:p>
      <w:pPr>
        <w:ind w:firstLine="480"/>
        <w:rPr>
          <w:rFonts w:hint="eastAsia"/>
          <w:lang w:val="en-US" w:eastAsia="zh-CN"/>
        </w:rPr>
      </w:pPr>
      <w:r>
        <w:t>生产设备运行时间为</w:t>
      </w:r>
      <w:r>
        <w:rPr>
          <w:rFonts w:hint="eastAsia"/>
          <w:lang w:val="en-US" w:eastAsia="zh-CN"/>
        </w:rPr>
        <w:t>24</w:t>
      </w:r>
      <w:r>
        <w:t>h/d，</w:t>
      </w:r>
      <w:r>
        <w:rPr>
          <w:rFonts w:hint="eastAsia"/>
          <w:lang w:val="en-US" w:eastAsia="zh-CN"/>
        </w:rPr>
        <w:t>新建区域</w:t>
      </w:r>
    </w:p>
    <w:p>
      <w:pPr>
        <w:ind w:firstLine="480"/>
      </w:pPr>
      <w:r>
        <w:t>预测结果见表</w:t>
      </w:r>
      <w:r>
        <w:rPr>
          <w:rFonts w:hint="eastAsia"/>
          <w:lang w:val="en-US" w:eastAsia="zh-CN"/>
        </w:rPr>
        <w:t>5</w:t>
      </w:r>
      <w:r>
        <w:rPr>
          <w:rFonts w:hint="eastAsia"/>
        </w:rPr>
        <w:t>.22</w:t>
      </w:r>
      <w:r>
        <w:t>。</w:t>
      </w:r>
      <w:r>
        <w:rPr>
          <w:rFonts w:hint="eastAsia"/>
          <w:lang w:val="en-US" w:eastAsia="zh-CN"/>
        </w:rPr>
        <w:t xml:space="preserve">     </w:t>
      </w:r>
      <w:r>
        <w:rPr>
          <w:rFonts w:hint="eastAsia"/>
        </w:rPr>
        <w:t>81.95</w:t>
      </w:r>
    </w:p>
    <w:p>
      <w:pPr>
        <w:spacing w:line="240" w:lineRule="auto"/>
        <w:ind w:firstLine="482"/>
        <w:jc w:val="center"/>
        <w:rPr>
          <w:color w:val="auto"/>
        </w:rPr>
      </w:pPr>
      <w:r>
        <w:rPr>
          <w:b/>
          <w:bCs/>
        </w:rPr>
        <w:t>表</w:t>
      </w:r>
      <w:r>
        <w:rPr>
          <w:rFonts w:hint="eastAsia"/>
          <w:b/>
          <w:bCs/>
          <w:lang w:val="en-US" w:eastAsia="zh-CN"/>
        </w:rPr>
        <w:t>5</w:t>
      </w:r>
      <w:r>
        <w:rPr>
          <w:rFonts w:hint="eastAsia"/>
          <w:b/>
          <w:bCs/>
        </w:rPr>
        <w:t xml:space="preserve">.22 </w:t>
      </w:r>
      <w:r>
        <w:rPr>
          <w:b/>
          <w:bCs/>
        </w:rPr>
        <w:t xml:space="preserve">   厂界噪声贡献值预测结果  单位：dB</w:t>
      </w:r>
      <w:r>
        <w:rPr>
          <w:rFonts w:hint="eastAsia"/>
          <w:b/>
          <w:bCs/>
        </w:rPr>
        <w:t>（</w:t>
      </w:r>
      <w:r>
        <w:rPr>
          <w:b/>
          <w:bCs/>
        </w:rPr>
        <w:t>A</w:t>
      </w:r>
      <w:r>
        <w:rPr>
          <w:rFonts w:hint="eastAsia"/>
          <w:b/>
          <w:bCs/>
        </w:rPr>
        <w:t>）</w:t>
      </w:r>
    </w:p>
    <w:p>
      <w:pPr>
        <w:spacing w:line="16" w:lineRule="exact"/>
        <w:rPr>
          <w:color w:val="auto"/>
        </w:rPr>
      </w:pP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85" w:type="dxa"/>
          <w:bottom w:w="0" w:type="dxa"/>
          <w:right w:w="85" w:type="dxa"/>
        </w:tblCellMar>
      </w:tblPr>
      <w:tblGrid>
        <w:gridCol w:w="1963"/>
        <w:gridCol w:w="1953"/>
        <w:gridCol w:w="1953"/>
        <w:gridCol w:w="1827"/>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tcBorders>
              <w:tl2br w:val="nil"/>
              <w:tr2bl w:val="nil"/>
            </w:tcBorders>
            <w:noWrap w:val="0"/>
            <w:vAlign w:val="center"/>
          </w:tcPr>
          <w:p>
            <w:pPr>
              <w:pStyle w:val="103"/>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厂界</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时段</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贡献值</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标准值</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vMerge w:val="restar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东厂界</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990" w:type="pct"/>
            <w:vMerge w:val="continue"/>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990" w:type="pct"/>
            <w:vMerge w:val="restar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西厂界</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vMerge w:val="continue"/>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vMerge w:val="restar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南厂界</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vMerge w:val="continue"/>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vMerge w:val="restar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北厂界</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昼间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0" w:hRule="atLeast"/>
          <w:jc w:val="center"/>
        </w:trPr>
        <w:tc>
          <w:tcPr>
            <w:tcW w:w="990" w:type="pct"/>
            <w:vMerge w:val="continue"/>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夜间</w:t>
            </w:r>
          </w:p>
        </w:tc>
        <w:tc>
          <w:tcPr>
            <w:tcW w:w="985"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32</w:t>
            </w:r>
          </w:p>
        </w:tc>
        <w:tc>
          <w:tcPr>
            <w:tcW w:w="921"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w:t>
            </w:r>
          </w:p>
        </w:tc>
        <w:tc>
          <w:tcPr>
            <w:tcW w:w="1116" w:type="pct"/>
            <w:tcBorders>
              <w:tl2br w:val="nil"/>
              <w:tr2bl w:val="nil"/>
            </w:tcBorders>
            <w:noWrap w:val="0"/>
            <w:vAlign w:val="center"/>
          </w:tcPr>
          <w:p>
            <w:pPr>
              <w:pStyle w:val="103"/>
              <w:spacing w:line="240" w:lineRule="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达标</w:t>
            </w:r>
          </w:p>
        </w:tc>
      </w:tr>
    </w:tbl>
    <w:p>
      <w:pPr>
        <w:ind w:firstLine="480"/>
      </w:pPr>
      <w:r>
        <w:t>由预测可知，在采取降噪措施后，项目厂界噪声贡献值满足《工业企业厂界环境噪声排放标准》（GB12348-2008）中的3类标准限值</w:t>
      </w:r>
      <w:r>
        <w:rPr>
          <w:rFonts w:hint="eastAsia"/>
        </w:rPr>
        <w:t>，</w:t>
      </w:r>
      <w:r>
        <w:t>另外，本项目厂区</w:t>
      </w:r>
      <w:r>
        <w:rPr>
          <w:rFonts w:hint="eastAsia"/>
        </w:rPr>
        <w:t>外扩200m</w:t>
      </w:r>
      <w:r>
        <w:t>范围内无学校、医院以及居民居住区等环境敏感点，因此，本项目噪声对周围环境影响不大。</w:t>
      </w:r>
    </w:p>
    <w:p>
      <w:pPr>
        <w:ind w:firstLine="480"/>
      </w:pPr>
      <w:r>
        <w:t>综上所述，采取减振降噪措施后，</w:t>
      </w:r>
      <w:r>
        <w:rPr>
          <w:rFonts w:hint="eastAsia"/>
        </w:rPr>
        <w:t>项目运营期生产</w:t>
      </w:r>
      <w:r>
        <w:t>设备</w:t>
      </w:r>
      <w:r>
        <w:rPr>
          <w:rFonts w:hint="eastAsia"/>
        </w:rPr>
        <w:t>产生的</w:t>
      </w:r>
      <w:r>
        <w:t>噪声对周边声环境影响较小。</w:t>
      </w:r>
      <w:r>
        <w:rPr>
          <w:rFonts w:hint="eastAsia"/>
        </w:rPr>
        <w:t>声环境影响评价自查表详见下表。</w:t>
      </w:r>
    </w:p>
    <w:p>
      <w:pPr>
        <w:spacing w:line="240" w:lineRule="auto"/>
        <w:ind w:firstLine="482"/>
        <w:jc w:val="center"/>
        <w:rPr>
          <w:b/>
          <w:bCs/>
        </w:rPr>
      </w:pPr>
      <w:bookmarkStart w:id="743" w:name="_Toc126_WPSOffice_Level2"/>
      <w:bookmarkStart w:id="744" w:name="_Toc30974_WPSOffice_Level2"/>
      <w:bookmarkStart w:id="745" w:name="_Toc15720"/>
      <w:bookmarkStart w:id="746" w:name="_Toc20187"/>
      <w:r>
        <w:rPr>
          <w:rFonts w:hint="eastAsia"/>
          <w:b/>
          <w:bCs/>
        </w:rPr>
        <w:t>表</w:t>
      </w:r>
      <w:r>
        <w:rPr>
          <w:rFonts w:hint="eastAsia"/>
          <w:b/>
          <w:bCs/>
          <w:lang w:val="en-US" w:eastAsia="zh-CN"/>
        </w:rPr>
        <w:t>5</w:t>
      </w:r>
      <w:r>
        <w:rPr>
          <w:rFonts w:hint="eastAsia"/>
          <w:b/>
          <w:bCs/>
        </w:rPr>
        <w:t>.23    声环境影响评价自查表</w:t>
      </w:r>
    </w:p>
    <w:tbl>
      <w:tblPr>
        <w:tblStyle w:val="3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55"/>
        <w:gridCol w:w="1740"/>
        <w:gridCol w:w="1098"/>
        <w:gridCol w:w="1064"/>
        <w:gridCol w:w="1163"/>
        <w:gridCol w:w="478"/>
        <w:gridCol w:w="816"/>
        <w:gridCol w:w="1041"/>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466"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工作内容</w:t>
            </w:r>
          </w:p>
        </w:tc>
        <w:tc>
          <w:tcPr>
            <w:tcW w:w="3533" w:type="pct"/>
            <w:gridSpan w:val="7"/>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restar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评价等级与范围</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评价等级</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一级</w:t>
            </w:r>
            <w:r>
              <w:rPr>
                <w:sz w:val="21"/>
                <w:szCs w:val="21"/>
              </w:rPr>
              <w:sym w:font="Wingdings 2" w:char="00A3"/>
            </w:r>
          </w:p>
        </w:tc>
        <w:tc>
          <w:tcPr>
            <w:tcW w:w="831"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二级</w:t>
            </w:r>
            <w:r>
              <w:rPr>
                <w:sz w:val="21"/>
                <w:szCs w:val="21"/>
              </w:rPr>
              <w:sym w:font="Wingdings 2" w:char="00A3"/>
            </w:r>
          </w:p>
        </w:tc>
        <w:tc>
          <w:tcPr>
            <w:tcW w:w="1606"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三级</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评价范围</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200m</w:t>
            </w:r>
            <w:r>
              <w:rPr>
                <w:sz w:val="21"/>
                <w:szCs w:val="21"/>
              </w:rPr>
              <w:sym w:font="Wingdings 2" w:char="0052"/>
            </w:r>
          </w:p>
        </w:tc>
        <w:tc>
          <w:tcPr>
            <w:tcW w:w="831"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大于200m</w:t>
            </w:r>
            <w:r>
              <w:rPr>
                <w:sz w:val="21"/>
                <w:szCs w:val="21"/>
              </w:rPr>
              <w:sym w:font="Wingdings 2" w:char="00A3"/>
            </w:r>
          </w:p>
        </w:tc>
        <w:tc>
          <w:tcPr>
            <w:tcW w:w="1606"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小于200m</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评价因子</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评价因子</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等效连续A声级</w:t>
            </w:r>
            <w:r>
              <w:rPr>
                <w:sz w:val="21"/>
                <w:szCs w:val="21"/>
              </w:rPr>
              <w:sym w:font="Wingdings 2" w:char="0052"/>
            </w:r>
          </w:p>
        </w:tc>
        <w:tc>
          <w:tcPr>
            <w:tcW w:w="831"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最大A声级</w:t>
            </w:r>
            <w:r>
              <w:rPr>
                <w:sz w:val="21"/>
                <w:szCs w:val="21"/>
              </w:rPr>
              <w:sym w:font="Wingdings 2" w:char="00A3"/>
            </w:r>
          </w:p>
        </w:tc>
        <w:tc>
          <w:tcPr>
            <w:tcW w:w="1606"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计权等效连续感觉噪声级</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评价标准</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评价标准</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国家标准</w:t>
            </w:r>
            <w:r>
              <w:rPr>
                <w:sz w:val="21"/>
                <w:szCs w:val="21"/>
              </w:rPr>
              <w:sym w:font="Wingdings 2" w:char="0052"/>
            </w:r>
          </w:p>
        </w:tc>
        <w:tc>
          <w:tcPr>
            <w:tcW w:w="831"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地方标准</w:t>
            </w:r>
            <w:r>
              <w:rPr>
                <w:sz w:val="21"/>
                <w:szCs w:val="21"/>
              </w:rPr>
              <w:sym w:font="Wingdings 2" w:char="00A3"/>
            </w:r>
          </w:p>
        </w:tc>
        <w:tc>
          <w:tcPr>
            <w:tcW w:w="1606"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国外标准</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restar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现状评价</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环境功能区</w:t>
            </w:r>
          </w:p>
        </w:tc>
        <w:tc>
          <w:tcPr>
            <w:tcW w:w="55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0类区</w:t>
            </w:r>
            <w:r>
              <w:rPr>
                <w:sz w:val="21"/>
                <w:szCs w:val="21"/>
              </w:rPr>
              <w:sym w:font="Wingdings 2" w:char="00A3"/>
            </w:r>
          </w:p>
        </w:tc>
        <w:tc>
          <w:tcPr>
            <w:tcW w:w="538"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1类区</w:t>
            </w:r>
            <w:r>
              <w:rPr>
                <w:sz w:val="21"/>
                <w:szCs w:val="21"/>
              </w:rPr>
              <w:sym w:font="Wingdings 2" w:char="00A3"/>
            </w:r>
          </w:p>
        </w:tc>
        <w:tc>
          <w:tcPr>
            <w:tcW w:w="589"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2类区</w:t>
            </w:r>
            <w:r>
              <w:rPr>
                <w:sz w:val="21"/>
                <w:szCs w:val="21"/>
              </w:rPr>
              <w:sym w:font="Wingdings 2" w:char="00A3"/>
            </w:r>
          </w:p>
        </w:tc>
        <w:tc>
          <w:tcPr>
            <w:tcW w:w="654"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3类区</w:t>
            </w:r>
            <w:r>
              <w:rPr>
                <w:sz w:val="21"/>
                <w:szCs w:val="21"/>
              </w:rPr>
              <w:sym w:font="Wingdings 2" w:char="0052"/>
            </w:r>
          </w:p>
        </w:tc>
        <w:tc>
          <w:tcPr>
            <w:tcW w:w="52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4a类区</w:t>
            </w:r>
            <w:r>
              <w:rPr>
                <w:sz w:val="21"/>
                <w:szCs w:val="21"/>
              </w:rPr>
              <w:sym w:font="Wingdings 2" w:char="00A3"/>
            </w:r>
          </w:p>
        </w:tc>
        <w:tc>
          <w:tcPr>
            <w:tcW w:w="66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4b类区</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评价年度</w:t>
            </w:r>
          </w:p>
        </w:tc>
        <w:tc>
          <w:tcPr>
            <w:tcW w:w="55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初期</w:t>
            </w:r>
            <w:r>
              <w:rPr>
                <w:sz w:val="21"/>
                <w:szCs w:val="21"/>
              </w:rPr>
              <w:sym w:font="Wingdings 2" w:char="0052"/>
            </w:r>
          </w:p>
        </w:tc>
        <w:tc>
          <w:tcPr>
            <w:tcW w:w="1369"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近期</w:t>
            </w:r>
            <w:r>
              <w:rPr>
                <w:sz w:val="21"/>
                <w:szCs w:val="21"/>
              </w:rPr>
              <w:sym w:font="Wingdings 2" w:char="00A3"/>
            </w:r>
          </w:p>
        </w:tc>
        <w:tc>
          <w:tcPr>
            <w:tcW w:w="940"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中期</w:t>
            </w:r>
            <w:r>
              <w:rPr>
                <w:sz w:val="21"/>
                <w:szCs w:val="21"/>
              </w:rPr>
              <w:sym w:font="Wingdings 2" w:char="00A3"/>
            </w:r>
          </w:p>
        </w:tc>
        <w:tc>
          <w:tcPr>
            <w:tcW w:w="66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远期</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现状调查</w:t>
            </w:r>
          </w:p>
          <w:p>
            <w:pPr>
              <w:spacing w:line="240" w:lineRule="auto"/>
              <w:ind w:firstLine="0" w:firstLineChars="0"/>
              <w:jc w:val="center"/>
              <w:rPr>
                <w:sz w:val="21"/>
                <w:szCs w:val="21"/>
              </w:rPr>
            </w:pPr>
            <w:r>
              <w:rPr>
                <w:sz w:val="21"/>
                <w:szCs w:val="21"/>
              </w:rPr>
              <w:t>方法</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现场实测法</w:t>
            </w:r>
            <w:r>
              <w:rPr>
                <w:sz w:val="21"/>
                <w:szCs w:val="21"/>
              </w:rPr>
              <w:sym w:font="Wingdings 2" w:char="0052"/>
            </w:r>
          </w:p>
        </w:tc>
        <w:tc>
          <w:tcPr>
            <w:tcW w:w="1244"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现场实测加模型计算法</w:t>
            </w:r>
            <w:r>
              <w:rPr>
                <w:sz w:val="21"/>
                <w:szCs w:val="21"/>
              </w:rPr>
              <w:sym w:font="Wingdings 2" w:char="00A3"/>
            </w:r>
          </w:p>
        </w:tc>
        <w:tc>
          <w:tcPr>
            <w:tcW w:w="1193"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收集资料</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现状评价</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达标百分比</w:t>
            </w:r>
          </w:p>
        </w:tc>
        <w:tc>
          <w:tcPr>
            <w:tcW w:w="2438" w:type="pct"/>
            <w:gridSpan w:val="5"/>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噪声源</w:t>
            </w:r>
          </w:p>
          <w:p>
            <w:pPr>
              <w:spacing w:line="240" w:lineRule="auto"/>
              <w:ind w:firstLine="0" w:firstLineChars="0"/>
              <w:jc w:val="center"/>
              <w:rPr>
                <w:sz w:val="21"/>
                <w:szCs w:val="21"/>
              </w:rPr>
            </w:pPr>
            <w:r>
              <w:rPr>
                <w:sz w:val="21"/>
                <w:szCs w:val="21"/>
              </w:rPr>
              <w:t>调查</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噪声源</w:t>
            </w:r>
          </w:p>
          <w:p>
            <w:pPr>
              <w:spacing w:line="240" w:lineRule="auto"/>
              <w:ind w:firstLine="0" w:firstLineChars="0"/>
              <w:jc w:val="center"/>
              <w:rPr>
                <w:sz w:val="21"/>
                <w:szCs w:val="21"/>
              </w:rPr>
            </w:pPr>
            <w:r>
              <w:rPr>
                <w:sz w:val="21"/>
                <w:szCs w:val="21"/>
              </w:rPr>
              <w:t>调查方法</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现场实测</w:t>
            </w:r>
            <w:r>
              <w:rPr>
                <w:sz w:val="21"/>
                <w:szCs w:val="21"/>
              </w:rPr>
              <w:sym w:font="Wingdings 2" w:char="00A3"/>
            </w:r>
          </w:p>
        </w:tc>
        <w:tc>
          <w:tcPr>
            <w:tcW w:w="1244"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已有资料</w:t>
            </w:r>
            <w:r>
              <w:rPr>
                <w:sz w:val="21"/>
                <w:szCs w:val="21"/>
              </w:rPr>
              <w:sym w:font="Wingdings 2" w:char="0052"/>
            </w:r>
          </w:p>
        </w:tc>
        <w:tc>
          <w:tcPr>
            <w:tcW w:w="1193"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研究成果</w:t>
            </w:r>
            <w:r>
              <w:rPr>
                <w:sz w:val="21"/>
                <w:szCs w:val="21"/>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restar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声环境影响预测与评价</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预测模型</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导则推荐模型</w:t>
            </w:r>
            <w:r>
              <w:rPr>
                <w:sz w:val="21"/>
                <w:szCs w:val="21"/>
              </w:rPr>
              <w:sym w:font="Wingdings 2" w:char="0052"/>
            </w:r>
          </w:p>
        </w:tc>
        <w:tc>
          <w:tcPr>
            <w:tcW w:w="2438" w:type="pct"/>
            <w:gridSpan w:val="5"/>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其他</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预测范围</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200m</w:t>
            </w:r>
            <w:r>
              <w:rPr>
                <w:sz w:val="21"/>
                <w:szCs w:val="21"/>
              </w:rPr>
              <w:sym w:font="Wingdings 2" w:char="0052"/>
            </w:r>
          </w:p>
        </w:tc>
        <w:tc>
          <w:tcPr>
            <w:tcW w:w="1244"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大于200m</w:t>
            </w:r>
            <w:r>
              <w:rPr>
                <w:sz w:val="21"/>
                <w:szCs w:val="21"/>
              </w:rPr>
              <w:sym w:font="Wingdings 2" w:char="00A3"/>
            </w:r>
          </w:p>
        </w:tc>
        <w:tc>
          <w:tcPr>
            <w:tcW w:w="1193"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小于200m</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预测因子</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等效连续A声级</w:t>
            </w:r>
            <w:r>
              <w:rPr>
                <w:sz w:val="21"/>
                <w:szCs w:val="21"/>
              </w:rPr>
              <w:sym w:font="Wingdings 2" w:char="0052"/>
            </w:r>
          </w:p>
        </w:tc>
        <w:tc>
          <w:tcPr>
            <w:tcW w:w="1244"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最大A声级</w:t>
            </w:r>
            <w:r>
              <w:rPr>
                <w:sz w:val="21"/>
                <w:szCs w:val="21"/>
              </w:rPr>
              <w:sym w:font="Wingdings 2" w:char="00A3"/>
            </w:r>
          </w:p>
        </w:tc>
        <w:tc>
          <w:tcPr>
            <w:tcW w:w="1193"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计权等效连续感觉</w:t>
            </w:r>
          </w:p>
          <w:p>
            <w:pPr>
              <w:spacing w:line="240" w:lineRule="auto"/>
              <w:ind w:firstLine="0" w:firstLineChars="0"/>
              <w:jc w:val="center"/>
              <w:rPr>
                <w:sz w:val="21"/>
                <w:szCs w:val="21"/>
              </w:rPr>
            </w:pPr>
            <w:r>
              <w:rPr>
                <w:sz w:val="21"/>
                <w:szCs w:val="21"/>
              </w:rPr>
              <w:t>噪声级</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厂界噪声贡献值</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达标</w:t>
            </w:r>
            <w:r>
              <w:rPr>
                <w:sz w:val="21"/>
                <w:szCs w:val="21"/>
              </w:rPr>
              <w:sym w:font="Wingdings 2" w:char="0052"/>
            </w:r>
          </w:p>
        </w:tc>
        <w:tc>
          <w:tcPr>
            <w:tcW w:w="2438" w:type="pct"/>
            <w:gridSpan w:val="5"/>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不达标</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声环境保护</w:t>
            </w:r>
          </w:p>
          <w:p>
            <w:pPr>
              <w:spacing w:line="240" w:lineRule="auto"/>
              <w:ind w:firstLine="0" w:firstLineChars="0"/>
              <w:jc w:val="center"/>
              <w:rPr>
                <w:sz w:val="21"/>
                <w:szCs w:val="21"/>
              </w:rPr>
            </w:pPr>
            <w:r>
              <w:rPr>
                <w:sz w:val="21"/>
                <w:szCs w:val="21"/>
              </w:rPr>
              <w:t>目标处噪声值</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达标</w:t>
            </w:r>
            <w:r>
              <w:rPr>
                <w:sz w:val="21"/>
                <w:szCs w:val="21"/>
              </w:rPr>
              <w:sym w:font="Wingdings 2" w:char="00A3"/>
            </w:r>
          </w:p>
        </w:tc>
        <w:tc>
          <w:tcPr>
            <w:tcW w:w="2438" w:type="pct"/>
            <w:gridSpan w:val="5"/>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不达标</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restar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环境监测计划</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排放监测</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厂界监测</w:t>
            </w:r>
            <w:r>
              <w:rPr>
                <w:sz w:val="21"/>
                <w:szCs w:val="21"/>
              </w:rPr>
              <w:sym w:font="Wingdings 2" w:char="0052"/>
            </w:r>
          </w:p>
          <w:p>
            <w:pPr>
              <w:spacing w:line="240" w:lineRule="auto"/>
              <w:ind w:firstLine="0" w:firstLineChars="0"/>
              <w:jc w:val="center"/>
              <w:rPr>
                <w:sz w:val="21"/>
                <w:szCs w:val="21"/>
              </w:rPr>
            </w:pPr>
            <w:r>
              <w:rPr>
                <w:sz w:val="21"/>
                <w:szCs w:val="21"/>
              </w:rPr>
              <w:t>固定位置监测</w:t>
            </w:r>
            <w:r>
              <w:rPr>
                <w:sz w:val="21"/>
                <w:szCs w:val="21"/>
              </w:rPr>
              <w:sym w:font="Wingdings 2" w:char="00A3"/>
            </w:r>
          </w:p>
        </w:tc>
        <w:tc>
          <w:tcPr>
            <w:tcW w:w="1244"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自动监测</w:t>
            </w:r>
            <w:r>
              <w:rPr>
                <w:sz w:val="21"/>
                <w:szCs w:val="21"/>
              </w:rPr>
              <w:sym w:font="Wingdings 2" w:char="00A3"/>
            </w:r>
          </w:p>
          <w:p>
            <w:pPr>
              <w:spacing w:line="240" w:lineRule="auto"/>
              <w:ind w:firstLine="0" w:firstLineChars="0"/>
              <w:jc w:val="center"/>
              <w:rPr>
                <w:sz w:val="21"/>
                <w:szCs w:val="21"/>
              </w:rPr>
            </w:pPr>
            <w:r>
              <w:rPr>
                <w:sz w:val="21"/>
                <w:szCs w:val="21"/>
              </w:rPr>
              <w:t>手动监测</w:t>
            </w:r>
            <w:r>
              <w:rPr>
                <w:sz w:val="21"/>
                <w:szCs w:val="21"/>
              </w:rPr>
              <w:sym w:font="Wingdings 2" w:char="0052"/>
            </w:r>
          </w:p>
        </w:tc>
        <w:tc>
          <w:tcPr>
            <w:tcW w:w="1193"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无监测</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85" w:type="pct"/>
            <w:vMerge w:val="continue"/>
            <w:tcBorders>
              <w:tl2br w:val="nil"/>
              <w:tr2bl w:val="nil"/>
            </w:tcBorders>
            <w:tcMar>
              <w:top w:w="0" w:type="dxa"/>
              <w:left w:w="68" w:type="dxa"/>
              <w:bottom w:w="0" w:type="dxa"/>
              <w:right w:w="68" w:type="dxa"/>
            </w:tcMar>
            <w:vAlign w:val="center"/>
          </w:tcPr>
          <w:p>
            <w:pPr>
              <w:spacing w:line="240" w:lineRule="auto"/>
              <w:jc w:val="center"/>
              <w:rPr>
                <w:sz w:val="21"/>
                <w:szCs w:val="21"/>
              </w:rPr>
            </w:pP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声环境保护目标处噪声监测</w:t>
            </w:r>
          </w:p>
        </w:tc>
        <w:tc>
          <w:tcPr>
            <w:tcW w:w="1095"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监测因子：（</w:t>
            </w:r>
            <w:r>
              <w:rPr>
                <w:rFonts w:hint="eastAsia"/>
                <w:sz w:val="21"/>
                <w:szCs w:val="21"/>
              </w:rPr>
              <w:t>/</w:t>
            </w:r>
            <w:r>
              <w:rPr>
                <w:sz w:val="21"/>
                <w:szCs w:val="21"/>
              </w:rPr>
              <w:t>）</w:t>
            </w:r>
          </w:p>
        </w:tc>
        <w:tc>
          <w:tcPr>
            <w:tcW w:w="1244"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监测点位数（</w:t>
            </w:r>
            <w:r>
              <w:rPr>
                <w:rFonts w:hint="eastAsia"/>
                <w:sz w:val="21"/>
                <w:szCs w:val="21"/>
              </w:rPr>
              <w:t>/</w:t>
            </w:r>
            <w:r>
              <w:rPr>
                <w:sz w:val="21"/>
                <w:szCs w:val="21"/>
              </w:rPr>
              <w:t>）</w:t>
            </w:r>
          </w:p>
        </w:tc>
        <w:tc>
          <w:tcPr>
            <w:tcW w:w="1193"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无监测</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5"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评价结论</w:t>
            </w:r>
          </w:p>
        </w:tc>
        <w:tc>
          <w:tcPr>
            <w:tcW w:w="88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环境影响</w:t>
            </w:r>
          </w:p>
        </w:tc>
        <w:tc>
          <w:tcPr>
            <w:tcW w:w="1926" w:type="pct"/>
            <w:gridSpan w:val="4"/>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可行</w:t>
            </w:r>
            <w:r>
              <w:rPr>
                <w:sz w:val="21"/>
                <w:szCs w:val="21"/>
              </w:rPr>
              <w:sym w:font="Wingdings 2" w:char="0052"/>
            </w:r>
          </w:p>
        </w:tc>
        <w:tc>
          <w:tcPr>
            <w:tcW w:w="1606" w:type="pct"/>
            <w:gridSpan w:val="3"/>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不可行</w:t>
            </w:r>
            <w:r>
              <w:rPr>
                <w:sz w:val="21"/>
                <w:szCs w:val="21"/>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9"/>
            <w:tcBorders>
              <w:tl2br w:val="nil"/>
              <w:tr2bl w:val="nil"/>
            </w:tcBorders>
            <w:tcMar>
              <w:top w:w="0" w:type="dxa"/>
              <w:left w:w="68" w:type="dxa"/>
              <w:bottom w:w="0" w:type="dxa"/>
              <w:right w:w="68" w:type="dxa"/>
            </w:tcMar>
            <w:vAlign w:val="center"/>
          </w:tcPr>
          <w:p>
            <w:pPr>
              <w:spacing w:line="240" w:lineRule="auto"/>
              <w:ind w:firstLine="0" w:firstLineChars="0"/>
              <w:rPr>
                <w:sz w:val="21"/>
                <w:szCs w:val="21"/>
              </w:rPr>
            </w:pPr>
            <w:r>
              <w:rPr>
                <w:sz w:val="21"/>
                <w:szCs w:val="21"/>
              </w:rPr>
              <w:t>注：“□”为勾选项，可√；“（）”为内容填写项。</w:t>
            </w:r>
          </w:p>
        </w:tc>
      </w:tr>
    </w:tbl>
    <w:p>
      <w:pPr>
        <w:pStyle w:val="6"/>
        <w:ind w:firstLine="482"/>
      </w:pPr>
      <w:bookmarkStart w:id="747" w:name="_Toc1748"/>
      <w:r>
        <w:rPr>
          <w:rFonts w:hint="eastAsia"/>
          <w:lang w:val="en-US" w:eastAsia="zh-CN"/>
        </w:rPr>
        <w:t>5</w:t>
      </w:r>
      <w:r>
        <w:t>.2.</w:t>
      </w:r>
      <w:r>
        <w:rPr>
          <w:rFonts w:hint="eastAsia"/>
        </w:rPr>
        <w:t>5、</w:t>
      </w:r>
      <w:r>
        <w:t>运营期固废影响分析</w:t>
      </w:r>
      <w:bookmarkEnd w:id="743"/>
      <w:bookmarkEnd w:id="744"/>
      <w:bookmarkEnd w:id="745"/>
      <w:bookmarkEnd w:id="746"/>
      <w:bookmarkEnd w:id="747"/>
    </w:p>
    <w:p>
      <w:pPr>
        <w:ind w:firstLine="480"/>
      </w:pPr>
      <w:bookmarkStart w:id="748" w:name="_Toc30923_WPSOffice_Level3"/>
      <w:bookmarkStart w:id="749" w:name="_Toc12953_WPSOffice_Level3"/>
      <w:bookmarkStart w:id="750" w:name="_Toc23810_WPSOffice_Level3"/>
      <w:bookmarkStart w:id="751" w:name="_Toc22196_WPSOffice_Level3"/>
      <w:bookmarkStart w:id="752" w:name="_Toc10040_WPSOffice_Level3"/>
      <w:bookmarkStart w:id="753" w:name="_Toc17578_WPSOffice_Level3"/>
      <w:bookmarkStart w:id="754" w:name="_Toc18778_WPSOffice_Level3"/>
      <w:bookmarkStart w:id="755" w:name="_Toc28479_WPSOffice_Level3"/>
      <w:r>
        <w:t>本项目运营期固体废物主要</w:t>
      </w:r>
      <w:r>
        <w:rPr>
          <w:rFonts w:hint="eastAsia"/>
        </w:rPr>
        <w:t>有以下几种：</w:t>
      </w:r>
    </w:p>
    <w:p>
      <w:pPr>
        <w:ind w:firstLine="482"/>
        <w:rPr>
          <w:b/>
          <w:bCs/>
        </w:rPr>
      </w:pPr>
      <w:r>
        <w:rPr>
          <w:rFonts w:hint="eastAsia"/>
          <w:b/>
          <w:bCs/>
        </w:rPr>
        <w:t>1、羊粪</w:t>
      </w:r>
    </w:p>
    <w:p>
      <w:pPr>
        <w:ind w:firstLine="480"/>
      </w:pPr>
      <w:r>
        <w:rPr>
          <w:rFonts w:hint="eastAsia"/>
        </w:rPr>
        <w:t>肉羊在待宰圈待宰过程中会产生一定量的羊粪，羊粪属于一般固废，羊粪产生量为1.04t/d（312t/a）。羊粪全部日产日清，集中收集后拉运至厂区现有的有机肥生产车间作为原料使用。</w:t>
      </w:r>
    </w:p>
    <w:p>
      <w:pPr>
        <w:ind w:firstLine="482"/>
        <w:rPr>
          <w:b/>
          <w:bCs/>
        </w:rPr>
      </w:pPr>
      <w:r>
        <w:rPr>
          <w:rFonts w:hint="eastAsia"/>
          <w:b/>
          <w:bCs/>
        </w:rPr>
        <w:t>2、屠宰固废</w:t>
      </w:r>
    </w:p>
    <w:p>
      <w:pPr>
        <w:ind w:firstLine="480"/>
      </w:pPr>
      <w:r>
        <w:rPr>
          <w:rFonts w:hint="eastAsia"/>
        </w:rPr>
        <w:t>屠宰固废主要是指羊头蹄烫漂过程中产生的羊毛、羊蹄匣；白内脏处理过程产生的白内脏内容物等。屠宰固废产生量为8.15t/d（2976t/a）。屠宰固废全部为一般固废，屠宰固废全部集中收集后拉运至厂区现有的有机肥生产车间作为原料使用。</w:t>
      </w:r>
    </w:p>
    <w:p>
      <w:pPr>
        <w:ind w:firstLine="482"/>
        <w:rPr>
          <w:b/>
          <w:bCs/>
        </w:rPr>
      </w:pPr>
      <w:r>
        <w:rPr>
          <w:rFonts w:hint="eastAsia"/>
          <w:b/>
          <w:bCs/>
        </w:rPr>
        <w:t>3、酱卤及蒸煮固废</w:t>
      </w:r>
    </w:p>
    <w:p>
      <w:pPr>
        <w:ind w:firstLine="480"/>
      </w:pPr>
      <w:r>
        <w:t>酱卤及蒸煮固废是指在牛羊预制品和羊杂预制品生产过程中牛羊肉焯水过程中产生的血沫、浮油等；羊杂蒸煮过程中产生的血沫、浮油等以及</w:t>
      </w:r>
      <w:r>
        <w:rPr>
          <w:rFonts w:hint="eastAsia"/>
        </w:rPr>
        <w:t>牛羊预制品</w:t>
      </w:r>
      <w:r>
        <w:t>卤制</w:t>
      </w:r>
      <w:r>
        <w:rPr>
          <w:rFonts w:hint="eastAsia"/>
        </w:rPr>
        <w:t>、</w:t>
      </w:r>
      <w:r>
        <w:t>蒸煮过程中产生的废卤料</w:t>
      </w:r>
      <w:r>
        <w:rPr>
          <w:rFonts w:hint="eastAsia"/>
        </w:rPr>
        <w:t>、废调料</w:t>
      </w:r>
      <w:r>
        <w:t>。酱卤及蒸煮固废</w:t>
      </w:r>
      <w:r>
        <w:rPr>
          <w:rFonts w:hint="eastAsia"/>
        </w:rPr>
        <w:t>全部为一般固废，</w:t>
      </w:r>
      <w:r>
        <w:t>酱卤及蒸煮固废</w:t>
      </w:r>
      <w:r>
        <w:rPr>
          <w:rFonts w:hint="eastAsia"/>
        </w:rPr>
        <w:t>产生量为219.24</w:t>
      </w:r>
      <w:r>
        <w:t>t/a</w:t>
      </w:r>
      <w:r>
        <w:rPr>
          <w:rFonts w:hint="eastAsia"/>
        </w:rPr>
        <w:t>。酱卤及蒸煮固废全部集中收集后拉运至厂区现有的有机肥生产车间作为原料使用。</w:t>
      </w:r>
    </w:p>
    <w:p>
      <w:pPr>
        <w:ind w:firstLine="482"/>
        <w:rPr>
          <w:b/>
          <w:bCs/>
        </w:rPr>
      </w:pPr>
      <w:r>
        <w:rPr>
          <w:rFonts w:hint="eastAsia"/>
          <w:b/>
          <w:bCs/>
        </w:rPr>
        <w:t>4、择菜固废</w:t>
      </w:r>
    </w:p>
    <w:p>
      <w:pPr>
        <w:ind w:firstLine="480"/>
      </w:pPr>
      <w:r>
        <w:rPr>
          <w:rFonts w:hint="eastAsia"/>
        </w:rPr>
        <w:t>择菜固废主要是指牛羊预制品生产线使用的蔬菜在择菜过程中产生的不能使用的根、茎、叶等固废。择菜固废全部为一般固废，择菜固废产生量为245t/a。择菜固废全部集中收集后拉运至厂区现有的有机肥生产车间作为原料使用。</w:t>
      </w:r>
    </w:p>
    <w:p>
      <w:pPr>
        <w:ind w:firstLine="482"/>
        <w:rPr>
          <w:b/>
          <w:bCs/>
        </w:rPr>
      </w:pPr>
      <w:r>
        <w:rPr>
          <w:rFonts w:hint="eastAsia"/>
          <w:b/>
          <w:bCs/>
        </w:rPr>
        <w:t>5、废包装</w:t>
      </w:r>
    </w:p>
    <w:p>
      <w:pPr>
        <w:ind w:firstLine="480"/>
      </w:pPr>
      <w:r>
        <w:rPr>
          <w:rFonts w:hint="eastAsia"/>
        </w:rPr>
        <w:t>废包装主要来自于牛羊预制品生产线，主要是指在调料、卤料、食用油使用过程中产生的包装固废以及在冷冻牛羊肉拆包过程中产生的废包装。废包装材料主要以废纸壳、废塑料为主，全部为一般固废，废包装产生量为12.57t/a。废包装集中收集后外售废旧回收单位统一处置。</w:t>
      </w:r>
    </w:p>
    <w:p>
      <w:pPr>
        <w:ind w:firstLine="482"/>
        <w:rPr>
          <w:b/>
          <w:bCs/>
        </w:rPr>
      </w:pPr>
      <w:r>
        <w:rPr>
          <w:rFonts w:hint="eastAsia"/>
          <w:b/>
          <w:bCs/>
        </w:rPr>
        <w:t>6、生活垃圾</w:t>
      </w:r>
    </w:p>
    <w:p>
      <w:pPr>
        <w:ind w:firstLine="480"/>
      </w:pPr>
      <w:r>
        <w:t>生活垃圾产生量为</w:t>
      </w:r>
      <w:r>
        <w:rPr>
          <w:rFonts w:hint="eastAsia"/>
        </w:rPr>
        <w:t>18.25</w:t>
      </w:r>
      <w:r>
        <w:t>t/a。生活垃圾集中收集后</w:t>
      </w:r>
      <w:r>
        <w:rPr>
          <w:rFonts w:hint="eastAsia"/>
        </w:rPr>
        <w:t>交由园区</w:t>
      </w:r>
      <w:r>
        <w:t>环卫部门统一处理。</w:t>
      </w:r>
    </w:p>
    <w:p>
      <w:pPr>
        <w:ind w:firstLine="482"/>
        <w:rPr>
          <w:b/>
          <w:bCs/>
        </w:rPr>
      </w:pPr>
      <w:r>
        <w:rPr>
          <w:rFonts w:hint="eastAsia"/>
          <w:b/>
          <w:bCs/>
        </w:rPr>
        <w:t>7、病死羊</w:t>
      </w:r>
    </w:p>
    <w:p>
      <w:pPr>
        <w:ind w:firstLine="480"/>
      </w:pPr>
      <w:r>
        <w:rPr>
          <w:rFonts w:hint="eastAsia"/>
        </w:rPr>
        <w:t>病死羊主要是指肉羊在待宰过程中发生病患导致死亡的肉羊，病死羊产生量为3.6t/a。查阅《国家危险废物名录（2021年版）》未将病死羊列入危废中，同时</w:t>
      </w:r>
      <w:r>
        <w:t>根据我国</w:t>
      </w:r>
      <w:r>
        <w:rPr>
          <w:rFonts w:hint="eastAsia"/>
          <w:lang w:val="en-US" w:eastAsia="zh-CN"/>
        </w:rPr>
        <w:t>《病死畜禽和病害畜禽产品无害化处理管理办法》（中华人民共和国农业农村部令，2022年第3号，自2022年7月1日起施行）中的规定要求，从事畜禽饲养、屠宰、经营、隔离等活动的单位和个人，应当承担主体责任，按照本办法对病死畜禽和病害畜禽产品进行无害化处理，或者委托病死畜禽无害化处理场处理。因此，</w:t>
      </w:r>
      <w:r>
        <w:rPr>
          <w:rFonts w:hint="eastAsia"/>
        </w:rPr>
        <w:t>本项目运营期产生的</w:t>
      </w:r>
      <w:r>
        <w:t>病死</w:t>
      </w:r>
      <w:r>
        <w:rPr>
          <w:rFonts w:hint="eastAsia"/>
        </w:rPr>
        <w:t>羊需全部委托张掖市宏金雁再生能源科技发展有限责任公司进行无害化处理，</w:t>
      </w:r>
      <w:r>
        <w:t>严禁随意丢弃，严禁出售或作为饲料再利用。</w:t>
      </w:r>
    </w:p>
    <w:p>
      <w:pPr>
        <w:ind w:firstLine="482"/>
        <w:rPr>
          <w:b/>
          <w:bCs/>
        </w:rPr>
      </w:pPr>
      <w:r>
        <w:rPr>
          <w:rFonts w:hint="eastAsia"/>
          <w:b/>
          <w:bCs/>
        </w:rPr>
        <w:t>8、废活性炭</w:t>
      </w:r>
    </w:p>
    <w:p>
      <w:pPr>
        <w:ind w:firstLine="480"/>
      </w:pPr>
      <w:r>
        <w:rPr>
          <w:rFonts w:hint="eastAsia"/>
        </w:rPr>
        <w:t>本项目废活性炭主要是指在屠宰车间恶臭气体治理过程中产生的固废，废活性炭产生量产生量为3.0t/a。废活性炭属于危险废物，建设单位需集中收集在危废暂存间后委托有资质的单位处置。</w:t>
      </w:r>
      <w:bookmarkEnd w:id="748"/>
      <w:bookmarkEnd w:id="749"/>
      <w:bookmarkEnd w:id="750"/>
      <w:bookmarkEnd w:id="751"/>
      <w:bookmarkEnd w:id="752"/>
      <w:bookmarkEnd w:id="753"/>
      <w:bookmarkEnd w:id="754"/>
      <w:bookmarkEnd w:id="755"/>
    </w:p>
    <w:p>
      <w:pPr>
        <w:ind w:firstLine="480"/>
      </w:pPr>
      <w:bookmarkStart w:id="756" w:name="_Toc32217_WPSOffice_Level3"/>
      <w:bookmarkStart w:id="757" w:name="_Toc7791_WPSOffice_Level3"/>
      <w:bookmarkStart w:id="758" w:name="_Toc1797_WPSOffice_Level3"/>
      <w:bookmarkStart w:id="759" w:name="_Toc7330_WPSOffice_Level3"/>
      <w:bookmarkStart w:id="760" w:name="_Toc22577_WPSOffice_Level3"/>
      <w:bookmarkStart w:id="761" w:name="_Toc24082_WPSOffice_Level3"/>
      <w:bookmarkStart w:id="762" w:name="_Toc7075_WPSOffice_Level3"/>
      <w:bookmarkStart w:id="763" w:name="_Toc30448_WPSOffice_Level3"/>
      <w:r>
        <w:rPr>
          <w:rFonts w:hint="eastAsia"/>
        </w:rPr>
        <w:t>综上所述，本项目运营期产生的固废都得到了合理的处置，对周边环境影响较小。</w:t>
      </w:r>
    </w:p>
    <w:bookmarkEnd w:id="756"/>
    <w:bookmarkEnd w:id="757"/>
    <w:bookmarkEnd w:id="758"/>
    <w:bookmarkEnd w:id="759"/>
    <w:bookmarkEnd w:id="760"/>
    <w:bookmarkEnd w:id="761"/>
    <w:bookmarkEnd w:id="762"/>
    <w:bookmarkEnd w:id="763"/>
    <w:p>
      <w:pPr>
        <w:pStyle w:val="6"/>
        <w:ind w:firstLine="482"/>
      </w:pPr>
      <w:bookmarkStart w:id="764" w:name="_Toc14310"/>
      <w:r>
        <w:rPr>
          <w:rFonts w:hint="eastAsia"/>
          <w:lang w:val="en-US" w:eastAsia="zh-CN"/>
        </w:rPr>
        <w:t>5</w:t>
      </w:r>
      <w:r>
        <w:t>.2.6</w:t>
      </w:r>
      <w:r>
        <w:rPr>
          <w:rFonts w:hint="eastAsia"/>
        </w:rPr>
        <w:t>、</w:t>
      </w:r>
      <w:r>
        <w:t>土壤环境影响分析</w:t>
      </w:r>
      <w:bookmarkEnd w:id="764"/>
    </w:p>
    <w:p>
      <w:pPr>
        <w:ind w:firstLine="480"/>
      </w:pPr>
      <w:r>
        <w:t>土壤是一个开放系统，土壤与水、空气、生物、岩石等环境要素之间存在物质交换，污染物进入环境后正是通过与其它环境要素间的物质交换造成土壤污染。通常可能造成土壤污染的途径有：①污染物随大气传输而迁移、扩散；②污染物随地表水流动、补给、渗入而迁移；③固体废物受自然降水时淋溶作用，转移或渗入土壤；④固体废物受风力作用产生转移。</w:t>
      </w:r>
    </w:p>
    <w:p>
      <w:pPr>
        <w:ind w:firstLine="482"/>
        <w:rPr>
          <w:b/>
          <w:bCs/>
        </w:rPr>
      </w:pPr>
      <w:r>
        <w:rPr>
          <w:b/>
          <w:bCs/>
        </w:rPr>
        <w:t>（1）土壤污染途径分析</w:t>
      </w:r>
    </w:p>
    <w:p>
      <w:pPr>
        <w:ind w:firstLine="480"/>
      </w:pPr>
      <w:r>
        <w:t>本项目的生产过程中产生的废气、废水和固体废物等，有可能进入环境造成土壤污染的途径有：</w:t>
      </w:r>
    </w:p>
    <w:p>
      <w:pPr>
        <w:ind w:firstLine="480"/>
      </w:pPr>
      <w:r>
        <w:t>①本项目生产车间排放</w:t>
      </w:r>
      <w:r>
        <w:rPr>
          <w:rFonts w:hint="eastAsia"/>
        </w:rPr>
        <w:t>废气</w:t>
      </w:r>
      <w:r>
        <w:t>进入土壤造成污染。</w:t>
      </w:r>
    </w:p>
    <w:p>
      <w:pPr>
        <w:ind w:firstLine="480"/>
      </w:pPr>
      <w:r>
        <w:t>②本项目生产车间废水跑冒滴漏，污水处理站污水外溢，下渗造成土壤污染。</w:t>
      </w:r>
    </w:p>
    <w:p>
      <w:pPr>
        <w:ind w:firstLine="480"/>
      </w:pPr>
      <w:r>
        <w:t>③本项目</w:t>
      </w:r>
      <w:r>
        <w:rPr>
          <w:rFonts w:hint="eastAsia"/>
        </w:rPr>
        <w:t>废活性炭</w:t>
      </w:r>
      <w:r>
        <w:t>胡乱堆放，其中的危险成分随雨水冲刷进入土壤造成污染。</w:t>
      </w:r>
    </w:p>
    <w:p>
      <w:pPr>
        <w:ind w:firstLine="480"/>
      </w:pPr>
      <w:r>
        <w:t>以上污染物进入土壤后，可以通过水、植物、动物、水生物等直接或间接对人体产生影响。</w:t>
      </w:r>
    </w:p>
    <w:p>
      <w:pPr>
        <w:ind w:firstLine="482"/>
        <w:rPr>
          <w:b/>
          <w:bCs/>
        </w:rPr>
      </w:pPr>
      <w:r>
        <w:rPr>
          <w:b/>
          <w:bCs/>
        </w:rPr>
        <w:t>（2）土壤污染影响分析</w:t>
      </w:r>
    </w:p>
    <w:p>
      <w:pPr>
        <w:ind w:firstLine="482"/>
        <w:rPr>
          <w:b/>
          <w:bCs/>
        </w:rPr>
      </w:pPr>
      <w:r>
        <w:rPr>
          <w:b/>
          <w:bCs/>
        </w:rPr>
        <w:t>①大气沉降影响分析</w:t>
      </w:r>
    </w:p>
    <w:p>
      <w:pPr>
        <w:ind w:firstLine="480"/>
      </w:pPr>
      <w:r>
        <w:rPr>
          <w:rFonts w:hint="eastAsia"/>
        </w:rPr>
        <w:t>建设单位需要对</w:t>
      </w:r>
      <w:r>
        <w:t>本项目</w:t>
      </w:r>
      <w:r>
        <w:rPr>
          <w:rFonts w:hint="eastAsia"/>
        </w:rPr>
        <w:t>运营期产生的废气</w:t>
      </w:r>
      <w:r>
        <w:t>采取相应的</w:t>
      </w:r>
      <w:r>
        <w:rPr>
          <w:rFonts w:hint="eastAsia"/>
        </w:rPr>
        <w:t>治理</w:t>
      </w:r>
      <w:r>
        <w:t>措施，确保</w:t>
      </w:r>
      <w:r>
        <w:rPr>
          <w:rFonts w:hint="eastAsia"/>
        </w:rPr>
        <w:t>废气能够</w:t>
      </w:r>
      <w:r>
        <w:t>达标排放，</w:t>
      </w:r>
      <w:r>
        <w:rPr>
          <w:rFonts w:hint="eastAsia"/>
        </w:rPr>
        <w:t>在采取废气治理措施后</w:t>
      </w:r>
      <w:r>
        <w:t>可以有效减少因大气沉降而进入土壤的污染物。在实际生产过程中，企业应做好废气处理系统的维护和管理工作，尽量避免事故排放，一旦出现处理装置处理效率下降，应立即停产检修，缩短事故排放时间，减小对土壤的污染；同时加强厂区绿化，种植吸附力较强的植物，减少因大气沉降而进入土壤的污染物。</w:t>
      </w:r>
    </w:p>
    <w:p>
      <w:pPr>
        <w:ind w:firstLine="482"/>
      </w:pPr>
      <w:r>
        <w:rPr>
          <w:b/>
          <w:bCs/>
        </w:rPr>
        <w:t>②废水入渗影响分析</w:t>
      </w:r>
    </w:p>
    <w:p>
      <w:pPr>
        <w:ind w:firstLine="480"/>
      </w:pPr>
      <w:r>
        <w:t>对污水处理设施、车间等采取分区防渗措施，可以有效地减小废水对土壤的污染。同时严格按照国家相关规范要求，对工艺、管道、设备、污水储存及处理构筑物采取防渗等措施，以防止和降低污染物的跑、冒、滴、漏，将污染物泄漏造成土壤污染的风险降低到最低程度。</w:t>
      </w:r>
    </w:p>
    <w:p>
      <w:pPr>
        <w:ind w:firstLine="480"/>
      </w:pPr>
      <w:r>
        <w:t>综上所述，本项目对土壤的各项污染途径进行了有效预防，在确保厂区各项预防措施得以落实并得到良好维护的前提下，本项目对土壤影响可接受。</w:t>
      </w:r>
    </w:p>
    <w:p>
      <w:pPr>
        <w:pStyle w:val="6"/>
        <w:ind w:firstLine="482"/>
      </w:pPr>
      <w:r>
        <w:rPr>
          <w:rFonts w:hint="eastAsia"/>
          <w:lang w:val="en-US" w:eastAsia="zh-CN"/>
        </w:rPr>
        <w:t>5</w:t>
      </w:r>
      <w:r>
        <w:rPr>
          <w:rFonts w:hint="eastAsia"/>
        </w:rPr>
        <w:t>.2.7、</w:t>
      </w:r>
      <w:r>
        <w:t>生态影响分析</w:t>
      </w:r>
    </w:p>
    <w:p>
      <w:pPr>
        <w:ind w:firstLine="482"/>
        <w:rPr>
          <w:b/>
          <w:bCs/>
        </w:rPr>
      </w:pPr>
      <w:r>
        <w:rPr>
          <w:rFonts w:hint="eastAsia"/>
          <w:b/>
          <w:bCs/>
        </w:rPr>
        <w:t>1、对周边植被的影响分析</w:t>
      </w:r>
    </w:p>
    <w:p>
      <w:pPr>
        <w:ind w:firstLine="480"/>
      </w:pPr>
      <w:r>
        <w:rPr>
          <w:rFonts w:hint="eastAsia"/>
        </w:rPr>
        <w:t>本项目运营期废水、固废都的到了合理的处置，不存在废水随意排放，固废随意堆放的现象，因此废水和固废基本不会对周边生态环境造成影响。可能对周边生态环境造成影响的主要为</w:t>
      </w:r>
      <w:r>
        <w:t>本项目运营期</w:t>
      </w:r>
      <w:r>
        <w:rPr>
          <w:rFonts w:hint="eastAsia"/>
        </w:rPr>
        <w:t>产生的</w:t>
      </w:r>
      <w:r>
        <w:t>H</w:t>
      </w:r>
      <w:r>
        <w:rPr>
          <w:vertAlign w:val="subscript"/>
        </w:rPr>
        <w:t>2</w:t>
      </w:r>
      <w:r>
        <w:t>S、NH</w:t>
      </w:r>
      <w:r>
        <w:rPr>
          <w:vertAlign w:val="subscript"/>
        </w:rPr>
        <w:t>3</w:t>
      </w:r>
      <w:r>
        <w:t>等</w:t>
      </w:r>
      <w:r>
        <w:rPr>
          <w:rFonts w:hint="eastAsia"/>
        </w:rPr>
        <w:t>废气</w:t>
      </w:r>
      <w:r>
        <w:t>。</w:t>
      </w:r>
      <w:r>
        <w:rPr>
          <w:rFonts w:hint="eastAsia"/>
        </w:rPr>
        <w:t>如当植被叶面H</w:t>
      </w:r>
      <w:r>
        <w:rPr>
          <w:rFonts w:hint="eastAsia"/>
          <w:vertAlign w:val="subscript"/>
        </w:rPr>
        <w:t>2</w:t>
      </w:r>
      <w:r>
        <w:rPr>
          <w:rFonts w:hint="eastAsia"/>
        </w:rPr>
        <w:t>S吸收量超过硫酸盐代谢速度时就会</w:t>
      </w:r>
      <w:r>
        <w:t>对植物叶肉细胞产生毒性，会破坏叶子正常生理机能，影响植物的正常生长。根据大气影响预测结果，本项目建成后正常情况下，项目所排放的H</w:t>
      </w:r>
      <w:r>
        <w:rPr>
          <w:vertAlign w:val="subscript"/>
        </w:rPr>
        <w:t>2</w:t>
      </w:r>
      <w:r>
        <w:t>S、NH</w:t>
      </w:r>
      <w:r>
        <w:rPr>
          <w:vertAlign w:val="subscript"/>
        </w:rPr>
        <w:t>3</w:t>
      </w:r>
      <w:r>
        <w:rPr>
          <w:rFonts w:hint="eastAsia"/>
        </w:rPr>
        <w:t>的</w:t>
      </w:r>
      <w:r>
        <w:t>最大浓度</w:t>
      </w:r>
      <w:r>
        <w:rPr>
          <w:rFonts w:hint="eastAsia"/>
        </w:rPr>
        <w:t>能够满足本</w:t>
      </w:r>
      <w:r>
        <w:t>区域环境</w:t>
      </w:r>
      <w:r>
        <w:rPr>
          <w:rFonts w:hint="eastAsia"/>
        </w:rPr>
        <w:t>空气质量</w:t>
      </w:r>
      <w:r>
        <w:t>标准要求。另外，场址周围植物没有珍稀植物种属，因此，本项目建设运营后大气污染物不会对植物产生显著影响。</w:t>
      </w:r>
    </w:p>
    <w:p>
      <w:pPr>
        <w:ind w:firstLine="482"/>
      </w:pPr>
      <w:r>
        <w:rPr>
          <w:rFonts w:hint="eastAsia"/>
          <w:b/>
          <w:bCs/>
        </w:rPr>
        <w:t>2、对周边动物的影响分析</w:t>
      </w:r>
    </w:p>
    <w:p>
      <w:pPr>
        <w:ind w:firstLine="480"/>
      </w:pPr>
      <w:r>
        <w:t>根据研究，在项目区持续噪声影响下，适应人为干扰能力较弱的动物会本能的向周边林地迁移，适应人为干扰能力较强的动物会在项目运行期逐渐迁回。根据调查和有关资料，项目区周边</w:t>
      </w:r>
      <w:r>
        <w:rPr>
          <w:rFonts w:hint="eastAsia"/>
        </w:rPr>
        <w:t>动物主要以鼠类、麻雀等为主，均为</w:t>
      </w:r>
      <w:r>
        <w:t>本地常见动物种类</w:t>
      </w:r>
      <w:r>
        <w:rPr>
          <w:rFonts w:hint="eastAsia"/>
        </w:rPr>
        <w:t>，且数量较少。鼠类、麻雀早已适应了与人类相处的生活，因此本项目运营期基本不会对周边动物产生影响。</w:t>
      </w:r>
    </w:p>
    <w:p>
      <w:pPr>
        <w:ind w:firstLine="480"/>
      </w:pPr>
      <w:r>
        <w:rPr>
          <w:rFonts w:hint="eastAsia"/>
        </w:rPr>
        <w:t>综上所述，</w:t>
      </w:r>
      <w:r>
        <w:t>项目</w:t>
      </w:r>
      <w:r>
        <w:rPr>
          <w:rFonts w:hint="eastAsia"/>
        </w:rPr>
        <w:t>周边</w:t>
      </w:r>
      <w:r>
        <w:t>区域内无自然保护区、风景名胜区，无珍稀频危野生动植物存在。经调查区域内动物主要分布有</w:t>
      </w:r>
      <w:r>
        <w:rPr>
          <w:rFonts w:hint="eastAsia"/>
        </w:rPr>
        <w:t>麻雀、鼠类</w:t>
      </w:r>
      <w:r>
        <w:t>等小型野生动物，无国家级或省级重点保护的野生保护动物出现</w:t>
      </w:r>
      <w:r>
        <w:rPr>
          <w:rFonts w:hint="eastAsia"/>
        </w:rPr>
        <w:t>，本项目的建设</w:t>
      </w:r>
      <w:r>
        <w:t>对区域动植物的影响</w:t>
      </w:r>
      <w:r>
        <w:rPr>
          <w:rFonts w:hint="eastAsia"/>
        </w:rPr>
        <w:t>时可以接受</w:t>
      </w:r>
      <w:r>
        <w:t>。</w:t>
      </w:r>
    </w:p>
    <w:p>
      <w:pPr>
        <w:ind w:left="0" w:leftChars="0" w:firstLine="0" w:firstLineChars="0"/>
      </w:pPr>
    </w:p>
    <w:p>
      <w:pPr>
        <w:ind w:firstLine="480"/>
        <w:sectPr>
          <w:pgSz w:w="11906" w:h="16838"/>
          <w:pgMar w:top="1440" w:right="1080" w:bottom="1440" w:left="1080" w:header="964" w:footer="737" w:gutter="0"/>
          <w:pgBorders>
            <w:top w:val="none" w:sz="0" w:space="0"/>
            <w:left w:val="none" w:sz="0" w:space="0"/>
            <w:bottom w:val="none" w:sz="0" w:space="0"/>
            <w:right w:val="none" w:sz="0" w:space="0"/>
          </w:pgBorders>
          <w:cols w:space="425" w:num="1"/>
          <w:docGrid w:type="lines" w:linePitch="312" w:charSpace="0"/>
        </w:sectPr>
      </w:pPr>
    </w:p>
    <w:p>
      <w:pPr>
        <w:pStyle w:val="4"/>
      </w:pPr>
      <w:bookmarkStart w:id="765" w:name="_Toc16412"/>
      <w:bookmarkStart w:id="766" w:name="_Toc16613"/>
      <w:bookmarkStart w:id="767" w:name="_Toc18127_WPSOffice_Level2"/>
      <w:bookmarkStart w:id="768" w:name="_Toc24646"/>
      <w:bookmarkStart w:id="769" w:name="_Toc3383"/>
      <w:bookmarkStart w:id="770" w:name="_Toc30653"/>
      <w:bookmarkStart w:id="771" w:name="_Toc26738"/>
      <w:r>
        <w:rPr>
          <w:rFonts w:hint="eastAsia"/>
          <w:lang w:val="en-US" w:eastAsia="zh-CN"/>
        </w:rPr>
        <w:t>6</w:t>
      </w:r>
      <w:r>
        <w:rPr>
          <w:rFonts w:hint="eastAsia"/>
        </w:rPr>
        <w:t>、</w:t>
      </w:r>
      <w:r>
        <w:t>污染防治措施及其可行性分析</w:t>
      </w:r>
      <w:bookmarkEnd w:id="765"/>
      <w:bookmarkEnd w:id="766"/>
      <w:bookmarkEnd w:id="767"/>
      <w:bookmarkEnd w:id="768"/>
      <w:bookmarkEnd w:id="769"/>
      <w:bookmarkEnd w:id="770"/>
      <w:bookmarkEnd w:id="771"/>
    </w:p>
    <w:p>
      <w:pPr>
        <w:pStyle w:val="5"/>
        <w:spacing w:before="78" w:after="78"/>
        <w:ind w:firstLine="562"/>
      </w:pPr>
      <w:bookmarkStart w:id="772" w:name="_Toc25995"/>
      <w:bookmarkStart w:id="773" w:name="_Toc16568"/>
      <w:bookmarkStart w:id="774" w:name="_Toc30223"/>
      <w:bookmarkStart w:id="775" w:name="_Toc362"/>
      <w:bookmarkStart w:id="776" w:name="_Toc20216"/>
      <w:bookmarkStart w:id="777" w:name="_Toc13218_WPSOffice_Level3"/>
      <w:bookmarkStart w:id="778" w:name="_Toc15983"/>
      <w:r>
        <w:rPr>
          <w:rFonts w:hint="eastAsia"/>
          <w:lang w:val="en-US" w:eastAsia="zh-CN"/>
        </w:rPr>
        <w:t>6</w:t>
      </w:r>
      <w:r>
        <w:t>.1</w:t>
      </w:r>
      <w:r>
        <w:rPr>
          <w:rFonts w:hint="eastAsia"/>
        </w:rPr>
        <w:t>、</w:t>
      </w:r>
      <w:r>
        <w:t>施工期污染防治措施及可行性分析</w:t>
      </w:r>
      <w:bookmarkEnd w:id="772"/>
      <w:bookmarkEnd w:id="773"/>
      <w:bookmarkEnd w:id="774"/>
      <w:bookmarkEnd w:id="775"/>
      <w:bookmarkEnd w:id="776"/>
      <w:bookmarkEnd w:id="777"/>
      <w:bookmarkEnd w:id="778"/>
    </w:p>
    <w:p>
      <w:pPr>
        <w:pStyle w:val="6"/>
        <w:ind w:firstLine="482"/>
      </w:pPr>
      <w:bookmarkStart w:id="779" w:name="_Toc25213"/>
      <w:r>
        <w:rPr>
          <w:rFonts w:hint="eastAsia"/>
          <w:lang w:val="en-US" w:eastAsia="zh-CN"/>
        </w:rPr>
        <w:t>6</w:t>
      </w:r>
      <w:r>
        <w:t>.1.1</w:t>
      </w:r>
      <w:r>
        <w:rPr>
          <w:rFonts w:hint="eastAsia"/>
        </w:rPr>
        <w:t>、</w:t>
      </w:r>
      <w:r>
        <w:t>施工期环境空气污染防治措施</w:t>
      </w:r>
      <w:bookmarkEnd w:id="779"/>
    </w:p>
    <w:p>
      <w:pPr>
        <w:ind w:firstLine="480"/>
      </w:pPr>
      <w:r>
        <w:t>本项目施工期污染物主要包括</w:t>
      </w:r>
      <w:r>
        <w:rPr>
          <w:rFonts w:hint="eastAsia"/>
        </w:rPr>
        <w:t>：施工扬尘、道路扬尘、机械尾气、焊接烟尘、装修废气。</w:t>
      </w:r>
    </w:p>
    <w:p>
      <w:pPr>
        <w:ind w:firstLine="482"/>
      </w:pPr>
      <w:r>
        <w:rPr>
          <w:rFonts w:hint="eastAsia"/>
          <w:b/>
          <w:bCs/>
        </w:rPr>
        <w:t>（1）施工期施工扬尘</w:t>
      </w:r>
      <w:r>
        <w:rPr>
          <w:b/>
          <w:bCs/>
        </w:rPr>
        <w:t>污染防治措施及可行性分析</w:t>
      </w:r>
    </w:p>
    <w:p>
      <w:pPr>
        <w:ind w:firstLine="480"/>
      </w:pPr>
      <w:r>
        <w:rPr>
          <w:rFonts w:hint="eastAsia"/>
        </w:rPr>
        <w:t>为了防止使用扬尘对周边环境造成影响，施工期建设单位需要对施工扬尘采取以下治理措施：</w:t>
      </w:r>
    </w:p>
    <w:p>
      <w:pPr>
        <w:ind w:firstLine="480"/>
      </w:pPr>
      <w:r>
        <w:t>①施工单位应根据《建设工程施工现场管理规定》的规定设置现场平面布置图、工程概况牌、安全生产牌、消防保卫牌、文明施工牌、环境保护牌、管理人员名单及监督电话牌等。</w:t>
      </w:r>
    </w:p>
    <w:p>
      <w:pPr>
        <w:ind w:firstLine="480"/>
      </w:pPr>
      <w:r>
        <w:t>②土建工地其边界应设置高度2.5m以上的围挡；围挡底端应设置防溢座，围挡之间以及围挡与防溢座之间无缝隙。</w:t>
      </w:r>
    </w:p>
    <w:p>
      <w:pPr>
        <w:ind w:firstLine="480"/>
      </w:pPr>
      <w:r>
        <w:t>③遇到干燥、易起尘的土方工程作业时，应辅以洒水压尘，尽量缩短起尘操作时间。遇到四级或四级以上大风天气，应停止土方作业，同时作业处覆以防尘网。</w:t>
      </w:r>
    </w:p>
    <w:p>
      <w:pPr>
        <w:ind w:firstLine="480"/>
      </w:pPr>
      <w:r>
        <w:t>④施工过程中使用水泥、石灰、砂石、涂料、铺装材料等建筑材料，应采取设置围挡或堆砌围墙，并用防尘布覆盖。</w:t>
      </w:r>
    </w:p>
    <w:p>
      <w:pPr>
        <w:ind w:firstLine="480"/>
      </w:pPr>
      <w:r>
        <w:t>⑤施工工程中产生的弃土、弃料及其他建筑垃圾，应及时清运。若在工地内堆置超过一周的，则应采取覆盖防尘布、防尘网，定期喷水压尘等措施，防止风蚀起尘及水蚀迁移。</w:t>
      </w:r>
    </w:p>
    <w:p>
      <w:pPr>
        <w:ind w:firstLine="480"/>
      </w:pPr>
      <w:r>
        <w:t>⑥施工期间，应在物料、渣土、垃圾运输车辆的出口内侧设置洗车平台，车辆驶离工地前，应在洗车平台清洗轮胎及车身，不得带泥上路。洗车平台四周应设置防溢座、废水导流渠、废水收集池、沉砂池及其它防治设施，收集洗车、施工以及降水过程中产生的废水和泥浆。工地出口处铺装道路上可见粘带泥土不得超过10m，并应及时清扫冲洗。</w:t>
      </w:r>
    </w:p>
    <w:p>
      <w:pPr>
        <w:ind w:firstLine="480"/>
      </w:pPr>
      <w:r>
        <w:t>⑦施工期间，应在工地建筑结构脚手架外侧设置有效抑尘的密目防尘网或防尘布。</w:t>
      </w:r>
    </w:p>
    <w:p>
      <w:pPr>
        <w:ind w:firstLine="480"/>
      </w:pPr>
      <w:r>
        <w:t>⑧严格执行《</w:t>
      </w:r>
      <w:r>
        <w:rPr>
          <w:rFonts w:hint="eastAsia"/>
        </w:rPr>
        <w:t>张掖市大气污染防治条例</w:t>
      </w:r>
      <w:r>
        <w:t>》（</w:t>
      </w:r>
      <w:r>
        <w:rPr>
          <w:rFonts w:hint="eastAsia"/>
        </w:rPr>
        <w:t>2020年6月5日起施行</w:t>
      </w:r>
      <w:r>
        <w:t>）中的相关规定，尽可能的降低施工扬尘及废气对周围大气环境的影响。</w:t>
      </w:r>
    </w:p>
    <w:p>
      <w:pPr>
        <w:ind w:firstLine="480"/>
      </w:pPr>
      <w:r>
        <w:rPr>
          <w:rFonts w:hint="eastAsia"/>
        </w:rPr>
        <w:t>采取以上措施后可有效的降低施工扬尘对周边环境的影响，治理措施可行。</w:t>
      </w:r>
    </w:p>
    <w:p>
      <w:pPr>
        <w:ind w:firstLine="482"/>
      </w:pPr>
      <w:r>
        <w:rPr>
          <w:rFonts w:hint="eastAsia"/>
          <w:b/>
          <w:bCs/>
        </w:rPr>
        <w:t>（2）施工期道路扬尘</w:t>
      </w:r>
      <w:r>
        <w:rPr>
          <w:b/>
          <w:bCs/>
        </w:rPr>
        <w:t>污染防治措施及可行性分析</w:t>
      </w:r>
    </w:p>
    <w:p>
      <w:pPr>
        <w:ind w:firstLine="480"/>
      </w:pPr>
      <w:r>
        <w:t>①进出工地的物料、渣土、垃圾运输车辆，应尽可能采用密闭车斗，并保证物料不遗撒外漏。若无密闭车斗，物料、垃圾、渣土的装载高度不得超过车辆槽帮上沿，车斗应用苫布遮盖严实。苫布边缘至少要遮住槽帮上沿以下15cm，保证物料、渣土、垃圾等不露出。车辆应按照批准的路线和时间进行物料、渣土、垃圾的运输。</w:t>
      </w:r>
    </w:p>
    <w:p>
      <w:pPr>
        <w:ind w:firstLine="480"/>
      </w:pPr>
      <w:r>
        <w:t>②</w:t>
      </w:r>
      <w:r>
        <w:rPr>
          <w:rFonts w:hint="eastAsia"/>
        </w:rPr>
        <w:t>加强对运出道路的保洁工作，及时清扫路面积尘，保持运输路面清洁，同时指派专职人员定期对运输道路进行洒水抑尘。</w:t>
      </w:r>
    </w:p>
    <w:p>
      <w:pPr>
        <w:ind w:firstLine="480"/>
      </w:pPr>
      <w:r>
        <w:t>③散装车辆文明装卸和驾驶，在装卸点须对散落在车顶、蓬布、马槽外部等处的物料进行清扫</w:t>
      </w:r>
      <w:r>
        <w:rPr>
          <w:rFonts w:hint="eastAsia"/>
        </w:rPr>
        <w:t>；</w:t>
      </w:r>
    </w:p>
    <w:p>
      <w:pPr>
        <w:ind w:firstLine="480"/>
      </w:pPr>
      <w:r>
        <w:rPr>
          <w:rFonts w:hint="eastAsia"/>
        </w:rPr>
        <w:t>采取以上措施后可有效的降低道路扬尘对周边环境的影响，治理措施可行。</w:t>
      </w:r>
    </w:p>
    <w:p>
      <w:pPr>
        <w:ind w:firstLine="482"/>
        <w:rPr>
          <w:b/>
          <w:bCs/>
        </w:rPr>
      </w:pPr>
      <w:r>
        <w:rPr>
          <w:rFonts w:hint="eastAsia"/>
          <w:b/>
          <w:bCs/>
        </w:rPr>
        <w:t>（3）施工期机械尾气</w:t>
      </w:r>
      <w:r>
        <w:rPr>
          <w:b/>
          <w:bCs/>
        </w:rPr>
        <w:t>污染防治措施及可行性分析</w:t>
      </w:r>
    </w:p>
    <w:p>
      <w:pPr>
        <w:ind w:firstLine="480"/>
      </w:pPr>
      <w:r>
        <w:t>①加强往返于施工区车辆的</w:t>
      </w:r>
      <w:r>
        <w:rPr>
          <w:rFonts w:hint="eastAsia"/>
        </w:rPr>
        <w:t>养护</w:t>
      </w:r>
      <w:r>
        <w:t>和维修，施工机械完好率要求在90%以上</w:t>
      </w:r>
      <w:r>
        <w:rPr>
          <w:rFonts w:hint="eastAsia"/>
        </w:rPr>
        <w:t>。</w:t>
      </w:r>
    </w:p>
    <w:p>
      <w:pPr>
        <w:ind w:firstLine="480"/>
      </w:pPr>
      <w:r>
        <w:t>②使用有害物质量少的优质燃料，以减少尾气排放污染大气</w:t>
      </w:r>
      <w:r>
        <w:rPr>
          <w:rFonts w:hint="eastAsia"/>
        </w:rPr>
        <w:t>。</w:t>
      </w:r>
    </w:p>
    <w:p>
      <w:pPr>
        <w:ind w:firstLine="480"/>
      </w:pPr>
      <w:r>
        <w:t>③</w:t>
      </w:r>
      <w:r>
        <w:rPr>
          <w:rFonts w:hint="eastAsia"/>
        </w:rPr>
        <w:t>加强对运输车辆的管理，</w:t>
      </w:r>
      <w:r>
        <w:t>对于尾气排放不达标的机械车辆</w:t>
      </w:r>
      <w:r>
        <w:rPr>
          <w:rFonts w:hint="eastAsia"/>
        </w:rPr>
        <w:t>或无年检合格证书的车辆</w:t>
      </w:r>
      <w:r>
        <w:t>，不许进入施工区施工</w:t>
      </w:r>
      <w:r>
        <w:rPr>
          <w:rFonts w:hint="eastAsia"/>
        </w:rPr>
        <w:t>；</w:t>
      </w:r>
    </w:p>
    <w:p>
      <w:pPr>
        <w:ind w:firstLine="480"/>
      </w:pPr>
      <w:r>
        <w:rPr>
          <w:rFonts w:hint="eastAsia"/>
        </w:rPr>
        <w:t>采取以上措施后可最大限度的降低机械尾气对周边环境的影响，治理措施可行。</w:t>
      </w:r>
    </w:p>
    <w:p>
      <w:pPr>
        <w:ind w:firstLine="482"/>
      </w:pPr>
      <w:r>
        <w:rPr>
          <w:rFonts w:hint="eastAsia"/>
          <w:b/>
          <w:bCs/>
        </w:rPr>
        <w:t>（4）施工期焊接烟尘</w:t>
      </w:r>
      <w:r>
        <w:rPr>
          <w:b/>
          <w:bCs/>
        </w:rPr>
        <w:t>污染防治措施及可行性分析</w:t>
      </w:r>
    </w:p>
    <w:p>
      <w:pPr>
        <w:ind w:firstLine="480"/>
      </w:pPr>
      <w:r>
        <w:rPr>
          <w:rFonts w:hint="eastAsia"/>
        </w:rPr>
        <w:t>本项目综合生产厂房在焊接过程中主要采用手工电弧焊、二氧化碳保护焊、埋弧焊，焊接过程中会产生一定量的焊接烟尘，为了防止焊接烟尘对周边环境造成影响，建设单位应采取以下防止措施：</w:t>
      </w:r>
    </w:p>
    <w:p>
      <w:pPr>
        <w:ind w:firstLine="480"/>
      </w:pPr>
      <w:r>
        <w:t>①</w:t>
      </w:r>
      <w:r>
        <w:rPr>
          <w:rFonts w:hint="eastAsia"/>
        </w:rPr>
        <w:t>在焊条上建设单位应选择正规厂家生产的合格产品，尽量选择实芯焊丝。依次来减少焊接烟尘的产生量。</w:t>
      </w:r>
    </w:p>
    <w:p>
      <w:pPr>
        <w:ind w:firstLine="480"/>
      </w:pPr>
      <w:r>
        <w:t>②</w:t>
      </w:r>
      <w:r>
        <w:rPr>
          <w:rFonts w:hint="eastAsia"/>
        </w:rPr>
        <w:t>由于焊接烟尘的比重较大，因此尽量将焊接作业过程中至于室内，减少焊接烟尘的排放量，同时定期对焊接作业场地进行清扫，防止二次起尘。</w:t>
      </w:r>
    </w:p>
    <w:p>
      <w:pPr>
        <w:ind w:firstLine="480"/>
      </w:pPr>
      <w:r>
        <w:t>③</w:t>
      </w:r>
      <w:r>
        <w:rPr>
          <w:rFonts w:hint="eastAsia"/>
        </w:rPr>
        <w:t>在条件允许的情况下，可采用采用移动式焊烟净化装置对焊接烟尘进行治理。</w:t>
      </w:r>
    </w:p>
    <w:p>
      <w:pPr>
        <w:ind w:firstLine="480"/>
      </w:pPr>
      <w:r>
        <w:rPr>
          <w:rFonts w:hint="eastAsia"/>
        </w:rPr>
        <w:t>综上所述，在采取以上措施后能够最大限度的降低焊接烟尘对周边环境的影响，治理措施可行。</w:t>
      </w:r>
    </w:p>
    <w:p>
      <w:pPr>
        <w:ind w:firstLine="482"/>
        <w:rPr>
          <w:b/>
          <w:bCs/>
        </w:rPr>
      </w:pPr>
      <w:r>
        <w:rPr>
          <w:rFonts w:hint="eastAsia"/>
          <w:b/>
          <w:bCs/>
        </w:rPr>
        <w:t>（5）施工期装修废气</w:t>
      </w:r>
      <w:r>
        <w:rPr>
          <w:b/>
          <w:bCs/>
        </w:rPr>
        <w:t>污染防治措施及可行性分析</w:t>
      </w:r>
    </w:p>
    <w:p>
      <w:pPr>
        <w:ind w:firstLine="480"/>
      </w:pPr>
      <w:r>
        <w:rPr>
          <w:rFonts w:hint="eastAsia"/>
        </w:rPr>
        <w:t>装修废气主要来自于地面涂覆环氧树脂漆（水性）过程中会挥发有机废气，该废气的排放属无组织排放，其主要污染因子为二甲苯和甲苯，此外还有极少量的丁醇和丙醇等。由于水性环氧树脂漆用水作为稀释剂，替代了有机溶剂，减少了溶剂的使用，从而减少了使用过程中挥发性有机废气的排放，因此在使用过程中有机废气挥发量较少，为了防止装修废气对周边环境造成影响，本环评要求：建设单位在装修过程中必须</w:t>
      </w:r>
      <w:r>
        <w:t>采用质量好</w:t>
      </w:r>
      <w:r>
        <w:rPr>
          <w:rFonts w:hint="eastAsia"/>
        </w:rPr>
        <w:t>、</w:t>
      </w:r>
      <w:r>
        <w:t>检验合格</w:t>
      </w:r>
      <w:r>
        <w:rPr>
          <w:rFonts w:hint="eastAsia"/>
        </w:rPr>
        <w:t>、</w:t>
      </w:r>
      <w:r>
        <w:t>有毒有害物质含量少的油漆和涂料产品，减少装饰废气的</w:t>
      </w:r>
      <w:r>
        <w:rPr>
          <w:rFonts w:hint="eastAsia"/>
        </w:rPr>
        <w:t>产生量。采取以上措施后装修废气对周边环境影响是可以接受的，治理措施是可行的。</w:t>
      </w:r>
    </w:p>
    <w:p>
      <w:pPr>
        <w:ind w:firstLine="480"/>
      </w:pPr>
      <w:r>
        <w:rPr>
          <w:rFonts w:hint="eastAsia"/>
        </w:rPr>
        <w:t>综上所述，拟建项目施工期产生的废气虽然不可避免的对周边环境造成影响，但只要建设单位严格按照本环评要求对施工废气进行治理，施工废气对周边环境的影响是可以接受的，且施工期废气的产生随着施工期结束而结束，因此上述措施是行之有效的。</w:t>
      </w:r>
    </w:p>
    <w:p>
      <w:pPr>
        <w:pStyle w:val="6"/>
        <w:ind w:firstLine="482"/>
      </w:pPr>
      <w:bookmarkStart w:id="780" w:name="_Toc1123"/>
      <w:r>
        <w:rPr>
          <w:rFonts w:hint="eastAsia"/>
          <w:lang w:val="en-US" w:eastAsia="zh-CN"/>
        </w:rPr>
        <w:t>6</w:t>
      </w:r>
      <w:r>
        <w:t>.1.2</w:t>
      </w:r>
      <w:r>
        <w:rPr>
          <w:rFonts w:hint="eastAsia"/>
        </w:rPr>
        <w:t>、施工期</w:t>
      </w:r>
      <w:r>
        <w:t>水污染防治措施</w:t>
      </w:r>
      <w:bookmarkEnd w:id="780"/>
    </w:p>
    <w:p>
      <w:pPr>
        <w:ind w:firstLine="480"/>
      </w:pPr>
      <w:r>
        <w:t>项目建设施工过程的废水为</w:t>
      </w:r>
      <w:r>
        <w:rPr>
          <w:rFonts w:hint="eastAsia"/>
        </w:rPr>
        <w:t>砼养护废水</w:t>
      </w:r>
      <w:r>
        <w:t>和生活废水。</w:t>
      </w:r>
    </w:p>
    <w:p>
      <w:pPr>
        <w:ind w:firstLine="482"/>
        <w:rPr>
          <w:b/>
          <w:bCs/>
        </w:rPr>
      </w:pPr>
      <w:r>
        <w:rPr>
          <w:rFonts w:hint="eastAsia"/>
          <w:b/>
          <w:bCs/>
        </w:rPr>
        <w:t>1、</w:t>
      </w:r>
      <w:r>
        <w:rPr>
          <w:b/>
          <w:bCs/>
        </w:rPr>
        <w:t>砼养护废水</w:t>
      </w:r>
    </w:p>
    <w:p>
      <w:pPr>
        <w:ind w:firstLine="480"/>
      </w:pPr>
      <w:r>
        <w:t>砼养护废水</w:t>
      </w:r>
      <w:r>
        <w:rPr>
          <w:rFonts w:hint="eastAsia"/>
        </w:rPr>
        <w:t>污染因子比较简单，主要以SS为主，</w:t>
      </w:r>
      <w:r>
        <w:t>砼养护废水</w:t>
      </w:r>
      <w:r>
        <w:rPr>
          <w:rFonts w:hint="eastAsia"/>
        </w:rPr>
        <w:t>全部自然蒸发消减，不外排，不会对周边水环境造成较大的影响。</w:t>
      </w:r>
    </w:p>
    <w:p>
      <w:pPr>
        <w:ind w:firstLine="482"/>
        <w:rPr>
          <w:b/>
          <w:bCs/>
        </w:rPr>
      </w:pPr>
      <w:r>
        <w:rPr>
          <w:rFonts w:hint="eastAsia"/>
          <w:b/>
          <w:bCs/>
        </w:rPr>
        <w:t>2、生活污水</w:t>
      </w:r>
    </w:p>
    <w:p>
      <w:pPr>
        <w:ind w:firstLine="480"/>
      </w:pPr>
      <w:r>
        <w:t>本项目施工期生活废水主要为施工人员</w:t>
      </w:r>
      <w:r>
        <w:rPr>
          <w:rFonts w:hint="eastAsia"/>
        </w:rPr>
        <w:t>洗漱</w:t>
      </w:r>
      <w:r>
        <w:t>废水</w:t>
      </w:r>
      <w:r>
        <w:rPr>
          <w:rFonts w:hint="eastAsia"/>
        </w:rPr>
        <w:t>和餐饮废水</w:t>
      </w:r>
      <w:r>
        <w:t>。</w:t>
      </w:r>
      <w:r>
        <w:rPr>
          <w:rFonts w:hint="eastAsia"/>
        </w:rPr>
        <w:t>施工期生活污水中的污染物主要以CODcr、BOD</w:t>
      </w:r>
      <w:r>
        <w:rPr>
          <w:rFonts w:hint="eastAsia"/>
          <w:vertAlign w:val="subscript"/>
        </w:rPr>
        <w:t>5</w:t>
      </w:r>
      <w:r>
        <w:rPr>
          <w:rFonts w:hint="eastAsia"/>
        </w:rPr>
        <w:t>、SS、NH</w:t>
      </w:r>
      <w:r>
        <w:rPr>
          <w:rFonts w:hint="eastAsia"/>
          <w:vertAlign w:val="subscript"/>
        </w:rPr>
        <w:t>3</w:t>
      </w:r>
      <w:r>
        <w:rPr>
          <w:rFonts w:hint="eastAsia"/>
        </w:rPr>
        <w:t>-N、动植物油为主，</w:t>
      </w:r>
      <w:r>
        <w:t>施工期</w:t>
      </w:r>
      <w:r>
        <w:rPr>
          <w:rFonts w:hint="eastAsia"/>
        </w:rPr>
        <w:t>产生的</w:t>
      </w:r>
      <w:r>
        <w:t>生活</w:t>
      </w:r>
      <w:r>
        <w:rPr>
          <w:rFonts w:hint="eastAsia"/>
        </w:rPr>
        <w:t>污水全部经厂区污水管网收集后排入厂区污水处理站处理，经达标处理后后用于饲草区灌溉。</w:t>
      </w:r>
    </w:p>
    <w:p>
      <w:pPr>
        <w:ind w:firstLine="480"/>
      </w:pPr>
      <w:r>
        <w:rPr>
          <w:rFonts w:hint="eastAsia"/>
        </w:rPr>
        <w:t>综上所述，本项目施工期施工废水都得到了合理的处置，对周边水环境造成影响是可以接受的，治理措施是可行的。</w:t>
      </w:r>
    </w:p>
    <w:p>
      <w:pPr>
        <w:pStyle w:val="6"/>
        <w:ind w:firstLine="482"/>
      </w:pPr>
      <w:bookmarkStart w:id="781" w:name="_Toc2111"/>
      <w:r>
        <w:rPr>
          <w:rFonts w:hint="eastAsia"/>
          <w:lang w:val="en-US" w:eastAsia="zh-CN"/>
        </w:rPr>
        <w:t>6</w:t>
      </w:r>
      <w:r>
        <w:t>.1.3</w:t>
      </w:r>
      <w:r>
        <w:rPr>
          <w:rFonts w:hint="eastAsia"/>
        </w:rPr>
        <w:t>、</w:t>
      </w:r>
      <w:r>
        <w:t>噪声污染防治措施</w:t>
      </w:r>
      <w:bookmarkEnd w:id="781"/>
    </w:p>
    <w:p>
      <w:pPr>
        <w:ind w:firstLine="480"/>
      </w:pPr>
      <w:r>
        <w:t>施工期</w:t>
      </w:r>
      <w:r>
        <w:rPr>
          <w:rFonts w:hint="eastAsia"/>
        </w:rPr>
        <w:t>的</w:t>
      </w:r>
      <w:r>
        <w:t>噪声影响是短暂的，一旦施工活动结束，施工噪声也将随之结束。为保证项目周边敏感点的声环境</w:t>
      </w:r>
      <w:r>
        <w:rPr>
          <w:rFonts w:hint="eastAsia"/>
        </w:rPr>
        <w:t>不受较大</w:t>
      </w:r>
      <w:r>
        <w:t>的影响，施工单位务必规范施工行为，建议采纳如下污染防范措施：</w:t>
      </w:r>
    </w:p>
    <w:p>
      <w:pPr>
        <w:ind w:firstLine="480"/>
      </w:pPr>
      <w:r>
        <w:rPr>
          <w:rFonts w:hint="eastAsia"/>
        </w:rPr>
        <w:t>1、合理安排施工进度，尽量缩短施工场地平整和结构施工阶段，合理安排施工时间，高噪设备尽量在白天施工，高噪设备尽量不同时运行；</w:t>
      </w:r>
    </w:p>
    <w:p>
      <w:pPr>
        <w:ind w:firstLine="480"/>
      </w:pPr>
      <w:r>
        <w:rPr>
          <w:rFonts w:hint="eastAsia"/>
        </w:rPr>
        <w:t>2、原辅料</w:t>
      </w:r>
      <w:r>
        <w:t>运输车辆途径敏感建筑，应严格控制时速，严禁鸣笛；</w:t>
      </w:r>
    </w:p>
    <w:p>
      <w:pPr>
        <w:ind w:firstLine="480"/>
      </w:pPr>
      <w:r>
        <w:rPr>
          <w:rFonts w:hint="eastAsia"/>
        </w:rPr>
        <w:t>3、</w:t>
      </w:r>
      <w:r>
        <w:t>提高施工队伍环保意识，严格监督施工队伍及施工人员尽保证紧凑施工，杜绝拖延、消极施工，以缩短施工作业时间，缩短噪声影响时间；</w:t>
      </w:r>
    </w:p>
    <w:p>
      <w:pPr>
        <w:ind w:firstLine="480"/>
      </w:pPr>
      <w:r>
        <w:rPr>
          <w:rFonts w:hint="eastAsia"/>
        </w:rPr>
        <w:t>4、设备选型时，在满足施工需求的前提下，尽量选取噪声小、振动小、能耗小的设备。</w:t>
      </w:r>
    </w:p>
    <w:p>
      <w:pPr>
        <w:ind w:firstLine="480"/>
      </w:pPr>
      <w:r>
        <w:rPr>
          <w:rFonts w:hint="eastAsia"/>
        </w:rPr>
        <w:t>5、加强施工机械的维护和保养，</w:t>
      </w:r>
      <w:r>
        <w:t>保证机械设备的良好运行，</w:t>
      </w:r>
      <w:r>
        <w:rPr>
          <w:rFonts w:hint="eastAsia"/>
        </w:rPr>
        <w:t>避免由于设备性能差而使机械噪声增大的情况发生</w:t>
      </w:r>
      <w:r>
        <w:t>。</w:t>
      </w:r>
    </w:p>
    <w:p>
      <w:pPr>
        <w:ind w:firstLine="480"/>
      </w:pPr>
      <w:r>
        <w:t>通过以上措施，可有效降低施工过程噪声污染，防治措施可行。</w:t>
      </w:r>
    </w:p>
    <w:p>
      <w:pPr>
        <w:pStyle w:val="6"/>
        <w:ind w:firstLine="482"/>
      </w:pPr>
      <w:bookmarkStart w:id="782" w:name="_Toc625"/>
      <w:r>
        <w:rPr>
          <w:rFonts w:hint="eastAsia"/>
          <w:lang w:val="en-US" w:eastAsia="zh-CN"/>
        </w:rPr>
        <w:t>6</w:t>
      </w:r>
      <w:r>
        <w:t>.1.4</w:t>
      </w:r>
      <w:r>
        <w:rPr>
          <w:rFonts w:hint="eastAsia"/>
        </w:rPr>
        <w:t>、</w:t>
      </w:r>
      <w:r>
        <w:t>固废污染防治措施</w:t>
      </w:r>
      <w:bookmarkEnd w:id="782"/>
    </w:p>
    <w:p>
      <w:pPr>
        <w:ind w:firstLine="480"/>
      </w:pPr>
      <w:r>
        <w:t>施工期的固体废物主要有施工过程中产生的</w:t>
      </w:r>
      <w:r>
        <w:rPr>
          <w:rFonts w:hint="eastAsia"/>
        </w:rPr>
        <w:t>工程弃土、</w:t>
      </w:r>
      <w:r>
        <w:t>建筑垃圾、</w:t>
      </w:r>
      <w:r>
        <w:rPr>
          <w:rFonts w:hint="eastAsia"/>
        </w:rPr>
        <w:t>废包装材料及</w:t>
      </w:r>
      <w:r>
        <w:t>施工人员生活垃圾。</w:t>
      </w:r>
    </w:p>
    <w:p>
      <w:pPr>
        <w:ind w:firstLine="482"/>
        <w:rPr>
          <w:b/>
          <w:bCs/>
        </w:rPr>
      </w:pPr>
      <w:r>
        <w:rPr>
          <w:rFonts w:hint="eastAsia"/>
          <w:b/>
          <w:bCs/>
        </w:rPr>
        <w:t>1、工程弃土</w:t>
      </w:r>
    </w:p>
    <w:p>
      <w:pPr>
        <w:ind w:firstLine="480"/>
      </w:pPr>
      <w:r>
        <w:rPr>
          <w:rFonts w:hint="eastAsia"/>
        </w:rPr>
        <w:t>工程弃土主要是指循环冷却水池开挖回填后剩余的土方，这部分弃土直接用于</w:t>
      </w:r>
      <w:r>
        <w:t>饲草种植覆土</w:t>
      </w:r>
      <w:r>
        <w:rPr>
          <w:rFonts w:hint="eastAsia"/>
        </w:rPr>
        <w:t>，只要建设单位及时将这部分弃土进行拉运处理，工程弃土就不会对周边环境造成影响。</w:t>
      </w:r>
    </w:p>
    <w:p>
      <w:pPr>
        <w:ind w:firstLine="482"/>
        <w:rPr>
          <w:b/>
          <w:bCs/>
        </w:rPr>
      </w:pPr>
      <w:r>
        <w:rPr>
          <w:rFonts w:hint="eastAsia"/>
          <w:b/>
          <w:bCs/>
        </w:rPr>
        <w:t>2、</w:t>
      </w:r>
      <w:r>
        <w:rPr>
          <w:b/>
          <w:bCs/>
        </w:rPr>
        <w:t>建筑垃圾</w:t>
      </w:r>
    </w:p>
    <w:p>
      <w:pPr>
        <w:ind w:firstLine="480"/>
      </w:pPr>
      <w:r>
        <w:t>本项目主体工程为轻钢结构，</w:t>
      </w:r>
      <w:r>
        <w:rPr>
          <w:rFonts w:hint="eastAsia"/>
        </w:rPr>
        <w:t>建筑垃圾主要以废钢筋、废钢材为主，这部分建筑垃圾全部具有再次利用价值，因此建设单位需集中收集后外售废旧回收单位集中处置。</w:t>
      </w:r>
    </w:p>
    <w:p>
      <w:pPr>
        <w:ind w:firstLine="482"/>
        <w:rPr>
          <w:b/>
          <w:bCs/>
        </w:rPr>
      </w:pPr>
      <w:r>
        <w:rPr>
          <w:rFonts w:hint="eastAsia"/>
          <w:b/>
          <w:bCs/>
        </w:rPr>
        <w:t>3、废包装材料</w:t>
      </w:r>
    </w:p>
    <w:p>
      <w:pPr>
        <w:ind w:firstLine="480"/>
      </w:pPr>
      <w:r>
        <w:rPr>
          <w:rFonts w:hint="eastAsia"/>
        </w:rPr>
        <w:t>废包装材料主要是指生产设备、建筑材料等在拆包过程中产生的废包装材料，废包装材料主要以废纸壳、废塑料为主，废包装材料集中收集后外售废旧回收单位集中处置。</w:t>
      </w:r>
    </w:p>
    <w:p>
      <w:pPr>
        <w:ind w:firstLine="482"/>
        <w:rPr>
          <w:b/>
          <w:bCs/>
        </w:rPr>
      </w:pPr>
      <w:r>
        <w:rPr>
          <w:rFonts w:hint="eastAsia"/>
          <w:b/>
          <w:bCs/>
        </w:rPr>
        <w:t>4、</w:t>
      </w:r>
      <w:r>
        <w:rPr>
          <w:b/>
          <w:bCs/>
        </w:rPr>
        <w:t>施工人员生活垃圾</w:t>
      </w:r>
    </w:p>
    <w:p>
      <w:pPr>
        <w:ind w:firstLine="480"/>
      </w:pPr>
      <w:r>
        <w:rPr>
          <w:rFonts w:hint="eastAsia"/>
        </w:rPr>
        <w:t>施工人员生活垃圾集中收集后交由园区环卫部门统一处理</w:t>
      </w:r>
      <w:r>
        <w:t>。</w:t>
      </w:r>
    </w:p>
    <w:p>
      <w:pPr>
        <w:ind w:firstLine="480"/>
      </w:pPr>
      <w:r>
        <w:rPr>
          <w:rFonts w:hint="eastAsia"/>
        </w:rPr>
        <w:t>综上所述，本项目施工期产生的固废都得了合理的处置，不会对周边环境造成较大的影响，治理措施可行。</w:t>
      </w:r>
    </w:p>
    <w:p>
      <w:pPr>
        <w:pStyle w:val="5"/>
        <w:spacing w:before="78" w:after="78"/>
        <w:ind w:firstLine="562"/>
      </w:pPr>
      <w:bookmarkStart w:id="783" w:name="_Toc18541"/>
      <w:bookmarkStart w:id="784" w:name="_Toc25240"/>
      <w:bookmarkStart w:id="785" w:name="_Toc31543"/>
      <w:bookmarkStart w:id="786" w:name="_Toc32496"/>
      <w:bookmarkStart w:id="787" w:name="_Toc9333"/>
      <w:bookmarkStart w:id="788" w:name="_Toc30171_WPSOffice_Level3"/>
      <w:r>
        <w:rPr>
          <w:rFonts w:hint="eastAsia"/>
          <w:lang w:val="en-US" w:eastAsia="zh-CN"/>
        </w:rPr>
        <w:t>6</w:t>
      </w:r>
      <w:r>
        <w:t>.2</w:t>
      </w:r>
      <w:r>
        <w:rPr>
          <w:rFonts w:hint="eastAsia"/>
        </w:rPr>
        <w:t>、</w:t>
      </w:r>
      <w:r>
        <w:t>运营期污染防治措施及其可行性分析</w:t>
      </w:r>
      <w:bookmarkEnd w:id="783"/>
      <w:bookmarkEnd w:id="784"/>
      <w:bookmarkEnd w:id="785"/>
      <w:bookmarkEnd w:id="786"/>
      <w:bookmarkEnd w:id="787"/>
      <w:bookmarkEnd w:id="788"/>
    </w:p>
    <w:p>
      <w:pPr>
        <w:pStyle w:val="6"/>
        <w:ind w:firstLine="482"/>
      </w:pPr>
      <w:bookmarkStart w:id="789" w:name="_Toc12480"/>
      <w:r>
        <w:rPr>
          <w:rFonts w:hint="eastAsia"/>
          <w:lang w:val="en-US" w:eastAsia="zh-CN"/>
        </w:rPr>
        <w:t>6</w:t>
      </w:r>
      <w:r>
        <w:t>.2.</w:t>
      </w:r>
      <w:r>
        <w:rPr>
          <w:rFonts w:hint="eastAsia"/>
        </w:rPr>
        <w:t>1、</w:t>
      </w:r>
      <w:r>
        <w:t>废水污染防治措施及其可行性分析</w:t>
      </w:r>
      <w:bookmarkEnd w:id="789"/>
    </w:p>
    <w:p>
      <w:pPr>
        <w:pStyle w:val="7"/>
        <w:ind w:firstLine="482"/>
      </w:pPr>
      <w:r>
        <w:rPr>
          <w:rFonts w:hint="eastAsia"/>
          <w:lang w:val="en-US" w:eastAsia="zh-CN"/>
        </w:rPr>
        <w:t>6</w:t>
      </w:r>
      <w:r>
        <w:rPr>
          <w:rFonts w:hint="eastAsia"/>
        </w:rPr>
        <w:t>.2.1.1、</w:t>
      </w:r>
      <w:r>
        <w:t>废水处理工艺</w:t>
      </w:r>
      <w:r>
        <w:rPr>
          <w:rFonts w:hint="eastAsia"/>
        </w:rPr>
        <w:t>的</w:t>
      </w:r>
      <w:r>
        <w:t>可行性</w:t>
      </w:r>
      <w:r>
        <w:rPr>
          <w:rFonts w:hint="eastAsia"/>
        </w:rPr>
        <w:t>分析</w:t>
      </w:r>
    </w:p>
    <w:p>
      <w:pPr>
        <w:ind w:firstLine="480"/>
      </w:pPr>
      <w:r>
        <w:rPr>
          <w:rFonts w:hint="eastAsia"/>
        </w:rPr>
        <w:t>本项目生活污水及生产废水全部依托厂区现有的污水处理站处理达标后用于厂区饲草区灌溉，厂区现有的污水处理</w:t>
      </w:r>
      <w:r>
        <w:rPr>
          <w:rFonts w:hint="eastAsia"/>
          <w:lang w:val="en-US" w:eastAsia="zh-CN"/>
        </w:rPr>
        <w:t>站</w:t>
      </w:r>
      <w:r>
        <w:rPr>
          <w:rFonts w:hint="eastAsia"/>
        </w:rPr>
        <w:t>处理规模为1</w:t>
      </w:r>
      <w:r>
        <w:rPr>
          <w:rFonts w:hint="eastAsia"/>
          <w:lang w:val="en-US" w:eastAsia="zh-CN"/>
        </w:rPr>
        <w:t>5</w:t>
      </w:r>
      <w:r>
        <w:rPr>
          <w:rFonts w:hint="eastAsia"/>
        </w:rPr>
        <w:t>00m</w:t>
      </w:r>
      <w:r>
        <w:rPr>
          <w:rFonts w:hint="eastAsia"/>
          <w:vertAlign w:val="superscript"/>
        </w:rPr>
        <w:t>3</w:t>
      </w:r>
      <w:r>
        <w:rPr>
          <w:rFonts w:hint="eastAsia"/>
        </w:rPr>
        <w:t>/d，污水处理工艺采用“预处理+二级生化处理+消毒处理”的工艺对屠宰废水进行处理。具体的污水</w:t>
      </w:r>
      <w:r>
        <w:t>工艺如下：</w:t>
      </w:r>
    </w:p>
    <w:p>
      <w:pPr>
        <w:pStyle w:val="38"/>
      </w:pPr>
    </w:p>
    <w:p/>
    <w:p>
      <w:pPr>
        <w:pStyle w:val="10"/>
      </w:pPr>
    </w:p>
    <w:p/>
    <w:p>
      <w:pPr>
        <w:pStyle w:val="10"/>
      </w:pPr>
    </w:p>
    <w:p/>
    <w:p>
      <w:pPr>
        <w:pStyle w:val="38"/>
      </w:pPr>
    </w:p>
    <w:p>
      <w:pPr>
        <w:adjustRightInd w:val="0"/>
        <w:snapToGrid w:val="0"/>
        <w:spacing w:line="240" w:lineRule="auto"/>
        <w:ind w:firstLine="0" w:firstLineChars="0"/>
        <w:jc w:val="center"/>
        <w:rPr>
          <w:b/>
          <w:bCs/>
          <w:sz w:val="21"/>
          <w:szCs w:val="21"/>
        </w:rPr>
      </w:pPr>
      <w:r>
        <w:rPr>
          <w:b/>
          <w:bCs/>
          <w:sz w:val="21"/>
          <w:szCs w:val="21"/>
        </w:rPr>
        <w:object>
          <v:shape id="_x0000_i1051" o:spt="75" type="#_x0000_t75" style="height:190.05pt;width:415.15pt;" o:ole="t" filled="f" o:preferrelative="t" stroked="f" coordsize="21600,21600">
            <v:path/>
            <v:fill on="f" focussize="0,0"/>
            <v:stroke on="f" joinstyle="miter"/>
            <v:imagedata r:id="rId35" o:title=""/>
            <o:lock v:ext="edit" aspectratio="f"/>
            <w10:wrap type="none"/>
            <w10:anchorlock/>
          </v:shape>
          <o:OLEObject Type="Embed" ProgID="Visio.Drawing.15" ShapeID="_x0000_i1051" DrawAspect="Content" ObjectID="_1468075751" r:id="rId88">
            <o:LockedField>false</o:LockedField>
          </o:OLEObject>
        </w:object>
      </w:r>
    </w:p>
    <w:p>
      <w:pPr>
        <w:adjustRightInd w:val="0"/>
        <w:snapToGrid w:val="0"/>
        <w:spacing w:line="240" w:lineRule="auto"/>
        <w:ind w:firstLine="0" w:firstLineChars="0"/>
        <w:jc w:val="center"/>
        <w:rPr>
          <w:b/>
          <w:bCs/>
          <w:sz w:val="21"/>
          <w:szCs w:val="21"/>
        </w:rPr>
      </w:pPr>
      <w:r>
        <w:rPr>
          <w:b/>
          <w:bCs/>
        </w:rPr>
        <w:t>图</w:t>
      </w:r>
      <w:r>
        <w:rPr>
          <w:rFonts w:hint="eastAsia"/>
          <w:b/>
          <w:bCs/>
          <w:lang w:val="en-US" w:eastAsia="zh-CN"/>
        </w:rPr>
        <w:t>6</w:t>
      </w:r>
      <w:r>
        <w:rPr>
          <w:b/>
          <w:bCs/>
        </w:rPr>
        <w:t>-1    污水处理工艺流程图</w:t>
      </w:r>
    </w:p>
    <w:p>
      <w:pPr>
        <w:ind w:firstLine="480"/>
      </w:pPr>
      <w:r>
        <w:t>生活废水经化粪池处理、食堂废水经隔油池处理后，与生产废水一起进入机械细格栅去除大的悬浮杂质如碎屑肉、毛等，以防止其后管道和设备堵塞。</w:t>
      </w:r>
      <w:r>
        <w:rPr>
          <w:rFonts w:hint="eastAsia"/>
        </w:rPr>
        <w:t>经格栅处理后废水进入</w:t>
      </w:r>
      <w:r>
        <w:t>隔油沉淀池去除废水中的油脂、泥沙后流入调节池调节水质</w:t>
      </w:r>
      <w:r>
        <w:rPr>
          <w:rFonts w:hint="eastAsia"/>
        </w:rPr>
        <w:t>、</w:t>
      </w:r>
      <w:r>
        <w:t>水量，调节池池内设置搅拌设备，避免沉淀</w:t>
      </w:r>
      <w:r>
        <w:rPr>
          <w:rFonts w:hint="eastAsia"/>
        </w:rPr>
        <w:t>。</w:t>
      </w:r>
      <w:r>
        <w:t>污水经调节池</w:t>
      </w:r>
      <w:r>
        <w:rPr>
          <w:rFonts w:hint="eastAsia"/>
        </w:rPr>
        <w:t>处理后后</w:t>
      </w:r>
      <w:r>
        <w:t>进入气浮池，依靠微气泡，使部分污染物粘附于絮粒上，絮粒强制性上浮，达到固、液分离。污水经气浮池处理后再次泵至水解酸化池中，在兼氧和厌氧条件下，将废水中的有机物分解为氨基酸、碳水化合物等小分子有机物和无机物</w:t>
      </w:r>
      <w:r>
        <w:rPr>
          <w:rFonts w:hint="eastAsia"/>
        </w:rPr>
        <w:t>。</w:t>
      </w:r>
      <w:r>
        <w:t>水解酸化池出水进入接触氧化池，在充氧状态下，利用微生物的新陈代谢作用去除水中有机物，并在硝化作用下将NH</w:t>
      </w:r>
      <w:r>
        <w:rPr>
          <w:vertAlign w:val="subscript"/>
        </w:rPr>
        <w:t>3</w:t>
      </w:r>
      <w:r>
        <w:t>-N氧化成NO</w:t>
      </w:r>
      <w:r>
        <w:rPr>
          <w:vertAlign w:val="subscript"/>
        </w:rPr>
        <w:t>3</w:t>
      </w:r>
      <w:r>
        <w:rPr>
          <w:vertAlign w:val="superscript"/>
        </w:rPr>
        <w:t>-</w:t>
      </w:r>
      <w:r>
        <w:t>，混合液回流至水解池</w:t>
      </w:r>
      <w:r>
        <w:rPr>
          <w:rFonts w:hint="eastAsia"/>
        </w:rPr>
        <w:t>。</w:t>
      </w:r>
      <w:r>
        <w:t>接触氧化池出水进入二沉池重力分离去除大部分SS，二沉池</w:t>
      </w:r>
      <w:r>
        <w:rPr>
          <w:rFonts w:hint="eastAsia"/>
        </w:rPr>
        <w:t>设置的</w:t>
      </w:r>
      <w:r>
        <w:t>斜管填料可以让废水中的凝结的细小悬浮物快速沉淀从而降低废水中的悬浮物</w:t>
      </w:r>
      <w:r>
        <w:rPr>
          <w:rFonts w:hint="eastAsia"/>
        </w:rPr>
        <w:t>，最后废水</w:t>
      </w:r>
      <w:r>
        <w:t>经消毒池消毒后，达标排放。</w:t>
      </w:r>
      <w:r>
        <w:rPr>
          <w:rFonts w:hint="eastAsia"/>
        </w:rPr>
        <w:t>调节池、气浮池、</w:t>
      </w:r>
      <w:r>
        <w:t>二沉池剩余污泥送入污泥浓缩池，经过压滤机干化后干污泥定期外运，分离后的清水回流至调节池。</w:t>
      </w:r>
    </w:p>
    <w:p>
      <w:pPr>
        <w:ind w:firstLine="480"/>
      </w:pPr>
      <w:r>
        <w:rPr>
          <w:rFonts w:hint="eastAsia"/>
        </w:rPr>
        <w:t>查阅《排污许可证申请与核发技术规范 农副食品加工工业—屠宰及肉类加工工业》（HJ860.3—2018）中“表7 屠宰及肉类加工工业排污单位废水治理可行技术参照表”可知，屠宰及肉制品加工生产废水处理工艺应满足“预处理+生化法处理+消毒处理”</w:t>
      </w:r>
      <w:r>
        <w:rPr>
          <w:rFonts w:hint="eastAsia"/>
          <w:lang w:eastAsia="zh-CN"/>
        </w:rPr>
        <w:t>，</w:t>
      </w:r>
      <w:r>
        <w:rPr>
          <w:rFonts w:hint="eastAsia"/>
          <w:lang w:val="en-US" w:eastAsia="zh-CN"/>
        </w:rPr>
        <w:t>具体详见下表</w:t>
      </w:r>
      <w:r>
        <w:rPr>
          <w:rFonts w:hint="eastAsia"/>
        </w:rPr>
        <w:t>，而厂区污水处理站采用“预处理+二级生化处理+消毒处理”的污水处理工艺，故从污水处理工艺上来讲，厂区现有的污水处理站污水处理工艺可行。</w:t>
      </w:r>
    </w:p>
    <w:p>
      <w:pPr>
        <w:bidi w:val="0"/>
        <w:rPr>
          <w:rFonts w:hint="eastAsia"/>
          <w:lang w:val="en-US" w:eastAsia="zh-CN"/>
        </w:rPr>
      </w:pPr>
    </w:p>
    <w:p>
      <w:pPr>
        <w:bidi w:val="0"/>
        <w:rPr>
          <w:rFonts w:hint="eastAsia"/>
          <w:lang w:val="en-US" w:eastAsia="zh-CN"/>
        </w:rPr>
      </w:pPr>
    </w:p>
    <w:p>
      <w:pPr>
        <w:pStyle w:val="2"/>
        <w:rPr>
          <w:rFonts w:hint="eastAsia"/>
          <w:lang w:val="en-US" w:eastAsia="zh-CN"/>
        </w:rPr>
        <w:sectPr>
          <w:headerReference r:id="rId13" w:type="default"/>
          <w:pgSz w:w="11906" w:h="16838"/>
          <w:pgMar w:top="1440" w:right="1080" w:bottom="1440" w:left="1080" w:header="964" w:footer="737" w:gutter="0"/>
          <w:pgBorders>
            <w:top w:val="none" w:sz="0" w:space="0"/>
            <w:left w:val="none" w:sz="0" w:space="0"/>
            <w:bottom w:val="none" w:sz="0" w:space="0"/>
            <w:right w:val="none" w:sz="0" w:space="0"/>
          </w:pgBorders>
          <w:cols w:space="425" w:num="1"/>
          <w:docGrid w:type="lines" w:linePitch="312" w:charSpace="0"/>
        </w:sectPr>
      </w:pPr>
    </w:p>
    <w:p>
      <w:pPr>
        <w:bidi w:val="0"/>
        <w:rPr>
          <w:rFonts w:hint="default"/>
          <w:lang w:val="en-US" w:eastAsia="zh-CN"/>
        </w:rPr>
      </w:pPr>
      <w:r>
        <w:rPr>
          <w:rFonts w:hint="eastAsia"/>
          <w:lang w:val="en-US" w:eastAsia="zh-CN"/>
        </w:rPr>
        <w:t>表    本项目废水治理措施与</w:t>
      </w:r>
      <w:r>
        <w:rPr>
          <w:rFonts w:hint="eastAsia"/>
        </w:rPr>
        <w:t>HJ860.3—2018</w:t>
      </w:r>
      <w:r>
        <w:rPr>
          <w:rFonts w:hint="eastAsia"/>
          <w:lang w:val="en-US" w:eastAsia="zh-CN"/>
        </w:rPr>
        <w:t>中的推荐技术对照表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3"/>
        <w:gridCol w:w="866"/>
        <w:gridCol w:w="819"/>
        <w:gridCol w:w="865"/>
        <w:gridCol w:w="946"/>
        <w:gridCol w:w="5216"/>
        <w:gridCol w:w="1696"/>
        <w:gridCol w:w="1338"/>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3" w:type="pct"/>
            <w:gridSpan w:val="6"/>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rPr>
              <w:t>HJ860.3—2018</w:t>
            </w:r>
            <w:r>
              <w:rPr>
                <w:rFonts w:hint="default" w:ascii="Times New Roman" w:hAnsi="Times New Roman" w:eastAsia="宋体" w:cs="Times New Roman"/>
                <w:b/>
                <w:bCs/>
                <w:sz w:val="21"/>
                <w:szCs w:val="21"/>
                <w:lang w:val="en-US" w:eastAsia="zh-CN"/>
              </w:rPr>
              <w:t>中的推荐的可行技术</w:t>
            </w:r>
          </w:p>
        </w:tc>
        <w:tc>
          <w:tcPr>
            <w:tcW w:w="1071" w:type="pct"/>
            <w:gridSpan w:val="2"/>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本项目</w:t>
            </w:r>
          </w:p>
        </w:tc>
        <w:tc>
          <w:tcPr>
            <w:tcW w:w="3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eastAsia" w:ascii="Times New Roman" w:hAnsi="Times New Roman" w:eastAsia="宋体" w:cs="Times New Roman"/>
                <w:b/>
                <w:bCs/>
                <w:sz w:val="21"/>
                <w:szCs w:val="21"/>
                <w:lang w:val="en-US" w:eastAsia="zh-CN"/>
              </w:rPr>
              <w:t>可行性分析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废水类别</w:t>
            </w:r>
          </w:p>
        </w:tc>
        <w:tc>
          <w:tcPr>
            <w:tcW w:w="30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污染控制指标</w:t>
            </w:r>
          </w:p>
        </w:tc>
        <w:tc>
          <w:tcPr>
            <w:tcW w:w="289"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排放方式</w:t>
            </w:r>
          </w:p>
        </w:tc>
        <w:tc>
          <w:tcPr>
            <w:tcW w:w="305"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排放监控位置</w:t>
            </w:r>
          </w:p>
        </w:tc>
        <w:tc>
          <w:tcPr>
            <w:tcW w:w="333"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执行排放标准</w:t>
            </w:r>
          </w:p>
        </w:tc>
        <w:tc>
          <w:tcPr>
            <w:tcW w:w="1841"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可行技术</w:t>
            </w:r>
          </w:p>
        </w:tc>
        <w:tc>
          <w:tcPr>
            <w:tcW w:w="59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排放形式</w:t>
            </w:r>
          </w:p>
        </w:tc>
        <w:tc>
          <w:tcPr>
            <w:tcW w:w="47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bCs/>
                <w:sz w:val="21"/>
                <w:szCs w:val="21"/>
                <w:lang w:val="en-US" w:eastAsia="zh-CN"/>
              </w:rPr>
              <w:t>处理技术</w:t>
            </w:r>
          </w:p>
        </w:tc>
        <w:tc>
          <w:tcPr>
            <w:tcW w:w="315" w:type="pct"/>
            <w:vMerge w:val="continue"/>
            <w:tcBorders>
              <w:tl2br w:val="nil"/>
              <w:tr2bl w:val="nil"/>
            </w:tcBorders>
            <w:vAlign w:val="center"/>
          </w:tcPr>
          <w:p>
            <w:pPr>
              <w:bidi w:val="0"/>
              <w:spacing w:line="240" w:lineRule="auto"/>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Merge w:val="restar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厂内综合污水处理站的综合污水、专门处理屠宰及肉类加工废水的集中式污水处理厂综合污水（天然肠衣加工生产废水、畜禽油脂加工废水生产废水、生活污水、初期雨水等）</w:t>
            </w:r>
          </w:p>
        </w:tc>
        <w:tc>
          <w:tcPr>
            <w:tcW w:w="305" w:type="pct"/>
            <w:vMerge w:val="restar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pH值、化学需氧量、五日生化需氧量、悬浮物、氨氮、动植物油、磷酸盐</w:t>
            </w:r>
          </w:p>
        </w:tc>
        <w:tc>
          <w:tcPr>
            <w:tcW w:w="289"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直接排放b</w:t>
            </w:r>
          </w:p>
        </w:tc>
        <w:tc>
          <w:tcPr>
            <w:tcW w:w="305" w:type="pct"/>
            <w:vMerge w:val="restar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废水总排放口</w:t>
            </w:r>
          </w:p>
        </w:tc>
        <w:tc>
          <w:tcPr>
            <w:tcW w:w="333" w:type="pct"/>
            <w:vMerge w:val="restar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GB8978</w:t>
            </w:r>
          </w:p>
        </w:tc>
        <w:tc>
          <w:tcPr>
            <w:tcW w:w="1841"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1）预处理：粗（细）格栅；平流或旋流式沉砂、竖流或辐流式沉淀、混凝沉淀；斜板或平流式隔油池；气浮。</w:t>
            </w:r>
          </w:p>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生化法处理：升流式厌氧污泥床（UASB）；IC反应器或水解酸化技术；活性污泥法、氧化沟法及其各类改型工艺；生物接触氧化法；序批式活性污泥法（SBR）；缺氧/好氧活性污泥法（A/O法）；厌氧-缺氧-好氧活性污泥法（A2/O法）；膜生物反应器（MBR）法。</w:t>
            </w:r>
          </w:p>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3）除磷处理：化学除磷（注明混凝剂）；生物除磷；生物与化学组合除磷。</w:t>
            </w:r>
          </w:p>
        </w:tc>
        <w:tc>
          <w:tcPr>
            <w:tcW w:w="598" w:type="pct"/>
            <w:vMerge w:val="restar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废水全部经厂区自建的污水处理站处理后达标废水用于厂区饲草种植基地灌溉，属于间接排放。</w:t>
            </w:r>
          </w:p>
        </w:tc>
        <w:tc>
          <w:tcPr>
            <w:tcW w:w="472" w:type="pct"/>
            <w:vMerge w:val="restar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“预处理+二级生化处理</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A/O法</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val="en-US" w:eastAsia="zh-CN"/>
              </w:rPr>
              <w:t>+消毒处理”</w:t>
            </w:r>
          </w:p>
        </w:tc>
        <w:tc>
          <w:tcPr>
            <w:tcW w:w="315"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b w:val="0"/>
                <w:bCs w:val="0"/>
                <w:sz w:val="21"/>
                <w:szCs w:val="21"/>
                <w:lang w:val="en-US" w:eastAsia="zh-CN"/>
              </w:rPr>
              <w:t>满足</w:t>
            </w:r>
            <w:r>
              <w:rPr>
                <w:rFonts w:hint="default" w:ascii="Times New Roman" w:hAnsi="Times New Roman" w:eastAsia="宋体" w:cs="Times New Roman"/>
                <w:b w:val="0"/>
                <w:bCs w:val="0"/>
                <w:sz w:val="21"/>
                <w:szCs w:val="21"/>
              </w:rPr>
              <w:t>HJ860.3—2018</w:t>
            </w:r>
            <w:r>
              <w:rPr>
                <w:rFonts w:hint="default" w:ascii="Times New Roman" w:hAnsi="Times New Roman" w:eastAsia="宋体" w:cs="Times New Roman"/>
                <w:b w:val="0"/>
                <w:bCs w:val="0"/>
                <w:sz w:val="21"/>
                <w:szCs w:val="21"/>
                <w:lang w:val="en-US" w:eastAsia="zh-CN"/>
              </w:rPr>
              <w:t>中的推荐可行技术</w:t>
            </w:r>
            <w:r>
              <w:rPr>
                <w:rFonts w:hint="eastAsia" w:ascii="Times New Roman" w:hAnsi="Times New Roman" w:eastAsia="宋体" w:cs="Times New Roman"/>
                <w:b w:val="0"/>
                <w:bCs w:val="0"/>
                <w:sz w:val="21"/>
                <w:szCs w:val="21"/>
                <w:lang w:val="en-US" w:eastAsia="zh-CN"/>
              </w:rPr>
              <w:t>，治理措施可行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7"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c>
          <w:tcPr>
            <w:tcW w:w="305"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c>
          <w:tcPr>
            <w:tcW w:w="289"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间接排放c</w:t>
            </w:r>
          </w:p>
        </w:tc>
        <w:tc>
          <w:tcPr>
            <w:tcW w:w="305"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c>
          <w:tcPr>
            <w:tcW w:w="333"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c>
          <w:tcPr>
            <w:tcW w:w="1841"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1）预处理：粗（细）格栅；平流或旋流式沉砂、竖流或辐流式沉淀、混凝沉淀；斜板或平流式隔油池；气浮。</w:t>
            </w:r>
          </w:p>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2）生化法处理：活性污泥法、氧化沟法及其各类改型工艺。</w:t>
            </w:r>
          </w:p>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3）除磷处理：化学除磷（注明混凝剂）；生物除磷；生物与化学组合除磷。</w:t>
            </w:r>
          </w:p>
        </w:tc>
        <w:tc>
          <w:tcPr>
            <w:tcW w:w="598"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c>
          <w:tcPr>
            <w:tcW w:w="472"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c>
          <w:tcPr>
            <w:tcW w:w="315" w:type="pct"/>
            <w:vMerge w:val="continue"/>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备注：b直接排放指直接进入江河、湖、库等水环境、直接进入海域、进入城市下水道（再入江河、湖、库）、进入城市下水道（再入沿海海域），以及其他直接进入环境水体的排放方式；c间接排放指进入城镇污水集中处理设施、进入专门处理屠宰及肉类加工废水的集中式污水处理厂、进入其他工业废水集中处理设施，以及其他间接进入环境水体的排放方式。</w:t>
            </w:r>
          </w:p>
        </w:tc>
      </w:tr>
    </w:tbl>
    <w:p>
      <w:pPr>
        <w:pStyle w:val="2"/>
        <w:rPr>
          <w:rFonts w:hint="default"/>
          <w:lang w:val="en-US" w:eastAsia="zh-CN"/>
        </w:rPr>
      </w:pPr>
    </w:p>
    <w:p>
      <w:pPr>
        <w:pStyle w:val="2"/>
        <w:ind w:left="0" w:leftChars="0" w:firstLine="0" w:firstLineChars="0"/>
        <w:rPr>
          <w:rFonts w:hint="eastAsia"/>
          <w:lang w:val="en-US" w:eastAsia="zh-CN"/>
        </w:rPr>
        <w:sectPr>
          <w:pgSz w:w="16838" w:h="11906" w:orient="landscape"/>
          <w:pgMar w:top="1080" w:right="1440" w:bottom="1080" w:left="1440" w:header="567" w:footer="737" w:gutter="0"/>
          <w:pgBorders>
            <w:top w:val="none" w:sz="0" w:space="0"/>
            <w:left w:val="none" w:sz="0" w:space="0"/>
            <w:bottom w:val="none" w:sz="0" w:space="0"/>
            <w:right w:val="none" w:sz="0" w:space="0"/>
          </w:pgBorders>
          <w:cols w:space="425" w:num="1"/>
          <w:docGrid w:type="lines" w:linePitch="312" w:charSpace="0"/>
        </w:sectPr>
      </w:pPr>
    </w:p>
    <w:p>
      <w:pPr>
        <w:pStyle w:val="7"/>
        <w:ind w:firstLine="482"/>
      </w:pPr>
      <w:r>
        <w:rPr>
          <w:rFonts w:hint="eastAsia"/>
          <w:lang w:val="en-US" w:eastAsia="zh-CN"/>
        </w:rPr>
        <w:t>6</w:t>
      </w:r>
      <w:r>
        <w:rPr>
          <w:rFonts w:hint="eastAsia"/>
        </w:rPr>
        <w:t>.2.1.2、污水处理站容纳可行性</w:t>
      </w:r>
    </w:p>
    <w:p>
      <w:pPr>
        <w:ind w:firstLine="480"/>
      </w:pPr>
      <w:r>
        <w:rPr>
          <w:rFonts w:hint="eastAsia"/>
        </w:rPr>
        <w:t>《节水型工农业复合循环体系改造升级项目竣工环境保护验收监测报告》（甘肃沁园环保科技有限公司，2022年2月编制）可知，现阶段厂区污水产生量为385.33m</w:t>
      </w:r>
      <w:r>
        <w:rPr>
          <w:rFonts w:hint="eastAsia"/>
          <w:vertAlign w:val="superscript"/>
        </w:rPr>
        <w:t>3</w:t>
      </w:r>
      <w:r>
        <w:rPr>
          <w:rFonts w:hint="eastAsia"/>
        </w:rPr>
        <w:t>/d，</w:t>
      </w:r>
      <w:r>
        <w:t>本项目建成后废水产生量为</w:t>
      </w:r>
      <w:r>
        <w:rPr>
          <w:rFonts w:hint="eastAsia"/>
          <w:color w:val="auto"/>
          <w:sz w:val="24"/>
          <w:szCs w:val="24"/>
          <w:lang w:val="en-US" w:eastAsia="zh-CN"/>
        </w:rPr>
        <w:t>698.37</w:t>
      </w:r>
      <w:r>
        <w:t>m</w:t>
      </w:r>
      <w:r>
        <w:rPr>
          <w:vertAlign w:val="superscript"/>
        </w:rPr>
        <w:t>3</w:t>
      </w:r>
      <w:r>
        <w:t>/a，则全厂废水</w:t>
      </w:r>
      <w:r>
        <w:rPr>
          <w:rFonts w:hint="eastAsia"/>
        </w:rPr>
        <w:t>日</w:t>
      </w:r>
      <w:r>
        <w:t>产生量为</w:t>
      </w:r>
      <w:r>
        <w:rPr>
          <w:rFonts w:hint="eastAsia"/>
          <w:lang w:val="en-US" w:eastAsia="zh-CN"/>
        </w:rPr>
        <w:t>1083.7</w:t>
      </w:r>
      <w:r>
        <w:t>m</w:t>
      </w:r>
      <w:r>
        <w:rPr>
          <w:vertAlign w:val="superscript"/>
        </w:rPr>
        <w:t>3</w:t>
      </w:r>
      <w:r>
        <w:t>/</w:t>
      </w:r>
      <w:r>
        <w:rPr>
          <w:rFonts w:hint="eastAsia"/>
        </w:rPr>
        <w:t>d</w:t>
      </w:r>
      <w:r>
        <w:t>，</w:t>
      </w:r>
      <w:r>
        <w:rPr>
          <w:rFonts w:hint="eastAsia"/>
        </w:rPr>
        <w:t>则</w:t>
      </w:r>
      <w:r>
        <w:t>废水日产生量</w:t>
      </w:r>
      <w:r>
        <w:rPr>
          <w:rFonts w:hint="eastAsia"/>
          <w:lang w:val="en-US" w:eastAsia="zh-CN"/>
        </w:rPr>
        <w:t>1083.7</w:t>
      </w:r>
      <w:r>
        <w:t>m</w:t>
      </w:r>
      <w:r>
        <w:rPr>
          <w:vertAlign w:val="superscript"/>
        </w:rPr>
        <w:t>3</w:t>
      </w:r>
      <w:r>
        <w:t>/d&lt;</w:t>
      </w:r>
      <w:r>
        <w:rPr>
          <w:rFonts w:hint="eastAsia"/>
        </w:rPr>
        <w:t>1</w:t>
      </w:r>
      <w:r>
        <w:rPr>
          <w:rFonts w:hint="eastAsia"/>
          <w:lang w:val="en-US" w:eastAsia="zh-CN"/>
        </w:rPr>
        <w:t>5</w:t>
      </w:r>
      <w:r>
        <w:rPr>
          <w:rFonts w:hint="eastAsia"/>
        </w:rPr>
        <w:t>00</w:t>
      </w:r>
      <w:r>
        <w:t>m</w:t>
      </w:r>
      <w:r>
        <w:rPr>
          <w:vertAlign w:val="superscript"/>
        </w:rPr>
        <w:t>3</w:t>
      </w:r>
      <w:r>
        <w:t>/d</w:t>
      </w:r>
      <w:r>
        <w:rPr>
          <w:rFonts w:hint="eastAsia"/>
        </w:rPr>
        <w:t>的</w:t>
      </w:r>
      <w:r>
        <w:t>污水日处理规模，即从容纳性方面而言，污水处理站</w:t>
      </w:r>
      <w:r>
        <w:rPr>
          <w:rFonts w:hint="eastAsia"/>
        </w:rPr>
        <w:t>接纳本项目生活、生产废水</w:t>
      </w:r>
      <w:r>
        <w:t>是可行的。</w:t>
      </w:r>
    </w:p>
    <w:p>
      <w:pPr>
        <w:pStyle w:val="7"/>
        <w:ind w:firstLine="482"/>
      </w:pPr>
      <w:r>
        <w:rPr>
          <w:rFonts w:hint="eastAsia"/>
          <w:lang w:val="en-US" w:eastAsia="zh-CN"/>
        </w:rPr>
        <w:t>6</w:t>
      </w:r>
      <w:r>
        <w:rPr>
          <w:rFonts w:hint="eastAsia"/>
        </w:rPr>
        <w:t>.2.1.3、污水达标处理的可行性分析</w:t>
      </w:r>
    </w:p>
    <w:p>
      <w:pPr>
        <w:ind w:firstLine="480"/>
      </w:pPr>
      <w:r>
        <w:rPr>
          <w:rFonts w:hint="eastAsia"/>
        </w:rPr>
        <w:t>根据建设单位提供的资料，厂区废水经污水处理站处理后用于厂区饲草区灌溉，</w:t>
      </w:r>
      <w:r>
        <w:rPr>
          <w:rFonts w:hint="eastAsia"/>
          <w:lang w:val="en-US" w:eastAsia="zh-CN"/>
        </w:rPr>
        <w:t>因此，拟建项目运营期生产废水和生活污水经厂区污水处理站处理后出水水质应满足《肉类加工工业水污染物排放标准》（GB13457-92）表3中的肉制品加工一级标准，但是考虑到本项目废水经污水处理站处理后用于饲草区灌溉，用于饲草区灌溉时还应满足</w:t>
      </w:r>
      <w:r>
        <w:t>《农田灌溉水质标准》（GB5084-20</w:t>
      </w:r>
      <w:r>
        <w:rPr>
          <w:rFonts w:hint="eastAsia"/>
        </w:rPr>
        <w:t>21</w:t>
      </w:r>
      <w:r>
        <w:t>）</w:t>
      </w:r>
      <w:r>
        <w:rPr>
          <w:rFonts w:hint="eastAsia"/>
          <w:lang w:val="en-US" w:eastAsia="zh-CN"/>
        </w:rPr>
        <w:t>中的旱作标准，综合以上因素确定，按照“从严确定”原则，本项目生产废水经厂区污水处理站处理后CODcr、BOD</w:t>
      </w:r>
      <w:r>
        <w:rPr>
          <w:rFonts w:hint="eastAsia"/>
          <w:vertAlign w:val="subscript"/>
          <w:lang w:val="en-US" w:eastAsia="zh-CN"/>
        </w:rPr>
        <w:t>5</w:t>
      </w:r>
      <w:r>
        <w:rPr>
          <w:rFonts w:hint="eastAsia"/>
          <w:lang w:val="en-US" w:eastAsia="zh-CN"/>
        </w:rPr>
        <w:t>、SS、氨氮、动植物油、pH值、大肠菌群数应满足《肉类加工工业水污染物排放标准》（GB13457-92）表3中的肉制品加工一级标准，其他污染因子还应满足</w:t>
      </w:r>
      <w:r>
        <w:t>《农田灌溉水质标准》（GB5084-20</w:t>
      </w:r>
      <w:r>
        <w:rPr>
          <w:rFonts w:hint="eastAsia"/>
        </w:rPr>
        <w:t>21</w:t>
      </w:r>
      <w:r>
        <w:t>）</w:t>
      </w:r>
      <w:r>
        <w:rPr>
          <w:rFonts w:hint="eastAsia"/>
          <w:lang w:val="en-US" w:eastAsia="zh-CN"/>
        </w:rPr>
        <w:t>中的旱作标准</w:t>
      </w:r>
      <w:r>
        <w:rPr>
          <w:rFonts w:hint="eastAsia"/>
        </w:rPr>
        <w:t>。根据建设单位提供的《节水型工农业复合循环体系改造升级项目竣工环境保护验收监测报告》（甘肃沁园环保科技有限公司，2022年2月编制）可知，该污水处理站的处理效率如下：</w:t>
      </w:r>
    </w:p>
    <w:p>
      <w:pPr>
        <w:spacing w:line="240" w:lineRule="auto"/>
        <w:ind w:firstLine="482"/>
        <w:jc w:val="center"/>
        <w:rPr>
          <w:b/>
          <w:bCs/>
        </w:rPr>
      </w:pPr>
      <w:r>
        <w:rPr>
          <w:rFonts w:hint="eastAsia"/>
          <w:b/>
          <w:bCs/>
        </w:rPr>
        <w:t>表</w:t>
      </w:r>
      <w:r>
        <w:rPr>
          <w:rFonts w:hint="eastAsia"/>
          <w:b/>
          <w:bCs/>
          <w:lang w:val="en-US" w:eastAsia="zh-CN"/>
        </w:rPr>
        <w:t>6</w:t>
      </w:r>
      <w:r>
        <w:rPr>
          <w:rFonts w:hint="eastAsia"/>
          <w:b/>
          <w:bCs/>
        </w:rPr>
        <w:t>.1    污水处理设施治理效果一览表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0"/>
        <w:gridCol w:w="1622"/>
        <w:gridCol w:w="1680"/>
        <w:gridCol w:w="1464"/>
        <w:gridCol w:w="1441"/>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0"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r>
              <w:rPr>
                <w:rFonts w:hint="eastAsia"/>
                <w:b/>
                <w:bCs/>
                <w:sz w:val="21"/>
                <w:szCs w:val="21"/>
              </w:rPr>
              <w:t>及名称</w:t>
            </w:r>
          </w:p>
        </w:tc>
        <w:tc>
          <w:tcPr>
            <w:tcW w:w="814" w:type="pct"/>
            <w:tcBorders>
              <w:tl2br w:val="nil"/>
              <w:tr2bl w:val="nil"/>
            </w:tcBorders>
            <w:vAlign w:val="center"/>
          </w:tcPr>
          <w:p>
            <w:pPr>
              <w:spacing w:line="240" w:lineRule="auto"/>
              <w:ind w:firstLine="0" w:firstLineChars="0"/>
              <w:jc w:val="center"/>
              <w:rPr>
                <w:b/>
                <w:bCs/>
                <w:sz w:val="21"/>
                <w:szCs w:val="21"/>
              </w:rPr>
            </w:pPr>
            <w:r>
              <w:rPr>
                <w:sz w:val="21"/>
                <w:szCs w:val="21"/>
              </w:rPr>
              <w:t>COD</w:t>
            </w:r>
            <w:r>
              <w:rPr>
                <w:rFonts w:hint="eastAsia"/>
                <w:sz w:val="21"/>
                <w:szCs w:val="21"/>
              </w:rPr>
              <w:t>cr</w:t>
            </w:r>
          </w:p>
        </w:tc>
        <w:tc>
          <w:tcPr>
            <w:tcW w:w="843" w:type="pct"/>
            <w:tcBorders>
              <w:tl2br w:val="nil"/>
              <w:tr2bl w:val="nil"/>
            </w:tcBorders>
            <w:vAlign w:val="center"/>
          </w:tcPr>
          <w:p>
            <w:pPr>
              <w:pStyle w:val="2"/>
              <w:spacing w:line="240" w:lineRule="auto"/>
              <w:jc w:val="center"/>
              <w:rPr>
                <w:b/>
                <w:bCs/>
                <w:sz w:val="21"/>
                <w:szCs w:val="21"/>
              </w:rPr>
            </w:pPr>
            <w:r>
              <w:rPr>
                <w:color w:val="auto"/>
                <w:sz w:val="21"/>
                <w:szCs w:val="21"/>
              </w:rPr>
              <w:t>BOD</w:t>
            </w:r>
            <w:r>
              <w:rPr>
                <w:color w:val="auto"/>
                <w:sz w:val="21"/>
                <w:szCs w:val="21"/>
                <w:vertAlign w:val="subscript"/>
              </w:rPr>
              <w:t>5</w:t>
            </w:r>
          </w:p>
        </w:tc>
        <w:tc>
          <w:tcPr>
            <w:tcW w:w="735" w:type="pct"/>
            <w:tcBorders>
              <w:tl2br w:val="nil"/>
              <w:tr2bl w:val="nil"/>
            </w:tcBorders>
            <w:vAlign w:val="center"/>
          </w:tcPr>
          <w:p>
            <w:pPr>
              <w:spacing w:line="240" w:lineRule="auto"/>
              <w:ind w:firstLine="0" w:firstLineChars="0"/>
              <w:jc w:val="center"/>
              <w:rPr>
                <w:b/>
                <w:bCs/>
                <w:sz w:val="21"/>
                <w:szCs w:val="21"/>
              </w:rPr>
            </w:pPr>
            <w:r>
              <w:rPr>
                <w:sz w:val="21"/>
                <w:szCs w:val="21"/>
              </w:rPr>
              <w:t>SS</w:t>
            </w:r>
          </w:p>
        </w:tc>
        <w:tc>
          <w:tcPr>
            <w:tcW w:w="723" w:type="pct"/>
            <w:tcBorders>
              <w:tl2br w:val="nil"/>
              <w:tr2bl w:val="nil"/>
            </w:tcBorders>
            <w:vAlign w:val="center"/>
          </w:tcPr>
          <w:p>
            <w:pPr>
              <w:spacing w:line="240" w:lineRule="auto"/>
              <w:ind w:firstLine="0" w:firstLineChars="0"/>
              <w:jc w:val="center"/>
              <w:rPr>
                <w:b/>
                <w:bCs/>
                <w:sz w:val="21"/>
                <w:szCs w:val="21"/>
              </w:rPr>
            </w:pPr>
            <w:r>
              <w:rPr>
                <w:sz w:val="21"/>
                <w:szCs w:val="21"/>
              </w:rPr>
              <w:t>氨氮</w:t>
            </w:r>
          </w:p>
        </w:tc>
        <w:tc>
          <w:tcPr>
            <w:tcW w:w="722" w:type="pct"/>
            <w:tcBorders>
              <w:tl2br w:val="nil"/>
              <w:tr2bl w:val="nil"/>
            </w:tcBorders>
            <w:vAlign w:val="center"/>
          </w:tcPr>
          <w:p>
            <w:pPr>
              <w:spacing w:line="240" w:lineRule="auto"/>
              <w:ind w:firstLine="0" w:firstLineChars="0"/>
              <w:jc w:val="center"/>
              <w:rPr>
                <w:b/>
                <w:bCs/>
                <w:sz w:val="21"/>
                <w:szCs w:val="21"/>
              </w:rPr>
            </w:pPr>
            <w:r>
              <w:rPr>
                <w:sz w:val="21"/>
                <w:szCs w:val="21"/>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0" w:type="pct"/>
            <w:tcBorders>
              <w:tl2br w:val="nil"/>
              <w:tr2bl w:val="nil"/>
            </w:tcBorders>
            <w:vAlign w:val="center"/>
          </w:tcPr>
          <w:p>
            <w:pPr>
              <w:spacing w:line="240" w:lineRule="auto"/>
              <w:ind w:firstLine="0" w:firstLineChars="0"/>
              <w:jc w:val="center"/>
              <w:rPr>
                <w:b/>
                <w:bCs/>
                <w:sz w:val="21"/>
                <w:szCs w:val="21"/>
              </w:rPr>
            </w:pPr>
            <w:r>
              <w:rPr>
                <w:b/>
                <w:bCs/>
                <w:sz w:val="21"/>
                <w:szCs w:val="21"/>
              </w:rPr>
              <w:t>实际处理效率</w:t>
            </w:r>
          </w:p>
        </w:tc>
        <w:tc>
          <w:tcPr>
            <w:tcW w:w="814"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97.76</w:t>
            </w:r>
            <w:r>
              <w:rPr>
                <w:sz w:val="21"/>
                <w:szCs w:val="21"/>
              </w:rPr>
              <w:t>%</w:t>
            </w:r>
          </w:p>
        </w:tc>
        <w:tc>
          <w:tcPr>
            <w:tcW w:w="843" w:type="pct"/>
            <w:tcBorders>
              <w:tl2br w:val="nil"/>
              <w:tr2bl w:val="nil"/>
            </w:tcBorders>
            <w:vAlign w:val="center"/>
          </w:tcPr>
          <w:p>
            <w:pPr>
              <w:pStyle w:val="2"/>
              <w:spacing w:line="240" w:lineRule="auto"/>
              <w:jc w:val="center"/>
              <w:rPr>
                <w:color w:val="auto"/>
                <w:sz w:val="21"/>
                <w:szCs w:val="21"/>
              </w:rPr>
            </w:pPr>
            <w:r>
              <w:rPr>
                <w:rFonts w:hint="eastAsia"/>
                <w:color w:val="auto"/>
                <w:sz w:val="21"/>
                <w:szCs w:val="21"/>
              </w:rPr>
              <w:t>99.29</w:t>
            </w:r>
            <w:r>
              <w:rPr>
                <w:color w:val="auto"/>
                <w:sz w:val="21"/>
                <w:szCs w:val="21"/>
              </w:rPr>
              <w:t>%</w:t>
            </w:r>
          </w:p>
        </w:tc>
        <w:tc>
          <w:tcPr>
            <w:tcW w:w="735"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96.19</w:t>
            </w:r>
            <w:r>
              <w:rPr>
                <w:sz w:val="21"/>
                <w:szCs w:val="21"/>
              </w:rPr>
              <w:t>%</w:t>
            </w:r>
          </w:p>
        </w:tc>
        <w:tc>
          <w:tcPr>
            <w:tcW w:w="723"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91.82</w:t>
            </w:r>
            <w:r>
              <w:rPr>
                <w:sz w:val="21"/>
                <w:szCs w:val="21"/>
              </w:rPr>
              <w:t>%</w:t>
            </w:r>
          </w:p>
        </w:tc>
        <w:tc>
          <w:tcPr>
            <w:tcW w:w="722"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96.81</w:t>
            </w:r>
            <w:r>
              <w:rPr>
                <w:sz w:val="21"/>
                <w:szCs w:val="21"/>
              </w:rPr>
              <w:t>%</w:t>
            </w:r>
          </w:p>
        </w:tc>
      </w:tr>
    </w:tbl>
    <w:p>
      <w:pPr>
        <w:ind w:firstLine="480"/>
      </w:pPr>
      <w:r>
        <w:t>本项目建成后</w:t>
      </w:r>
      <w:r>
        <w:rPr>
          <w:rFonts w:hint="eastAsia"/>
        </w:rPr>
        <w:t>污水经厂区污水处理站处理时的处理效率按照《节水型工农业复合循环体系改造升级项目竣工环境保护验收监测报告》（甘肃沁园环保科技有限公司，2022年2月编制）中的数值进行计算，处理前污水中各污染物浓度详见运营期废水源强核算章节，则经该污水处理站处理后</w:t>
      </w:r>
      <w:r>
        <w:t>废水污染物</w:t>
      </w:r>
      <w:r>
        <w:rPr>
          <w:rFonts w:hint="eastAsia"/>
        </w:rPr>
        <w:t>的</w:t>
      </w:r>
      <w:r>
        <w:t>排放情况见表</w:t>
      </w:r>
      <w:r>
        <w:rPr>
          <w:rFonts w:hint="eastAsia"/>
          <w:lang w:val="en-US" w:eastAsia="zh-CN"/>
        </w:rPr>
        <w:t>6</w:t>
      </w:r>
      <w:r>
        <w:rPr>
          <w:rFonts w:hint="eastAsia"/>
        </w:rPr>
        <w:t>.2</w:t>
      </w:r>
      <w:r>
        <w:t>。</w:t>
      </w:r>
    </w:p>
    <w:p>
      <w:pPr>
        <w:spacing w:line="240" w:lineRule="auto"/>
        <w:ind w:firstLine="482"/>
        <w:jc w:val="center"/>
        <w:rPr>
          <w:b/>
          <w:bCs/>
        </w:rPr>
      </w:pPr>
      <w:r>
        <w:rPr>
          <w:b/>
          <w:bCs/>
        </w:rPr>
        <w:t>表</w:t>
      </w:r>
      <w:r>
        <w:rPr>
          <w:rFonts w:hint="eastAsia"/>
          <w:b/>
          <w:bCs/>
          <w:lang w:val="en-US" w:eastAsia="zh-CN"/>
        </w:rPr>
        <w:t>6</w:t>
      </w:r>
      <w:r>
        <w:rPr>
          <w:rFonts w:hint="eastAsia"/>
          <w:b/>
          <w:bCs/>
        </w:rPr>
        <w:t>.2</w:t>
      </w:r>
      <w:r>
        <w:rPr>
          <w:b/>
          <w:bCs/>
        </w:rPr>
        <w:t xml:space="preserve">    废水进水水质及排水水质</w:t>
      </w:r>
    </w:p>
    <w:tbl>
      <w:tblPr>
        <w:tblStyle w:val="33"/>
        <w:tblW w:w="50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2254"/>
        <w:gridCol w:w="1126"/>
        <w:gridCol w:w="1264"/>
        <w:gridCol w:w="1202"/>
        <w:gridCol w:w="1038"/>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tcBorders>
              <w:tl2br w:val="nil"/>
              <w:tr2bl w:val="nil"/>
            </w:tcBorders>
            <w:vAlign w:val="center"/>
          </w:tcPr>
          <w:p>
            <w:pPr>
              <w:adjustRightInd w:val="0"/>
              <w:snapToGrid w:val="0"/>
              <w:spacing w:line="240" w:lineRule="auto"/>
              <w:ind w:firstLine="0" w:firstLineChars="0"/>
              <w:jc w:val="center"/>
              <w:rPr>
                <w:b/>
                <w:bCs/>
                <w:sz w:val="21"/>
                <w:szCs w:val="21"/>
              </w:rPr>
            </w:pPr>
            <w:r>
              <w:rPr>
                <w:rFonts w:hint="eastAsia"/>
                <w:b/>
                <w:bCs/>
                <w:sz w:val="21"/>
                <w:szCs w:val="21"/>
              </w:rPr>
              <w:t>名称</w:t>
            </w:r>
          </w:p>
        </w:tc>
        <w:tc>
          <w:tcPr>
            <w:tcW w:w="1131"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污染物</w:t>
            </w:r>
          </w:p>
        </w:tc>
        <w:tc>
          <w:tcPr>
            <w:tcW w:w="565"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COD</w:t>
            </w:r>
            <w:r>
              <w:rPr>
                <w:rFonts w:hint="eastAsia"/>
                <w:b/>
                <w:bCs/>
                <w:sz w:val="21"/>
                <w:szCs w:val="21"/>
              </w:rPr>
              <w:t>cr</w:t>
            </w:r>
          </w:p>
        </w:tc>
        <w:tc>
          <w:tcPr>
            <w:tcW w:w="634"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BOD</w:t>
            </w:r>
            <w:r>
              <w:rPr>
                <w:b/>
                <w:bCs/>
                <w:sz w:val="21"/>
                <w:szCs w:val="21"/>
                <w:vertAlign w:val="subscript"/>
              </w:rPr>
              <w:t>5</w:t>
            </w:r>
          </w:p>
        </w:tc>
        <w:tc>
          <w:tcPr>
            <w:tcW w:w="603"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SS</w:t>
            </w:r>
          </w:p>
        </w:tc>
        <w:tc>
          <w:tcPr>
            <w:tcW w:w="520"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氨氮</w:t>
            </w:r>
          </w:p>
        </w:tc>
        <w:tc>
          <w:tcPr>
            <w:tcW w:w="647"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处理前</w:t>
            </w:r>
            <w:r>
              <w:rPr>
                <w:rFonts w:hint="eastAsia"/>
                <w:sz w:val="21"/>
                <w:szCs w:val="21"/>
              </w:rPr>
              <w:t>综合污水产生情况</w:t>
            </w:r>
          </w:p>
        </w:tc>
        <w:tc>
          <w:tcPr>
            <w:tcW w:w="113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产生浓度（mg/L）</w:t>
            </w:r>
          </w:p>
        </w:tc>
        <w:tc>
          <w:tcPr>
            <w:tcW w:w="1126"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1814.593</w:t>
            </w:r>
          </w:p>
        </w:tc>
        <w:tc>
          <w:tcPr>
            <w:tcW w:w="1264"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919.017</w:t>
            </w:r>
          </w:p>
        </w:tc>
        <w:tc>
          <w:tcPr>
            <w:tcW w:w="1202"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919.427</w:t>
            </w:r>
          </w:p>
        </w:tc>
        <w:tc>
          <w:tcPr>
            <w:tcW w:w="1038"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112.386</w:t>
            </w:r>
          </w:p>
        </w:tc>
        <w:tc>
          <w:tcPr>
            <w:tcW w:w="1291"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150.648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vMerge w:val="continue"/>
            <w:tcBorders>
              <w:tl2br w:val="nil"/>
              <w:tr2bl w:val="nil"/>
            </w:tcBorders>
            <w:vAlign w:val="center"/>
          </w:tcPr>
          <w:p>
            <w:pPr>
              <w:adjustRightInd w:val="0"/>
              <w:snapToGrid w:val="0"/>
              <w:spacing w:line="240" w:lineRule="auto"/>
              <w:jc w:val="center"/>
              <w:rPr>
                <w:sz w:val="21"/>
                <w:szCs w:val="21"/>
              </w:rPr>
            </w:pPr>
          </w:p>
        </w:tc>
        <w:tc>
          <w:tcPr>
            <w:tcW w:w="113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产生量（t/a）</w:t>
            </w:r>
          </w:p>
        </w:tc>
        <w:tc>
          <w:tcPr>
            <w:tcW w:w="1126"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462.551</w:t>
            </w:r>
          </w:p>
        </w:tc>
        <w:tc>
          <w:tcPr>
            <w:tcW w:w="1264"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234.263</w:t>
            </w:r>
          </w:p>
        </w:tc>
        <w:tc>
          <w:tcPr>
            <w:tcW w:w="1202"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234.368</w:t>
            </w:r>
          </w:p>
        </w:tc>
        <w:tc>
          <w:tcPr>
            <w:tcW w:w="1038"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28.648</w:t>
            </w:r>
          </w:p>
        </w:tc>
        <w:tc>
          <w:tcPr>
            <w:tcW w:w="1291" w:type="dxa"/>
            <w:tcBorders>
              <w:tl2br w:val="nil"/>
              <w:tr2bl w:val="nil"/>
            </w:tcBorders>
            <w:vAlign w:val="center"/>
          </w:tcPr>
          <w:p>
            <w:pPr>
              <w:spacing w:line="240" w:lineRule="auto"/>
              <w:ind w:firstLine="0" w:firstLineChars="0"/>
              <w:jc w:val="center"/>
              <w:rPr>
                <w:sz w:val="21"/>
                <w:szCs w:val="21"/>
              </w:rPr>
            </w:pPr>
            <w:r>
              <w:rPr>
                <w:rFonts w:hint="eastAsia" w:ascii="Times New Roman" w:hAnsi="Times New Roman" w:eastAsia="宋体" w:cs="Times New Roman"/>
                <w:color w:val="auto"/>
                <w:sz w:val="21"/>
                <w:szCs w:val="21"/>
                <w:lang w:val="en-US" w:eastAsia="zh-CN"/>
              </w:rPr>
              <w:t>38.401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2028" w:type="pct"/>
            <w:gridSpan w:val="2"/>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处理设施</w:t>
            </w:r>
          </w:p>
        </w:tc>
        <w:tc>
          <w:tcPr>
            <w:tcW w:w="2971" w:type="pct"/>
            <w:gridSpan w:val="5"/>
            <w:tcBorders>
              <w:tl2br w:val="nil"/>
              <w:tr2bl w:val="nil"/>
            </w:tcBorders>
            <w:vAlign w:val="center"/>
          </w:tcPr>
          <w:p>
            <w:pPr>
              <w:spacing w:line="240" w:lineRule="auto"/>
              <w:ind w:firstLine="0" w:firstLineChars="0"/>
              <w:jc w:val="center"/>
              <w:rPr>
                <w:kern w:val="0"/>
                <w:sz w:val="21"/>
                <w:szCs w:val="21"/>
              </w:rPr>
            </w:pPr>
            <w:r>
              <w:rPr>
                <w:rFonts w:hint="eastAsia"/>
                <w:kern w:val="0"/>
                <w:sz w:val="21"/>
                <w:szCs w:val="21"/>
              </w:rPr>
              <w:t>厂区污水处理站（预处理+二级生化处理+消毒处理）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处理后</w:t>
            </w:r>
            <w:r>
              <w:rPr>
                <w:rFonts w:hint="eastAsia"/>
                <w:sz w:val="21"/>
                <w:szCs w:val="21"/>
              </w:rPr>
              <w:t>综合污水排放情况</w:t>
            </w:r>
          </w:p>
        </w:tc>
        <w:tc>
          <w:tcPr>
            <w:tcW w:w="113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综合处理效率（%）</w:t>
            </w:r>
          </w:p>
        </w:tc>
        <w:tc>
          <w:tcPr>
            <w:tcW w:w="565"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97.76</w:t>
            </w:r>
            <w:r>
              <w:rPr>
                <w:sz w:val="21"/>
                <w:szCs w:val="21"/>
              </w:rPr>
              <w:t>%</w:t>
            </w:r>
          </w:p>
        </w:tc>
        <w:tc>
          <w:tcPr>
            <w:tcW w:w="634" w:type="pct"/>
            <w:tcBorders>
              <w:tl2br w:val="nil"/>
              <w:tr2bl w:val="nil"/>
            </w:tcBorders>
            <w:vAlign w:val="center"/>
          </w:tcPr>
          <w:p>
            <w:pPr>
              <w:pStyle w:val="2"/>
              <w:spacing w:line="240" w:lineRule="auto"/>
              <w:ind w:left="0" w:leftChars="0" w:firstLine="0" w:firstLineChars="0"/>
              <w:jc w:val="center"/>
              <w:rPr>
                <w:b/>
                <w:bCs/>
                <w:sz w:val="21"/>
                <w:szCs w:val="21"/>
              </w:rPr>
            </w:pPr>
            <w:r>
              <w:rPr>
                <w:rFonts w:hint="eastAsia"/>
                <w:color w:val="auto"/>
                <w:sz w:val="21"/>
                <w:szCs w:val="21"/>
              </w:rPr>
              <w:t>99.29</w:t>
            </w:r>
            <w:r>
              <w:rPr>
                <w:color w:val="auto"/>
                <w:sz w:val="21"/>
                <w:szCs w:val="21"/>
              </w:rPr>
              <w:t>%</w:t>
            </w:r>
          </w:p>
        </w:tc>
        <w:tc>
          <w:tcPr>
            <w:tcW w:w="603"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96.19</w:t>
            </w:r>
            <w:r>
              <w:rPr>
                <w:sz w:val="21"/>
                <w:szCs w:val="21"/>
              </w:rPr>
              <w:t>%</w:t>
            </w:r>
          </w:p>
        </w:tc>
        <w:tc>
          <w:tcPr>
            <w:tcW w:w="520"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91.82</w:t>
            </w:r>
            <w:r>
              <w:rPr>
                <w:sz w:val="21"/>
                <w:szCs w:val="21"/>
              </w:rPr>
              <w:t>%</w:t>
            </w:r>
          </w:p>
        </w:tc>
        <w:tc>
          <w:tcPr>
            <w:tcW w:w="647" w:type="pct"/>
            <w:tcBorders>
              <w:tl2br w:val="nil"/>
              <w:tr2bl w:val="nil"/>
            </w:tcBorders>
            <w:vAlign w:val="center"/>
          </w:tcPr>
          <w:p>
            <w:pPr>
              <w:spacing w:line="240" w:lineRule="auto"/>
              <w:ind w:firstLine="0" w:firstLineChars="0"/>
              <w:jc w:val="center"/>
              <w:rPr>
                <w:b/>
                <w:bCs/>
                <w:sz w:val="21"/>
                <w:szCs w:val="21"/>
              </w:rPr>
            </w:pPr>
            <w:r>
              <w:rPr>
                <w:rFonts w:hint="eastAsia"/>
                <w:sz w:val="21"/>
                <w:szCs w:val="21"/>
              </w:rPr>
              <w:t>96.81</w:t>
            </w: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vMerge w:val="continue"/>
            <w:tcBorders>
              <w:tl2br w:val="nil"/>
              <w:tr2bl w:val="nil"/>
            </w:tcBorders>
            <w:vAlign w:val="center"/>
          </w:tcPr>
          <w:p>
            <w:pPr>
              <w:adjustRightInd w:val="0"/>
              <w:snapToGrid w:val="0"/>
              <w:spacing w:line="240" w:lineRule="auto"/>
              <w:jc w:val="center"/>
              <w:rPr>
                <w:sz w:val="21"/>
                <w:szCs w:val="21"/>
              </w:rPr>
            </w:pPr>
          </w:p>
        </w:tc>
        <w:tc>
          <w:tcPr>
            <w:tcW w:w="113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出水浓度（mg/L）</w:t>
            </w:r>
          </w:p>
        </w:tc>
        <w:tc>
          <w:tcPr>
            <w:tcW w:w="11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42.280</w:t>
            </w:r>
          </w:p>
        </w:tc>
        <w:tc>
          <w:tcPr>
            <w:tcW w:w="126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6.525</w:t>
            </w:r>
          </w:p>
        </w:tc>
        <w:tc>
          <w:tcPr>
            <w:tcW w:w="120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35.030</w:t>
            </w:r>
          </w:p>
        </w:tc>
        <w:tc>
          <w:tcPr>
            <w:tcW w:w="103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9.193</w:t>
            </w:r>
          </w:p>
        </w:tc>
        <w:tc>
          <w:tcPr>
            <w:tcW w:w="129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vMerge w:val="continue"/>
            <w:tcBorders>
              <w:tl2br w:val="nil"/>
              <w:tr2bl w:val="nil"/>
            </w:tcBorders>
            <w:vAlign w:val="center"/>
          </w:tcPr>
          <w:p>
            <w:pPr>
              <w:adjustRightInd w:val="0"/>
              <w:snapToGrid w:val="0"/>
              <w:spacing w:line="240" w:lineRule="auto"/>
              <w:jc w:val="center"/>
              <w:rPr>
                <w:sz w:val="21"/>
                <w:szCs w:val="21"/>
              </w:rPr>
            </w:pPr>
          </w:p>
        </w:tc>
        <w:tc>
          <w:tcPr>
            <w:tcW w:w="113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排放量（t/a）</w:t>
            </w:r>
          </w:p>
        </w:tc>
        <w:tc>
          <w:tcPr>
            <w:tcW w:w="1126"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10.777</w:t>
            </w:r>
          </w:p>
        </w:tc>
        <w:tc>
          <w:tcPr>
            <w:tcW w:w="1264"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1.663</w:t>
            </w:r>
          </w:p>
        </w:tc>
        <w:tc>
          <w:tcPr>
            <w:tcW w:w="1202"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8.929</w:t>
            </w:r>
          </w:p>
        </w:tc>
        <w:tc>
          <w:tcPr>
            <w:tcW w:w="1038"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2.343</w:t>
            </w:r>
          </w:p>
        </w:tc>
        <w:tc>
          <w:tcPr>
            <w:tcW w:w="1291" w:type="dxa"/>
            <w:tcBorders>
              <w:tl2br w:val="nil"/>
              <w:tr2bl w:val="nil"/>
            </w:tcBorders>
            <w:vAlign w:val="center"/>
          </w:tcPr>
          <w:p>
            <w:pPr>
              <w:spacing w:line="240" w:lineRule="auto"/>
              <w:ind w:firstLine="0" w:firstLineChars="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8" w:type="pct"/>
            <w:gridSpan w:val="2"/>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lang w:val="en-US" w:eastAsia="zh-CN"/>
              </w:rPr>
              <w:t>《肉类加工工业水污染物排放标准》（GB13457-92）标准</w:t>
            </w:r>
          </w:p>
        </w:tc>
        <w:tc>
          <w:tcPr>
            <w:tcW w:w="565"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80</w:t>
            </w:r>
          </w:p>
        </w:tc>
        <w:tc>
          <w:tcPr>
            <w:tcW w:w="634"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25</w:t>
            </w:r>
          </w:p>
        </w:tc>
        <w:tc>
          <w:tcPr>
            <w:tcW w:w="603"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60</w:t>
            </w:r>
          </w:p>
        </w:tc>
        <w:tc>
          <w:tcPr>
            <w:tcW w:w="520"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15</w:t>
            </w:r>
          </w:p>
        </w:tc>
        <w:tc>
          <w:tcPr>
            <w:tcW w:w="647"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8" w:type="pct"/>
            <w:gridSpan w:val="2"/>
            <w:tcBorders>
              <w:tl2br w:val="nil"/>
              <w:tr2bl w:val="nil"/>
            </w:tcBorders>
            <w:vAlign w:val="center"/>
          </w:tcPr>
          <w:p>
            <w:pPr>
              <w:adjustRightInd w:val="0"/>
              <w:snapToGrid w:val="0"/>
              <w:spacing w:line="240" w:lineRule="auto"/>
              <w:ind w:firstLine="0" w:firstLineChars="0"/>
              <w:jc w:val="center"/>
              <w:rPr>
                <w:rFonts w:hint="eastAsia"/>
                <w:sz w:val="21"/>
                <w:szCs w:val="21"/>
                <w:lang w:val="en-US" w:eastAsia="zh-CN"/>
              </w:rPr>
            </w:pPr>
            <w:r>
              <w:rPr>
                <w:rFonts w:hint="eastAsia"/>
                <w:sz w:val="21"/>
                <w:szCs w:val="21"/>
                <w:lang w:val="en-US" w:eastAsia="zh-CN"/>
              </w:rPr>
              <w:t>《农田灌溉水质标准》</w:t>
            </w:r>
          </w:p>
          <w:p>
            <w:pPr>
              <w:adjustRightInd w:val="0"/>
              <w:snapToGrid w:val="0"/>
              <w:spacing w:line="240" w:lineRule="auto"/>
              <w:ind w:firstLine="0" w:firstLineChars="0"/>
              <w:jc w:val="center"/>
              <w:rPr>
                <w:rFonts w:hint="eastAsia"/>
                <w:sz w:val="21"/>
                <w:szCs w:val="21"/>
                <w:lang w:val="en-US" w:eastAsia="zh-CN"/>
              </w:rPr>
            </w:pPr>
            <w:r>
              <w:rPr>
                <w:rFonts w:hint="eastAsia"/>
                <w:sz w:val="21"/>
                <w:szCs w:val="21"/>
                <w:lang w:val="en-US" w:eastAsia="zh-CN"/>
              </w:rPr>
              <w:t>（GB5084-2021）旱作标准</w:t>
            </w:r>
          </w:p>
        </w:tc>
        <w:tc>
          <w:tcPr>
            <w:tcW w:w="565"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200</w:t>
            </w:r>
          </w:p>
        </w:tc>
        <w:tc>
          <w:tcPr>
            <w:tcW w:w="634"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100</w:t>
            </w:r>
          </w:p>
        </w:tc>
        <w:tc>
          <w:tcPr>
            <w:tcW w:w="603"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100</w:t>
            </w:r>
          </w:p>
        </w:tc>
        <w:tc>
          <w:tcPr>
            <w:tcW w:w="520"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w:t>
            </w:r>
          </w:p>
        </w:tc>
        <w:tc>
          <w:tcPr>
            <w:tcW w:w="647"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8" w:type="pct"/>
            <w:gridSpan w:val="2"/>
            <w:tcBorders>
              <w:tl2br w:val="nil"/>
              <w:tr2bl w:val="nil"/>
            </w:tcBorders>
            <w:vAlign w:val="center"/>
          </w:tcPr>
          <w:p>
            <w:pPr>
              <w:adjustRightInd w:val="0"/>
              <w:snapToGrid w:val="0"/>
              <w:spacing w:line="240" w:lineRule="auto"/>
              <w:ind w:firstLine="0" w:firstLineChars="0"/>
              <w:jc w:val="center"/>
              <w:rPr>
                <w:rFonts w:hint="default"/>
                <w:sz w:val="21"/>
                <w:szCs w:val="21"/>
                <w:lang w:val="en-US" w:eastAsia="zh-CN"/>
              </w:rPr>
            </w:pPr>
            <w:r>
              <w:rPr>
                <w:rFonts w:hint="eastAsia"/>
                <w:sz w:val="21"/>
                <w:szCs w:val="21"/>
                <w:lang w:val="en-US" w:eastAsia="zh-CN"/>
              </w:rPr>
              <w:t>达标情况</w:t>
            </w:r>
          </w:p>
        </w:tc>
        <w:tc>
          <w:tcPr>
            <w:tcW w:w="565" w:type="pct"/>
            <w:tcBorders>
              <w:tl2br w:val="nil"/>
              <w:tr2bl w:val="nil"/>
            </w:tcBorders>
            <w:vAlign w:val="center"/>
          </w:tcPr>
          <w:p>
            <w:pPr>
              <w:adjustRightInd w:val="0"/>
              <w:snapToGrid w:val="0"/>
              <w:spacing w:line="240" w:lineRule="auto"/>
              <w:ind w:firstLine="0" w:firstLineChars="0"/>
              <w:jc w:val="center"/>
              <w:rPr>
                <w:rFonts w:hint="default"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达标</w:t>
            </w:r>
          </w:p>
        </w:tc>
        <w:tc>
          <w:tcPr>
            <w:tcW w:w="634" w:type="pct"/>
            <w:tcBorders>
              <w:tl2br w:val="nil"/>
              <w:tr2bl w:val="nil"/>
            </w:tcBorders>
            <w:vAlign w:val="center"/>
          </w:tcPr>
          <w:p>
            <w:pPr>
              <w:adjustRightInd w:val="0"/>
              <w:snapToGrid w:val="0"/>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达标</w:t>
            </w:r>
          </w:p>
        </w:tc>
        <w:tc>
          <w:tcPr>
            <w:tcW w:w="603" w:type="pct"/>
            <w:tcBorders>
              <w:tl2br w:val="nil"/>
              <w:tr2bl w:val="nil"/>
            </w:tcBorders>
            <w:vAlign w:val="center"/>
          </w:tcPr>
          <w:p>
            <w:pPr>
              <w:adjustRightInd w:val="0"/>
              <w:snapToGrid w:val="0"/>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达标</w:t>
            </w:r>
          </w:p>
        </w:tc>
        <w:tc>
          <w:tcPr>
            <w:tcW w:w="520" w:type="pct"/>
            <w:tcBorders>
              <w:tl2br w:val="nil"/>
              <w:tr2bl w:val="nil"/>
            </w:tcBorders>
            <w:vAlign w:val="center"/>
          </w:tcPr>
          <w:p>
            <w:pPr>
              <w:adjustRightInd w:val="0"/>
              <w:snapToGrid w:val="0"/>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达标</w:t>
            </w:r>
          </w:p>
        </w:tc>
        <w:tc>
          <w:tcPr>
            <w:tcW w:w="647" w:type="pct"/>
            <w:tcBorders>
              <w:tl2br w:val="nil"/>
              <w:tr2bl w:val="nil"/>
            </w:tcBorders>
            <w:vAlign w:val="center"/>
          </w:tcPr>
          <w:p>
            <w:pPr>
              <w:adjustRightInd w:val="0"/>
              <w:snapToGrid w:val="0"/>
              <w:spacing w:line="240" w:lineRule="auto"/>
              <w:ind w:firstLine="0" w:firstLineChars="0"/>
              <w:jc w:val="center"/>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达标</w:t>
            </w:r>
          </w:p>
        </w:tc>
      </w:tr>
    </w:tbl>
    <w:p>
      <w:pPr>
        <w:ind w:firstLine="480"/>
      </w:pPr>
      <w:r>
        <w:t>根据上表</w:t>
      </w:r>
      <w:r>
        <w:rPr>
          <w:rFonts w:hint="eastAsia"/>
          <w:lang w:val="en-US" w:eastAsia="zh-CN"/>
        </w:rPr>
        <w:t>可知</w:t>
      </w:r>
      <w:r>
        <w:t>，项目运营期废水经污水处理站处理后出水浓度</w:t>
      </w:r>
      <w:r>
        <w:rPr>
          <w:rFonts w:hint="eastAsia"/>
          <w:lang w:val="en-US" w:eastAsia="zh-CN"/>
        </w:rPr>
        <w:t>可以满足满足《肉类加工工业水污染物排放标准》（GB13457-92）表3中的肉制品加工一级标准要求和</w:t>
      </w:r>
      <w:r>
        <w:t>《农田灌溉水质标准》（GB5084-20</w:t>
      </w:r>
      <w:r>
        <w:rPr>
          <w:rFonts w:hint="eastAsia"/>
        </w:rPr>
        <w:t>21</w:t>
      </w:r>
      <w:r>
        <w:t>）</w:t>
      </w:r>
      <w:r>
        <w:rPr>
          <w:rFonts w:hint="eastAsia"/>
          <w:lang w:val="en-US" w:eastAsia="zh-CN"/>
        </w:rPr>
        <w:t>中的旱作标准</w:t>
      </w:r>
      <w:r>
        <w:t>《农田灌溉水质标准》（GB5084-20</w:t>
      </w:r>
      <w:r>
        <w:rPr>
          <w:rFonts w:hint="eastAsia"/>
        </w:rPr>
        <w:t>21</w:t>
      </w:r>
      <w:r>
        <w:t>）旱作标准限值</w:t>
      </w:r>
      <w:r>
        <w:rPr>
          <w:rFonts w:hint="eastAsia"/>
          <w:lang w:val="en-US" w:eastAsia="zh-CN"/>
        </w:rPr>
        <w:t>要求</w:t>
      </w:r>
      <w:r>
        <w:rPr>
          <w:rFonts w:hint="eastAsia"/>
        </w:rPr>
        <w:t>，可</w:t>
      </w:r>
      <w:r>
        <w:t>用于厂区饲草灌溉，污水处理工艺可行。</w:t>
      </w:r>
    </w:p>
    <w:p>
      <w:pPr>
        <w:pStyle w:val="7"/>
        <w:ind w:firstLine="482"/>
      </w:pPr>
      <w:r>
        <w:rPr>
          <w:rFonts w:hint="eastAsia"/>
          <w:lang w:val="en-US" w:eastAsia="zh-CN"/>
        </w:rPr>
        <w:t>6</w:t>
      </w:r>
      <w:r>
        <w:t>.2.</w:t>
      </w:r>
      <w:r>
        <w:rPr>
          <w:rFonts w:hint="eastAsia"/>
        </w:rPr>
        <w:t>1</w:t>
      </w:r>
      <w:r>
        <w:t>.</w:t>
      </w:r>
      <w:r>
        <w:rPr>
          <w:rFonts w:hint="eastAsia"/>
        </w:rPr>
        <w:t>4、</w:t>
      </w:r>
      <w:r>
        <w:t>饲草灌溉可行性</w:t>
      </w:r>
    </w:p>
    <w:p>
      <w:pPr>
        <w:ind w:firstLine="482"/>
        <w:rPr>
          <w:b/>
          <w:bCs/>
        </w:rPr>
      </w:pPr>
      <w:r>
        <w:rPr>
          <w:rFonts w:hint="eastAsia"/>
          <w:b/>
          <w:bCs/>
        </w:rPr>
        <w:t>1、</w:t>
      </w:r>
      <w:r>
        <w:rPr>
          <w:b/>
          <w:bCs/>
        </w:rPr>
        <w:t>水质灌溉可行性</w:t>
      </w:r>
    </w:p>
    <w:p>
      <w:pPr>
        <w:ind w:firstLine="480"/>
        <w:rPr>
          <w:rFonts w:hint="default" w:eastAsia="宋体"/>
          <w:lang w:val="en-US" w:eastAsia="zh-CN"/>
        </w:rPr>
      </w:pPr>
      <w:r>
        <w:rPr>
          <w:rFonts w:hint="eastAsia"/>
        </w:rPr>
        <w:t>根据《农业农村部办公厅 生态环境部办公厅关于进一步明确畜禽粪污还田利用要求强化养殖污染监管的通知》（农办牧〔2020〕23号）可知，粪污经无害化处理后可用于用于农田灌溉的，应符合《农田灌溉水质标准》</w:t>
      </w:r>
      <w:r>
        <w:t>（GB5084-20</w:t>
      </w:r>
      <w:r>
        <w:rPr>
          <w:rFonts w:hint="eastAsia"/>
        </w:rPr>
        <w:t>21</w:t>
      </w:r>
      <w:r>
        <w:t>）</w:t>
      </w:r>
      <w:r>
        <w:rPr>
          <w:rFonts w:hint="eastAsia"/>
        </w:rPr>
        <w:t>。</w:t>
      </w:r>
      <w:r>
        <w:t>本项目</w:t>
      </w:r>
      <w:r>
        <w:rPr>
          <w:rFonts w:hint="eastAsia"/>
        </w:rPr>
        <w:t>运营期废水种类主要为</w:t>
      </w:r>
      <w:r>
        <w:t>屠宰肉类加工</w:t>
      </w:r>
      <w:r>
        <w:rPr>
          <w:rFonts w:hint="eastAsia"/>
        </w:rPr>
        <w:t>废水</w:t>
      </w:r>
      <w:r>
        <w:t>，</w:t>
      </w:r>
      <w:r>
        <w:rPr>
          <w:rFonts w:hint="eastAsia"/>
        </w:rPr>
        <w:t>结合</w:t>
      </w:r>
      <w:r>
        <w:t>《农田灌溉水质标准》（GB5084-20</w:t>
      </w:r>
      <w:r>
        <w:rPr>
          <w:rFonts w:hint="eastAsia"/>
        </w:rPr>
        <w:t>21</w:t>
      </w:r>
      <w:r>
        <w:t>）</w:t>
      </w:r>
      <w:r>
        <w:rPr>
          <w:rFonts w:hint="eastAsia"/>
        </w:rPr>
        <w:t>适用范围为“本标准适用于以地表水、地下水作为农田灌溉水源的水质监督管理。城镇污水（工业废水和医疗污水除外）以及未综合利用的畜禽养殖废水、农产品加工废水和农村生活污水进入农田灌溉渠道，其下游最近的灌溉取水点的水质按本标准进行监督管理“，同时结合《国民经济行业分类》（GB/T4754—2017）可知，本项目属于“C制造业/13农副食品加工业”</w:t>
      </w:r>
      <w:r>
        <w:rPr>
          <w:rFonts w:hint="eastAsia"/>
          <w:lang w:eastAsia="zh-CN"/>
        </w:rPr>
        <w:t>，</w:t>
      </w:r>
      <w:r>
        <w:rPr>
          <w:rFonts w:hint="eastAsia"/>
          <w:lang w:val="en-US" w:eastAsia="zh-CN"/>
        </w:rPr>
        <w:t>属于</w:t>
      </w:r>
      <w:r>
        <w:rPr>
          <w:rFonts w:hint="eastAsia"/>
        </w:rPr>
        <w:t>农产品加工废水，因此本项目产生的污水经厂区污水处理站处理后最终出水在满足</w:t>
      </w:r>
      <w:r>
        <w:rPr>
          <w:rFonts w:hint="eastAsia"/>
          <w:lang w:val="en-US" w:eastAsia="zh-CN"/>
        </w:rPr>
        <w:t>《肉类加工工业水污染物排放标准》（GB13457-92）表3中的肉制品加工一级标准要求和</w:t>
      </w:r>
      <w:r>
        <w:t>《农田灌溉水质标准》（GB5084-20</w:t>
      </w:r>
      <w:r>
        <w:rPr>
          <w:rFonts w:hint="eastAsia"/>
        </w:rPr>
        <w:t>21</w:t>
      </w:r>
      <w:r>
        <w:t>）</w:t>
      </w:r>
      <w:r>
        <w:rPr>
          <w:rFonts w:hint="eastAsia"/>
          <w:lang w:val="en-US" w:eastAsia="zh-CN"/>
        </w:rPr>
        <w:t>中的旱作标准</w:t>
      </w:r>
      <w:r>
        <w:t>《农田灌溉水质标准》（GB5084-20</w:t>
      </w:r>
      <w:r>
        <w:rPr>
          <w:rFonts w:hint="eastAsia"/>
        </w:rPr>
        <w:t>21</w:t>
      </w:r>
      <w:r>
        <w:t>）旱作标准限值</w:t>
      </w:r>
      <w:r>
        <w:rPr>
          <w:rFonts w:hint="eastAsia"/>
          <w:lang w:val="en-US" w:eastAsia="zh-CN"/>
        </w:rPr>
        <w:t>要求</w:t>
      </w:r>
      <w:r>
        <w:rPr>
          <w:rFonts w:hint="eastAsia"/>
        </w:rPr>
        <w:t>后即可用于饲草灌溉</w:t>
      </w:r>
      <w:r>
        <w:t>。</w:t>
      </w:r>
      <w:r>
        <w:rPr>
          <w:rFonts w:hint="eastAsia"/>
          <w:lang w:val="en-US" w:eastAsia="zh-CN"/>
        </w:rPr>
        <w:t>因此，从饲草灌溉水质要求上来讲，本项目达标废水水质能够满足饲草灌溉要求。</w:t>
      </w:r>
    </w:p>
    <w:p>
      <w:pPr>
        <w:ind w:firstLine="480"/>
      </w:pPr>
      <w:r>
        <w:t>此外，考虑到项目周边具饮用水源地保护区，</w:t>
      </w:r>
      <w:r>
        <w:rPr>
          <w:rFonts w:hint="eastAsia"/>
          <w:lang w:val="en-US" w:eastAsia="zh-CN"/>
        </w:rPr>
        <w:t>本环评要求建设单位在灌溉时</w:t>
      </w:r>
      <w:r>
        <w:rPr>
          <w:rFonts w:hint="eastAsia"/>
        </w:rPr>
        <w:t>需</w:t>
      </w:r>
      <w:r>
        <w:t>采取喷灌方式进行饲草灌溉，坚决杜绝漫灌现象出现，以防止因深层渗透过大而污染地下水。</w:t>
      </w:r>
      <w:r>
        <w:rPr>
          <w:rFonts w:hint="eastAsia"/>
        </w:rPr>
        <w:t>同时</w:t>
      </w:r>
      <w:r>
        <w:t>本次评价要求企业</w:t>
      </w:r>
      <w:r>
        <w:rPr>
          <w:rFonts w:hint="eastAsia"/>
        </w:rPr>
        <w:t>需加强对现有</w:t>
      </w:r>
      <w:r>
        <w:t>污水处理站在线监测</w:t>
      </w:r>
      <w:r>
        <w:rPr>
          <w:rFonts w:hint="eastAsia"/>
        </w:rPr>
        <w:t>设备的管理和监控</w:t>
      </w:r>
      <w:r>
        <w:t>，</w:t>
      </w:r>
      <w:r>
        <w:rPr>
          <w:rFonts w:hint="eastAsia"/>
        </w:rPr>
        <w:t>确保</w:t>
      </w:r>
      <w:r>
        <w:t>外排水水质</w:t>
      </w:r>
      <w:r>
        <w:rPr>
          <w:rFonts w:hint="eastAsia"/>
        </w:rPr>
        <w:t>能够满足</w:t>
      </w:r>
      <w:r>
        <w:t>《农田灌溉水质标准》（GB5084-20</w:t>
      </w:r>
      <w:r>
        <w:rPr>
          <w:rFonts w:hint="eastAsia"/>
        </w:rPr>
        <w:t>21</w:t>
      </w:r>
      <w:r>
        <w:t>）</w:t>
      </w:r>
      <w:r>
        <w:rPr>
          <w:rFonts w:hint="eastAsia"/>
        </w:rPr>
        <w:t>中的基本控制项目</w:t>
      </w:r>
      <w:r>
        <w:t>，坚决杜绝超标排放。</w:t>
      </w:r>
    </w:p>
    <w:p>
      <w:pPr>
        <w:ind w:firstLine="482"/>
        <w:rPr>
          <w:b/>
          <w:bCs/>
        </w:rPr>
      </w:pPr>
      <w:r>
        <w:rPr>
          <w:rFonts w:hint="eastAsia"/>
          <w:b/>
          <w:bCs/>
        </w:rPr>
        <w:t>2、</w:t>
      </w:r>
      <w:r>
        <w:rPr>
          <w:b/>
          <w:bCs/>
        </w:rPr>
        <w:t>水量灌溉可行性</w:t>
      </w:r>
    </w:p>
    <w:p>
      <w:pPr>
        <w:ind w:firstLine="480"/>
        <w:rPr>
          <w:color w:val="00B050"/>
        </w:rPr>
      </w:pPr>
      <w:r>
        <w:rPr>
          <w:rFonts w:hint="eastAsia"/>
        </w:rPr>
        <w:t>根据建设单位提供的质量，厂区现有</w:t>
      </w:r>
      <w:r>
        <w:t>2000亩饲草种植基地，</w:t>
      </w:r>
      <w:r>
        <w:rPr>
          <w:rFonts w:hint="eastAsia"/>
        </w:rPr>
        <w:t>主要以玉米种植为主，</w:t>
      </w:r>
      <w:r>
        <w:t>灌溉方式采用滴灌，结合</w:t>
      </w:r>
      <w:r>
        <w:rPr>
          <w:rFonts w:hint="eastAsia"/>
          <w:lang w:val="en-US" w:eastAsia="zh-CN"/>
        </w:rPr>
        <w:t>《甘肃省行业用水定额（2023版）》</w:t>
      </w:r>
      <w:r>
        <w:rPr>
          <w:rFonts w:hint="eastAsia"/>
        </w:rPr>
        <w:t>（</w:t>
      </w:r>
      <w:r>
        <w:rPr>
          <w:rFonts w:hint="eastAsia"/>
          <w:lang w:val="en-US" w:eastAsia="zh-CN"/>
        </w:rPr>
        <w:t>甘政发〔2023〕15号</w:t>
      </w:r>
      <w:r>
        <w:rPr>
          <w:rFonts w:hint="eastAsia"/>
        </w:rPr>
        <w:t>）可知</w:t>
      </w:r>
      <w:r>
        <w:t>，河西片区</w:t>
      </w:r>
      <w:r>
        <w:rPr>
          <w:rFonts w:hint="eastAsia"/>
          <w:lang w:eastAsia="zh-CN"/>
        </w:rPr>
        <w:t>（</w:t>
      </w:r>
      <w:r>
        <w:rPr>
          <w:rFonts w:hint="eastAsia"/>
          <w:lang w:val="en-US" w:eastAsia="zh-CN"/>
        </w:rPr>
        <w:t>黑河片</w:t>
      </w:r>
      <w:r>
        <w:rPr>
          <w:rFonts w:hint="eastAsia"/>
          <w:lang w:eastAsia="zh-CN"/>
        </w:rPr>
        <w:t>）</w:t>
      </w:r>
      <w:r>
        <w:t>玉米滴灌灌溉</w:t>
      </w:r>
      <w:r>
        <w:rPr>
          <w:rFonts w:hint="eastAsia"/>
        </w:rPr>
        <w:t>水</w:t>
      </w:r>
      <w:r>
        <w:t>量为</w:t>
      </w:r>
      <w:r>
        <w:rPr>
          <w:rFonts w:hint="eastAsia"/>
        </w:rPr>
        <w:t>300</w:t>
      </w:r>
      <w:r>
        <w:t>m</w:t>
      </w:r>
      <w:r>
        <w:rPr>
          <w:vertAlign w:val="superscript"/>
        </w:rPr>
        <w:t>3</w:t>
      </w:r>
      <w:r>
        <w:t>/亩，则灌溉用水量为</w:t>
      </w:r>
      <w:r>
        <w:rPr>
          <w:rFonts w:hint="eastAsia"/>
        </w:rPr>
        <w:t>60</w:t>
      </w:r>
      <w:r>
        <w:t>万m</w:t>
      </w:r>
      <w:r>
        <w:rPr>
          <w:vertAlign w:val="superscript"/>
        </w:rPr>
        <w:t>3</w:t>
      </w:r>
      <w:r>
        <w:t>/a，本项目建成后全厂达标废水量约</w:t>
      </w:r>
      <w:r>
        <w:rPr>
          <w:rFonts w:hint="eastAsia"/>
          <w:lang w:val="en-US" w:eastAsia="zh-CN"/>
        </w:rPr>
        <w:t>39.57</w:t>
      </w:r>
      <w:r>
        <w:rPr>
          <w:rFonts w:hint="eastAsia"/>
        </w:rPr>
        <w:t>万</w:t>
      </w:r>
      <w:r>
        <w:t>m</w:t>
      </w:r>
      <w:r>
        <w:rPr>
          <w:vertAlign w:val="superscript"/>
        </w:rPr>
        <w:t>3</w:t>
      </w:r>
      <w:r>
        <w:t>/a</w:t>
      </w:r>
      <w:r>
        <w:rPr>
          <w:rFonts w:hint="eastAsia"/>
          <w:lang w:eastAsia="zh-CN"/>
        </w:rPr>
        <w:t>（</w:t>
      </w:r>
      <w:r>
        <w:rPr>
          <w:rFonts w:hint="eastAsia"/>
          <w:lang w:val="en-US" w:eastAsia="zh-CN"/>
        </w:rPr>
        <w:t>现有达标废水产生量14.07万m</w:t>
      </w:r>
      <w:r>
        <w:rPr>
          <w:rFonts w:hint="eastAsia"/>
          <w:vertAlign w:val="superscript"/>
          <w:lang w:val="en-US" w:eastAsia="zh-CN"/>
        </w:rPr>
        <w:t>3</w:t>
      </w:r>
      <w:r>
        <w:rPr>
          <w:rFonts w:hint="eastAsia"/>
          <w:lang w:val="en-US" w:eastAsia="zh-CN"/>
        </w:rPr>
        <w:t>/a，本项目达标废水产生量25.50万m</w:t>
      </w:r>
      <w:r>
        <w:rPr>
          <w:rFonts w:hint="eastAsia"/>
          <w:vertAlign w:val="superscript"/>
          <w:lang w:val="en-US" w:eastAsia="zh-CN"/>
        </w:rPr>
        <w:t>3</w:t>
      </w:r>
      <w:r>
        <w:rPr>
          <w:rFonts w:hint="eastAsia"/>
          <w:lang w:val="en-US" w:eastAsia="zh-CN"/>
        </w:rPr>
        <w:t>/a</w:t>
      </w:r>
      <w:r>
        <w:rPr>
          <w:rFonts w:hint="eastAsia"/>
          <w:lang w:eastAsia="zh-CN"/>
        </w:rPr>
        <w:t>）</w:t>
      </w:r>
      <w:r>
        <w:t>，占饲草种植基地灌溉用水量的</w:t>
      </w:r>
      <w:r>
        <w:rPr>
          <w:rFonts w:hint="eastAsia"/>
        </w:rPr>
        <w:t>6</w:t>
      </w:r>
      <w:r>
        <w:rPr>
          <w:rFonts w:hint="eastAsia"/>
          <w:lang w:val="en-US" w:eastAsia="zh-CN"/>
        </w:rPr>
        <w:t>5.95</w:t>
      </w:r>
      <w:r>
        <w:t>%左右，</w:t>
      </w:r>
      <w:r>
        <w:rPr>
          <w:rFonts w:hint="eastAsia"/>
        </w:rPr>
        <w:t>在灌溉季节，</w:t>
      </w:r>
      <w:r>
        <w:t>达标废水</w:t>
      </w:r>
      <w:r>
        <w:rPr>
          <w:rFonts w:hint="eastAsia"/>
          <w:lang w:val="en-US" w:eastAsia="zh-CN"/>
        </w:rPr>
        <w:t>全部</w:t>
      </w:r>
      <w:r>
        <w:t>用作饲草灌溉</w:t>
      </w:r>
      <w:r>
        <w:rPr>
          <w:rFonts w:hint="eastAsia"/>
          <w:lang w:eastAsia="zh-CN"/>
        </w:rPr>
        <w:t>，</w:t>
      </w:r>
      <w:r>
        <w:rPr>
          <w:rFonts w:hint="eastAsia"/>
          <w:lang w:val="en-US" w:eastAsia="zh-CN"/>
        </w:rPr>
        <w:t>因此</w:t>
      </w:r>
      <w:r>
        <w:t>从饲草灌溉</w:t>
      </w:r>
      <w:r>
        <w:rPr>
          <w:rFonts w:hint="eastAsia"/>
          <w:lang w:val="en-US" w:eastAsia="zh-CN"/>
        </w:rPr>
        <w:t>用水量来讲，厂区建设的饲草种植基地完全有能力消化本项目产生的达标废水，故本项目达标废水用于饲草种植基地灌溉可行。</w:t>
      </w:r>
    </w:p>
    <w:p>
      <w:pPr>
        <w:pStyle w:val="7"/>
        <w:ind w:firstLine="482"/>
      </w:pPr>
      <w:r>
        <w:rPr>
          <w:rFonts w:hint="eastAsia"/>
          <w:lang w:val="en-US" w:eastAsia="zh-CN"/>
        </w:rPr>
        <w:t>6</w:t>
      </w:r>
      <w:r>
        <w:rPr>
          <w:rFonts w:hint="eastAsia"/>
        </w:rPr>
        <w:t>.2.1.5、非灌溉期</w:t>
      </w:r>
      <w:r>
        <w:t>排水可行性</w:t>
      </w:r>
    </w:p>
    <w:p>
      <w:pPr>
        <w:ind w:firstLine="480"/>
        <w:rPr>
          <w:rFonts w:hint="eastAsia"/>
          <w:lang w:eastAsia="zh-CN"/>
        </w:rPr>
      </w:pPr>
      <w:r>
        <w:t>目前，企业已建成防渗</w:t>
      </w:r>
      <w:r>
        <w:rPr>
          <w:rFonts w:hint="eastAsia"/>
        </w:rPr>
        <w:t>达标废水暂存池1座，容积为</w:t>
      </w:r>
      <w:r>
        <w:t>2</w:t>
      </w:r>
      <w:r>
        <w:rPr>
          <w:rFonts w:hint="eastAsia"/>
          <w:lang w:val="en-US" w:eastAsia="zh-CN"/>
        </w:rPr>
        <w:t>万</w:t>
      </w:r>
      <w:r>
        <w:t>m</w:t>
      </w:r>
      <w:r>
        <w:rPr>
          <w:vertAlign w:val="superscript"/>
        </w:rPr>
        <w:t>3</w:t>
      </w:r>
      <w:r>
        <w:t>，</w:t>
      </w:r>
      <w:r>
        <w:rPr>
          <w:rFonts w:hint="eastAsia"/>
        </w:rPr>
        <w:t>用于非灌溉期污水站达标废水的暂存。</w:t>
      </w:r>
      <w:r>
        <w:t>非灌溉期</w:t>
      </w:r>
      <w:r>
        <w:rPr>
          <w:rFonts w:hint="eastAsia"/>
        </w:rPr>
        <w:t>主要集中在冬季，</w:t>
      </w:r>
      <w:r>
        <w:t>合计90d</w:t>
      </w:r>
      <w:r>
        <w:rPr>
          <w:rFonts w:hint="eastAsia"/>
        </w:rPr>
        <w:t>，</w:t>
      </w:r>
      <w:r>
        <w:t>根据前文，本项目建成后全厂废水日排放量为</w:t>
      </w:r>
      <w:r>
        <w:rPr>
          <w:rFonts w:hint="eastAsia"/>
          <w:lang w:val="en-US" w:eastAsia="zh-CN"/>
        </w:rPr>
        <w:t>1083.7</w:t>
      </w:r>
      <w:r>
        <w:t>m</w:t>
      </w:r>
      <w:r>
        <w:rPr>
          <w:vertAlign w:val="superscript"/>
        </w:rPr>
        <w:t>3</w:t>
      </w:r>
      <w:r>
        <w:t>/d，则非灌溉期生产期内废水总排放量为</w:t>
      </w:r>
      <w:r>
        <w:rPr>
          <w:rFonts w:hint="eastAsia"/>
          <w:lang w:val="en-US" w:eastAsia="zh-CN"/>
        </w:rPr>
        <w:t>97533</w:t>
      </w:r>
      <w:r>
        <w:t>m</w:t>
      </w:r>
      <w:r>
        <w:rPr>
          <w:vertAlign w:val="superscript"/>
        </w:rPr>
        <w:t>3</w:t>
      </w:r>
      <w:r>
        <w:rPr>
          <w:rFonts w:hint="eastAsia"/>
        </w:rPr>
        <w:t>＞</w:t>
      </w:r>
      <w:r>
        <w:t>20000m</w:t>
      </w:r>
      <w:r>
        <w:rPr>
          <w:vertAlign w:val="superscript"/>
        </w:rPr>
        <w:t>3</w:t>
      </w:r>
      <w:r>
        <w:t>，</w:t>
      </w:r>
      <w:r>
        <w:rPr>
          <w:rFonts w:hint="eastAsia"/>
        </w:rPr>
        <w:t>故</w:t>
      </w:r>
      <w:r>
        <w:rPr>
          <w:rFonts w:hint="eastAsia"/>
          <w:lang w:val="en-US" w:eastAsia="zh-CN"/>
        </w:rPr>
        <w:t>环评要求</w:t>
      </w:r>
      <w:r>
        <w:rPr>
          <w:rFonts w:hint="eastAsia"/>
        </w:rPr>
        <w:t>建设单位还需在建1座8</w:t>
      </w:r>
      <w:r>
        <w:rPr>
          <w:rFonts w:hint="eastAsia"/>
          <w:lang w:val="en-US" w:eastAsia="zh-CN"/>
        </w:rPr>
        <w:t>万</w:t>
      </w:r>
      <w:r>
        <w:t>m</w:t>
      </w:r>
      <w:r>
        <w:rPr>
          <w:vertAlign w:val="superscript"/>
        </w:rPr>
        <w:t>3</w:t>
      </w:r>
      <w:r>
        <w:rPr>
          <w:rFonts w:hint="eastAsia"/>
        </w:rPr>
        <w:t>的达标废水暂存池</w:t>
      </w:r>
      <w:r>
        <w:rPr>
          <w:rFonts w:hint="eastAsia"/>
          <w:lang w:eastAsia="zh-CN"/>
        </w:rPr>
        <w:t>，</w:t>
      </w:r>
      <w:r>
        <w:rPr>
          <w:rFonts w:hint="eastAsia"/>
        </w:rPr>
        <w:t>达标废水暂存池需设置顶棚，池体底部、池壁须全部做水泥硬化处理，渗透系数应K≤1.0×10</w:t>
      </w:r>
      <w:r>
        <w:rPr>
          <w:rFonts w:hint="eastAsia"/>
          <w:vertAlign w:val="superscript"/>
        </w:rPr>
        <w:t>-7</w:t>
      </w:r>
      <w:r>
        <w:rPr>
          <w:rFonts w:hint="eastAsia"/>
        </w:rPr>
        <w:t>cm/s</w:t>
      </w:r>
      <w:r>
        <w:rPr>
          <w:rFonts w:hint="eastAsia"/>
          <w:lang w:eastAsia="zh-CN"/>
        </w:rPr>
        <w:t>。</w:t>
      </w:r>
    </w:p>
    <w:p>
      <w:pPr>
        <w:ind w:firstLine="480"/>
      </w:pPr>
      <w:r>
        <w:rPr>
          <w:rFonts w:hint="eastAsia"/>
          <w:lang w:val="en-US" w:eastAsia="zh-CN"/>
        </w:rPr>
        <w:t>综上所述，</w:t>
      </w:r>
      <w:r>
        <w:rPr>
          <w:rFonts w:hint="eastAsia"/>
        </w:rPr>
        <w:t>在采取以上措施后非灌溉期达标废水</w:t>
      </w:r>
      <w:r>
        <w:rPr>
          <w:rFonts w:hint="eastAsia"/>
          <w:lang w:val="en-US" w:eastAsia="zh-CN"/>
        </w:rPr>
        <w:t>暂存可行</w:t>
      </w:r>
      <w:r>
        <w:rPr>
          <w:rFonts w:hint="eastAsia"/>
        </w:rPr>
        <w:t>。</w:t>
      </w:r>
    </w:p>
    <w:p>
      <w:pPr>
        <w:pStyle w:val="7"/>
        <w:ind w:firstLine="482"/>
      </w:pPr>
      <w:r>
        <w:rPr>
          <w:rFonts w:hint="eastAsia"/>
          <w:lang w:val="en-US" w:eastAsia="zh-CN"/>
        </w:rPr>
        <w:t>6</w:t>
      </w:r>
      <w:r>
        <w:t>.</w:t>
      </w:r>
      <w:r>
        <w:rPr>
          <w:rFonts w:hint="eastAsia"/>
        </w:rPr>
        <w:t>2</w:t>
      </w:r>
      <w:r>
        <w:t>.</w:t>
      </w:r>
      <w:r>
        <w:rPr>
          <w:rFonts w:hint="eastAsia"/>
        </w:rPr>
        <w:t>1</w:t>
      </w:r>
      <w:r>
        <w:t>.</w:t>
      </w:r>
      <w:r>
        <w:rPr>
          <w:rFonts w:hint="eastAsia"/>
        </w:rPr>
        <w:t>6、</w:t>
      </w:r>
      <w:r>
        <w:t>事故排水可行性</w:t>
      </w:r>
    </w:p>
    <w:p>
      <w:pPr>
        <w:ind w:firstLine="480"/>
      </w:pPr>
      <w:r>
        <w:rPr>
          <w:color w:val="auto"/>
        </w:rPr>
        <w:t>根据《关于进一步加强环境影响评价管理防范环境风险的通知(环发</w:t>
      </w:r>
      <w:r>
        <w:rPr>
          <w:rFonts w:hint="eastAsia"/>
          <w:color w:val="auto"/>
        </w:rPr>
        <w:t>〔</w:t>
      </w:r>
      <w:r>
        <w:rPr>
          <w:color w:val="auto"/>
        </w:rPr>
        <w:t>2012</w:t>
      </w:r>
      <w:r>
        <w:rPr>
          <w:rFonts w:hint="eastAsia"/>
          <w:color w:val="auto"/>
        </w:rPr>
        <w:t>〕</w:t>
      </w:r>
      <w:r>
        <w:rPr>
          <w:color w:val="auto"/>
        </w:rPr>
        <w:t>77号》</w:t>
      </w:r>
      <w:r>
        <w:rPr>
          <w:rFonts w:hint="eastAsia"/>
          <w:color w:val="auto"/>
          <w:lang w:val="en-US" w:eastAsia="zh-CN"/>
        </w:rPr>
        <w:t>中的要求，</w:t>
      </w:r>
      <w:r>
        <w:rPr>
          <w:color w:val="auto"/>
        </w:rPr>
        <w:t>建设项目</w:t>
      </w:r>
      <w:r>
        <w:rPr>
          <w:rFonts w:hint="eastAsia"/>
          <w:color w:val="auto"/>
          <w:lang w:val="en-US" w:eastAsia="zh-CN"/>
        </w:rPr>
        <w:t>在</w:t>
      </w:r>
      <w:r>
        <w:rPr>
          <w:color w:val="auto"/>
        </w:rPr>
        <w:t>设计阶段</w:t>
      </w:r>
      <w:r>
        <w:rPr>
          <w:rFonts w:hint="eastAsia"/>
          <w:color w:val="auto"/>
          <w:lang w:val="en-US" w:eastAsia="zh-CN"/>
        </w:rPr>
        <w:t>应</w:t>
      </w:r>
      <w:r>
        <w:rPr>
          <w:color w:val="auto"/>
        </w:rPr>
        <w:t>按照或参照《化工建设项目环境保护设计规范》</w:t>
      </w:r>
      <w:r>
        <w:rPr>
          <w:rFonts w:hint="eastAsia"/>
          <w:color w:val="auto"/>
          <w:lang w:eastAsia="zh-CN"/>
        </w:rPr>
        <w:t>（</w:t>
      </w:r>
      <w:r>
        <w:rPr>
          <w:color w:val="auto"/>
        </w:rPr>
        <w:t>GB50483</w:t>
      </w:r>
      <w:r>
        <w:rPr>
          <w:rFonts w:hint="eastAsia"/>
          <w:color w:val="auto"/>
          <w:lang w:eastAsia="zh-CN"/>
        </w:rPr>
        <w:t>）</w:t>
      </w:r>
      <w:r>
        <w:rPr>
          <w:color w:val="auto"/>
        </w:rPr>
        <w:t>等国家标准和规范要求，设计有效防止泄漏物质、消防水、污染雨水等扩散至外环境的收集、导流、拦截、降污等环境风险防范设施</w:t>
      </w:r>
      <w:r>
        <w:rPr>
          <w:rFonts w:hint="eastAsia"/>
          <w:color w:val="auto"/>
          <w:lang w:eastAsia="zh-CN"/>
        </w:rPr>
        <w:t>。</w:t>
      </w:r>
      <w:r>
        <w:t>综合考虑全厂实际生产、储存情况，全厂废水总量为</w:t>
      </w:r>
      <w:r>
        <w:rPr>
          <w:rFonts w:hint="eastAsia"/>
          <w:lang w:val="en-US" w:eastAsia="zh-CN"/>
        </w:rPr>
        <w:t>1083.7</w:t>
      </w:r>
      <w:r>
        <w:t>m</w:t>
      </w:r>
      <w:r>
        <w:rPr>
          <w:vertAlign w:val="superscript"/>
        </w:rPr>
        <w:t>3</w:t>
      </w:r>
      <w:r>
        <w:t>/d，当企业同时发生火灾事故时，消防给水量按最大的30L/s计，消防灭火时间按1小时计，则最大消防用水量为108m</w:t>
      </w:r>
      <w:r>
        <w:rPr>
          <w:vertAlign w:val="superscript"/>
        </w:rPr>
        <w:t>3</w:t>
      </w:r>
      <w:r>
        <w:t>。所有火灾事故废水均需进入事故池暂存，为保证事故废水可容纳，企业须</w:t>
      </w:r>
      <w:r>
        <w:rPr>
          <w:rFonts w:hint="eastAsia"/>
        </w:rPr>
        <w:t>建设</w:t>
      </w:r>
      <w:r>
        <w:t>事故池以防后患。本次评价参照《化工建设项目环境保护设计规范》</w:t>
      </w:r>
      <w:r>
        <w:rPr>
          <w:rFonts w:hint="eastAsia"/>
        </w:rPr>
        <w:t>（</w:t>
      </w:r>
      <w:r>
        <w:t>GB50483-2009</w:t>
      </w:r>
      <w:r>
        <w:rPr>
          <w:rFonts w:hint="eastAsia"/>
        </w:rPr>
        <w:t>）</w:t>
      </w:r>
      <w:r>
        <w:t>计算事故排水量，包括事故时最大泄漏量、消防水量、生产废水量。</w:t>
      </w:r>
    </w:p>
    <w:p>
      <w:pPr>
        <w:ind w:firstLine="480"/>
      </w:pPr>
      <w:r>
        <w:t>事故水池容积确定拟参照GB50483-2009确定，计算公式如下：</w:t>
      </w:r>
    </w:p>
    <w:p>
      <w:pPr>
        <w:ind w:firstLine="480"/>
        <w:jc w:val="center"/>
      </w:pPr>
      <w:r>
        <w:t>V</w:t>
      </w:r>
      <w:r>
        <w:rPr>
          <w:vertAlign w:val="subscript"/>
        </w:rPr>
        <w:t>总</w:t>
      </w:r>
      <w:r>
        <w:t>=（V</w:t>
      </w:r>
      <w:r>
        <w:rPr>
          <w:vertAlign w:val="subscript"/>
        </w:rPr>
        <w:t>1</w:t>
      </w:r>
      <w:r>
        <w:t>+V</w:t>
      </w:r>
      <w:r>
        <w:rPr>
          <w:vertAlign w:val="subscript"/>
        </w:rPr>
        <w:t>2</w:t>
      </w:r>
      <w:r>
        <w:t>+V</w:t>
      </w:r>
      <w:r>
        <w:rPr>
          <w:vertAlign w:val="subscript"/>
        </w:rPr>
        <w:t>雨</w:t>
      </w:r>
      <w:r>
        <w:t>）</w:t>
      </w:r>
      <w:r>
        <w:rPr>
          <w:vertAlign w:val="subscript"/>
        </w:rPr>
        <w:t>max</w:t>
      </w:r>
      <w:r>
        <w:t>-V</w:t>
      </w:r>
      <w:r>
        <w:rPr>
          <w:vertAlign w:val="subscript"/>
        </w:rPr>
        <w:t>3</w:t>
      </w:r>
    </w:p>
    <w:p>
      <w:pPr>
        <w:ind w:firstLine="480"/>
      </w:pPr>
      <w:r>
        <w:t>式中：（V</w:t>
      </w:r>
      <w:r>
        <w:rPr>
          <w:vertAlign w:val="subscript"/>
        </w:rPr>
        <w:t>1</w:t>
      </w:r>
      <w:r>
        <w:t>+V</w:t>
      </w:r>
      <w:r>
        <w:rPr>
          <w:vertAlign w:val="subscript"/>
        </w:rPr>
        <w:t>2</w:t>
      </w:r>
      <w:r>
        <w:t>+V</w:t>
      </w:r>
      <w:r>
        <w:rPr>
          <w:vertAlign w:val="subscript"/>
        </w:rPr>
        <w:t>雨</w:t>
      </w:r>
      <w:r>
        <w:t>）</w:t>
      </w:r>
      <w:r>
        <w:rPr>
          <w:vertAlign w:val="subscript"/>
        </w:rPr>
        <w:t>max</w:t>
      </w:r>
      <w:r>
        <w:t>—为应急事故废水最大计算量，m</w:t>
      </w:r>
      <w:r>
        <w:rPr>
          <w:vertAlign w:val="superscript"/>
        </w:rPr>
        <w:t>3</w:t>
      </w:r>
      <w:r>
        <w:t>；</w:t>
      </w:r>
    </w:p>
    <w:p>
      <w:pPr>
        <w:ind w:firstLine="480"/>
      </w:pPr>
      <w:r>
        <w:t>V</w:t>
      </w:r>
      <w:r>
        <w:rPr>
          <w:vertAlign w:val="subscript"/>
        </w:rPr>
        <w:t>1</w:t>
      </w:r>
      <w:r>
        <w:t>—最大一个容量的设备(装置)或贮罐的物料贮存量，m</w:t>
      </w:r>
      <w:r>
        <w:rPr>
          <w:vertAlign w:val="superscript"/>
        </w:rPr>
        <w:t>3</w:t>
      </w:r>
      <w:r>
        <w:t>；</w:t>
      </w:r>
    </w:p>
    <w:p>
      <w:pPr>
        <w:ind w:firstLine="480"/>
      </w:pPr>
      <w:r>
        <w:t>V</w:t>
      </w:r>
      <w:r>
        <w:rPr>
          <w:vertAlign w:val="subscript"/>
        </w:rPr>
        <w:t>2</w:t>
      </w:r>
      <w:r>
        <w:t>—为装置区或贮罐区发生火灾爆炸及泄漏时的最大消防用水量，m</w:t>
      </w:r>
      <w:r>
        <w:rPr>
          <w:vertAlign w:val="superscript"/>
        </w:rPr>
        <w:t>3</w:t>
      </w:r>
      <w:r>
        <w:t>；</w:t>
      </w:r>
    </w:p>
    <w:p>
      <w:pPr>
        <w:ind w:firstLine="480"/>
      </w:pPr>
      <w:r>
        <w:t>V</w:t>
      </w:r>
      <w:r>
        <w:rPr>
          <w:vertAlign w:val="subscript"/>
        </w:rPr>
        <w:t>雨</w:t>
      </w:r>
      <w:r>
        <w:t>—发生事故时可能进入该废水收集系统的当地最大降雨量，m</w:t>
      </w:r>
      <w:r>
        <w:rPr>
          <w:vertAlign w:val="superscript"/>
        </w:rPr>
        <w:t>3</w:t>
      </w:r>
      <w:r>
        <w:t>；</w:t>
      </w:r>
    </w:p>
    <w:p>
      <w:pPr>
        <w:ind w:firstLine="480"/>
      </w:pPr>
      <w:r>
        <w:t>V</w:t>
      </w:r>
      <w:r>
        <w:rPr>
          <w:vertAlign w:val="subscript"/>
        </w:rPr>
        <w:t>3</w:t>
      </w:r>
      <w:r>
        <w:t>—事故废水收集系统的装置或罐区围堰、防火堤净空容量及管道容量，m</w:t>
      </w:r>
      <w:r>
        <w:rPr>
          <w:vertAlign w:val="superscript"/>
        </w:rPr>
        <w:t>3</w:t>
      </w:r>
      <w:r>
        <w:t>；</w:t>
      </w:r>
    </w:p>
    <w:p>
      <w:pPr>
        <w:ind w:firstLine="480"/>
      </w:pPr>
      <w:r>
        <w:t>本次评价</w:t>
      </w:r>
      <w:r>
        <w:rPr>
          <w:rFonts w:hint="eastAsia"/>
        </w:rPr>
        <w:t>事故情景模拟为火灾事故与污水处理站异常运行同时发生，污水站事故运行时间按24h计</w:t>
      </w:r>
      <w:r>
        <w:t>。</w:t>
      </w:r>
      <w:r>
        <w:rPr>
          <w:rFonts w:hint="eastAsia"/>
        </w:rPr>
        <w:t>根据计算，</w:t>
      </w:r>
      <w:r>
        <w:t>企业灭火最大消防用水量为108m</w:t>
      </w:r>
      <w:r>
        <w:rPr>
          <w:vertAlign w:val="superscript"/>
        </w:rPr>
        <w:t>3</w:t>
      </w:r>
      <w:r>
        <w:rPr>
          <w:rFonts w:hint="eastAsia"/>
        </w:rPr>
        <w:t>，厂区综合污水为</w:t>
      </w:r>
      <w:r>
        <w:rPr>
          <w:rFonts w:hint="eastAsia"/>
          <w:lang w:val="en-US" w:eastAsia="zh-CN"/>
        </w:rPr>
        <w:t>1083.7</w:t>
      </w:r>
      <w:r>
        <w:t>m</w:t>
      </w:r>
      <w:r>
        <w:rPr>
          <w:vertAlign w:val="superscript"/>
        </w:rPr>
        <w:t>3</w:t>
      </w:r>
      <w:r>
        <w:t>/d。综合计算可得V</w:t>
      </w:r>
      <w:r>
        <w:rPr>
          <w:vertAlign w:val="subscript"/>
        </w:rPr>
        <w:t>总</w:t>
      </w:r>
      <w:r>
        <w:t>为</w:t>
      </w:r>
      <w:r>
        <w:rPr>
          <w:rFonts w:hint="eastAsia"/>
          <w:lang w:val="en-US" w:eastAsia="zh-CN"/>
        </w:rPr>
        <w:t>1191.7</w:t>
      </w:r>
      <w:r>
        <w:t>m</w:t>
      </w:r>
      <w:r>
        <w:rPr>
          <w:vertAlign w:val="superscript"/>
        </w:rPr>
        <w:t>3</w:t>
      </w:r>
      <w:r>
        <w:rPr>
          <w:rFonts w:hint="eastAsia"/>
        </w:rPr>
        <w:t>。根据建设单位提供的《节水型工农业复合循环体系改造升级项目竣工环境保护验收监测报告》（甘肃沁园环保科技有限公司，2022年2月编制）可知，</w:t>
      </w:r>
      <w:r>
        <w:t>目前厂区已建成总池容</w:t>
      </w:r>
      <w:r>
        <w:rPr>
          <w:rFonts w:hint="eastAsia"/>
        </w:rPr>
        <w:t>310</w:t>
      </w:r>
      <w:r>
        <w:t>m</w:t>
      </w:r>
      <w:r>
        <w:rPr>
          <w:vertAlign w:val="superscript"/>
        </w:rPr>
        <w:t>3</w:t>
      </w:r>
      <w:r>
        <w:t>事故池1座，位于污水处理站西侧10m处，</w:t>
      </w:r>
      <w:r>
        <w:rPr>
          <w:rFonts w:hint="eastAsia"/>
        </w:rPr>
        <w:t>已建的事故池容积310</w:t>
      </w:r>
      <w:r>
        <w:t>m</w:t>
      </w:r>
      <w:r>
        <w:rPr>
          <w:vertAlign w:val="superscript"/>
        </w:rPr>
        <w:t>3</w:t>
      </w:r>
      <w:r>
        <w:rPr>
          <w:rFonts w:hint="eastAsia"/>
        </w:rPr>
        <w:t>＜事故废水量</w:t>
      </w:r>
      <w:r>
        <w:rPr>
          <w:rFonts w:hint="eastAsia"/>
          <w:lang w:val="en-US" w:eastAsia="zh-CN"/>
        </w:rPr>
        <w:t>1191.7</w:t>
      </w:r>
      <w:r>
        <w:t>m</w:t>
      </w:r>
      <w:r>
        <w:rPr>
          <w:vertAlign w:val="superscript"/>
        </w:rPr>
        <w:t>3</w:t>
      </w:r>
      <w:r>
        <w:rPr>
          <w:rFonts w:hint="eastAsia"/>
        </w:rPr>
        <w:t>。因此，建设单位需再建设1座</w:t>
      </w:r>
      <w:r>
        <w:rPr>
          <w:rFonts w:hint="eastAsia"/>
          <w:lang w:val="en-US" w:eastAsia="zh-CN"/>
        </w:rPr>
        <w:t>1500</w:t>
      </w:r>
      <w:r>
        <w:t>m</w:t>
      </w:r>
      <w:r>
        <w:rPr>
          <w:vertAlign w:val="superscript"/>
        </w:rPr>
        <w:t>3</w:t>
      </w:r>
      <w:r>
        <w:rPr>
          <w:rFonts w:hint="eastAsia"/>
        </w:rPr>
        <w:t>的事故池才能满足事故废水排放要求（事故池有效容积按事故池最大容积的80%计算），建成后厂区事故池总容积为</w:t>
      </w:r>
      <w:r>
        <w:rPr>
          <w:rFonts w:hint="eastAsia"/>
          <w:lang w:val="en-US" w:eastAsia="zh-CN"/>
        </w:rPr>
        <w:t>1810</w:t>
      </w:r>
      <w:r>
        <w:t>m</w:t>
      </w:r>
      <w:r>
        <w:rPr>
          <w:vertAlign w:val="superscript"/>
        </w:rPr>
        <w:t>3</w:t>
      </w:r>
      <w:r>
        <w:rPr>
          <w:rFonts w:hint="eastAsia"/>
        </w:rPr>
        <w:t>，新建事故池</w:t>
      </w:r>
      <w:r>
        <w:t>池体底部、池壁须全部做水泥硬化处理，渗透系数应K≤1.0×10</w:t>
      </w:r>
      <w:r>
        <w:rPr>
          <w:vertAlign w:val="superscript"/>
        </w:rPr>
        <w:t>-7</w:t>
      </w:r>
      <w:r>
        <w:t>cm/s</w:t>
      </w:r>
      <w:r>
        <w:rPr>
          <w:rFonts w:hint="eastAsia"/>
        </w:rPr>
        <w:t>。</w:t>
      </w:r>
    </w:p>
    <w:p>
      <w:pPr>
        <w:pStyle w:val="7"/>
        <w:ind w:firstLine="482"/>
      </w:pPr>
      <w:r>
        <w:rPr>
          <w:rFonts w:hint="eastAsia"/>
          <w:lang w:val="en-US" w:eastAsia="zh-CN"/>
        </w:rPr>
        <w:t>6</w:t>
      </w:r>
      <w:r>
        <w:rPr>
          <w:rFonts w:hint="eastAsia"/>
        </w:rPr>
        <w:t>.2.1.7、</w:t>
      </w:r>
      <w:r>
        <w:t>地下水污染防治</w:t>
      </w:r>
      <w:r>
        <w:rPr>
          <w:rFonts w:hint="eastAsia"/>
        </w:rPr>
        <w:t>措施</w:t>
      </w:r>
    </w:p>
    <w:p>
      <w:pPr>
        <w:ind w:firstLine="480"/>
      </w:pPr>
      <w:r>
        <w:t>依据《地下水工程防水技术规范》（GB50108-2001）的要求，地下水污染防治措</w:t>
      </w:r>
      <w:r>
        <w:rPr>
          <w:rFonts w:hint="eastAsia"/>
        </w:rPr>
        <w:t>施按照“源头控制、末端治理、污染监控、应急响应”相</w:t>
      </w:r>
      <w:r>
        <w:t>结合的原则，从污染物产生、入渗、扩散、应急响应全阶段进行控制。</w:t>
      </w:r>
    </w:p>
    <w:p>
      <w:pPr>
        <w:ind w:firstLine="482"/>
        <w:rPr>
          <w:b/>
          <w:bCs/>
        </w:rPr>
      </w:pPr>
      <w:r>
        <w:rPr>
          <w:rFonts w:hint="eastAsia"/>
          <w:b/>
          <w:bCs/>
        </w:rPr>
        <w:t>1、</w:t>
      </w:r>
      <w:r>
        <w:rPr>
          <w:b/>
          <w:bCs/>
        </w:rPr>
        <w:t>源头控制措施</w:t>
      </w:r>
    </w:p>
    <w:p>
      <w:pPr>
        <w:ind w:firstLine="480"/>
      </w:pPr>
      <w:r>
        <w:t>选择先进、成熟、可靠的工艺技术和较清洁的原辅材料，并对产生的废物进行合理的回用和治理，尽可能从源头上减少污染物排放；严格按照国家相关规范要求，对工艺、管道、设备、污水储存及处理构筑物采取相应的措施，防止和减少污染物的跑、冒、滴、漏，将污染物泄漏的环境风险事故降到最低程度；优化排水系统设计，工艺废水、</w:t>
      </w:r>
      <w:r>
        <w:rPr>
          <w:rFonts w:hint="eastAsia"/>
        </w:rPr>
        <w:t>屠宰</w:t>
      </w:r>
      <w:r>
        <w:t>废水、初期污染雨水等在界区内收集及预处理后通过管线送污水处理站处理；管线敷设尽量采用“可视化”原则，即管道尽可能地上敷设，使污染物能“早发现、早处理”，以减少由于埋地管道泄漏而可能造成的地下水污染。</w:t>
      </w:r>
    </w:p>
    <w:p>
      <w:pPr>
        <w:ind w:firstLine="482"/>
        <w:rPr>
          <w:b/>
          <w:bCs/>
        </w:rPr>
      </w:pPr>
      <w:r>
        <w:rPr>
          <w:rFonts w:hint="eastAsia"/>
          <w:b/>
          <w:bCs/>
        </w:rPr>
        <w:t>2、</w:t>
      </w:r>
      <w:r>
        <w:rPr>
          <w:b/>
          <w:bCs/>
        </w:rPr>
        <w:t>末端控制措施</w:t>
      </w:r>
    </w:p>
    <w:p>
      <w:pPr>
        <w:ind w:firstLine="480"/>
      </w:pPr>
      <w:r>
        <w:t>末端控制措施主要包括厂区内污染区地面的防渗措施和泄露、渗漏污染物收集措施，即在污染物地面进行防渗处理，防止洒落地面的污染物渗入地下。</w:t>
      </w:r>
    </w:p>
    <w:p>
      <w:pPr>
        <w:ind w:firstLine="480"/>
      </w:pPr>
      <w:r>
        <w:t>本项目容易发生地下水污染的区域主要为综合</w:t>
      </w:r>
      <w:r>
        <w:rPr>
          <w:rFonts w:hint="eastAsia"/>
        </w:rPr>
        <w:t>生产</w:t>
      </w:r>
      <w:r>
        <w:t>加工车间主生产区</w:t>
      </w:r>
      <w:r>
        <w:rPr>
          <w:rFonts w:hint="eastAsia"/>
        </w:rPr>
        <w:t>以及</w:t>
      </w:r>
      <w:r>
        <w:t>综合加工车间至污水处理站的污水管道，必须采取采取分区防渗原则，主要包括场内污染区地面的防渗措施和泄露、渗漏污染物收集措施，即在污染区地面进行防渗处理，防止洒落地面的污染物渗入地下，并把滞留在地面的污染物收集起来，集中收集处理等。</w:t>
      </w:r>
    </w:p>
    <w:p>
      <w:pPr>
        <w:ind w:firstLine="482"/>
        <w:rPr>
          <w:b/>
          <w:bCs/>
        </w:rPr>
      </w:pPr>
      <w:r>
        <w:rPr>
          <w:rFonts w:hint="eastAsia"/>
          <w:b/>
          <w:bCs/>
        </w:rPr>
        <w:t>（1）</w:t>
      </w:r>
      <w:r>
        <w:rPr>
          <w:b/>
          <w:bCs/>
        </w:rPr>
        <w:t>地下水污染防渗分区</w:t>
      </w:r>
    </w:p>
    <w:p>
      <w:pPr>
        <w:ind w:firstLine="480"/>
      </w:pPr>
      <w:r>
        <w:rPr>
          <w:rFonts w:hint="eastAsia"/>
        </w:rPr>
        <w:t>为进一步保护地下水资源，本工程对部分构筑物采取防渗处理措施，根据</w:t>
      </w:r>
      <w:r>
        <w:t>《环境影响评价技术导则 地下水环境》（HJ610-2016）</w:t>
      </w:r>
      <w:r>
        <w:rPr>
          <w:rFonts w:hint="eastAsia"/>
        </w:rPr>
        <w:t>要求，参照防渗技术要求对本项目场地进行防渗。</w:t>
      </w:r>
    </w:p>
    <w:p>
      <w:pPr>
        <w:ind w:firstLine="482"/>
        <w:rPr>
          <w:b/>
          <w:bCs/>
        </w:rPr>
      </w:pPr>
      <w:r>
        <w:rPr>
          <w:b/>
          <w:bCs/>
        </w:rPr>
        <w:t>①天</w:t>
      </w:r>
      <w:r>
        <w:rPr>
          <w:rFonts w:hint="eastAsia"/>
          <w:b/>
          <w:bCs/>
        </w:rPr>
        <w:t>然包气带防污性能能分级</w:t>
      </w:r>
    </w:p>
    <w:p>
      <w:pPr>
        <w:ind w:firstLine="480"/>
      </w:pPr>
      <w:r>
        <w:rPr>
          <w:rFonts w:hint="eastAsia"/>
        </w:rPr>
        <w:t>天然包气带防污性能分级参照表如下：</w:t>
      </w:r>
    </w:p>
    <w:p>
      <w:pPr>
        <w:spacing w:line="240" w:lineRule="auto"/>
        <w:ind w:firstLine="482"/>
        <w:jc w:val="center"/>
        <w:rPr>
          <w:b/>
          <w:bCs/>
        </w:rPr>
      </w:pPr>
    </w:p>
    <w:p>
      <w:pPr>
        <w:spacing w:line="240" w:lineRule="auto"/>
        <w:ind w:firstLine="482"/>
        <w:jc w:val="center"/>
        <w:rPr>
          <w:b/>
          <w:bCs/>
        </w:rPr>
      </w:pPr>
    </w:p>
    <w:p>
      <w:pPr>
        <w:spacing w:line="240" w:lineRule="auto"/>
        <w:ind w:firstLine="482"/>
        <w:jc w:val="center"/>
      </w:pPr>
      <w:r>
        <w:rPr>
          <w:b/>
          <w:bCs/>
        </w:rPr>
        <w:t>表</w:t>
      </w:r>
      <w:r>
        <w:rPr>
          <w:rFonts w:hint="eastAsia"/>
          <w:b/>
          <w:bCs/>
          <w:lang w:val="en-US" w:eastAsia="zh-CN"/>
        </w:rPr>
        <w:t>6</w:t>
      </w:r>
      <w:r>
        <w:rPr>
          <w:rFonts w:hint="eastAsia"/>
          <w:b/>
          <w:bCs/>
        </w:rPr>
        <w:t>.3</w:t>
      </w:r>
      <w:r>
        <w:rPr>
          <w:b/>
          <w:bCs/>
        </w:rPr>
        <w:t xml:space="preserve">    </w:t>
      </w:r>
      <w:r>
        <w:rPr>
          <w:rFonts w:hint="eastAsia"/>
          <w:b/>
          <w:bCs/>
        </w:rPr>
        <w:t>天然包气带防污性能</w:t>
      </w:r>
      <w:r>
        <w:rPr>
          <w:b/>
          <w:bCs/>
        </w:rPr>
        <w:t>参照表</w:t>
      </w:r>
    </w:p>
    <w:tbl>
      <w:tblPr>
        <w:tblStyle w:val="33"/>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8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分级</w:t>
            </w:r>
          </w:p>
        </w:tc>
        <w:tc>
          <w:tcPr>
            <w:tcW w:w="4328"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包气带岩土的渗透性能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强</w:t>
            </w:r>
          </w:p>
        </w:tc>
        <w:tc>
          <w:tcPr>
            <w:tcW w:w="432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岩土层单层厚度Mb≥1.0m，渗透系数K≤1×10</w:t>
            </w:r>
            <w:r>
              <w:rPr>
                <w:sz w:val="21"/>
                <w:szCs w:val="21"/>
                <w:vertAlign w:val="superscript"/>
              </w:rPr>
              <w:t>-6</w:t>
            </w:r>
            <w:r>
              <w:rPr>
                <w:sz w:val="21"/>
                <w:szCs w:val="21"/>
              </w:rPr>
              <w:t>cm/s，且分布连续稳定。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中</w:t>
            </w:r>
          </w:p>
        </w:tc>
        <w:tc>
          <w:tcPr>
            <w:tcW w:w="432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岩土层单层厚度0.5≤Mb&lt;1.0m，渗透系数K≤1×10</w:t>
            </w:r>
            <w:r>
              <w:rPr>
                <w:sz w:val="21"/>
                <w:szCs w:val="21"/>
                <w:vertAlign w:val="superscript"/>
              </w:rPr>
              <w:t>-6</w:t>
            </w:r>
            <w:r>
              <w:rPr>
                <w:sz w:val="21"/>
                <w:szCs w:val="21"/>
              </w:rPr>
              <w:t>cm/s，且分布连续稳定。岩土层单层厚度Mb≥1.0m，渗透系数1×10</w:t>
            </w:r>
            <w:r>
              <w:rPr>
                <w:sz w:val="21"/>
                <w:szCs w:val="21"/>
                <w:vertAlign w:val="superscript"/>
              </w:rPr>
              <w:t>-6</w:t>
            </w:r>
            <w:r>
              <w:rPr>
                <w:sz w:val="21"/>
                <w:szCs w:val="21"/>
              </w:rPr>
              <w:t>cm/s&lt;K≤1×10</w:t>
            </w:r>
            <w:r>
              <w:rPr>
                <w:sz w:val="21"/>
                <w:szCs w:val="21"/>
                <w:vertAlign w:val="superscript"/>
              </w:rPr>
              <w:t>-4</w:t>
            </w:r>
            <w:r>
              <w:rPr>
                <w:sz w:val="21"/>
                <w:szCs w:val="21"/>
              </w:rPr>
              <w:t>cm/s，且分布连续稳定。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弱</w:t>
            </w:r>
          </w:p>
        </w:tc>
        <w:tc>
          <w:tcPr>
            <w:tcW w:w="432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岩土层不满足上述“强”和“中”条件。</w:t>
            </w:r>
          </w:p>
        </w:tc>
      </w:tr>
    </w:tbl>
    <w:p>
      <w:pPr>
        <w:ind w:firstLine="480"/>
      </w:pPr>
      <w:r>
        <w:rPr>
          <w:rFonts w:hint="eastAsia"/>
        </w:rPr>
        <w:t>根据《张掖市沅博农牧产业开发有限公司节水型工农业复合循环体系改造升级项目环境影响报告书》可知，包气带渗透系数K范围介于3.87</w:t>
      </w:r>
      <w:r>
        <w:t>×10</w:t>
      </w:r>
      <w:r>
        <w:rPr>
          <w:vertAlign w:val="superscript"/>
        </w:rPr>
        <w:t>-</w:t>
      </w:r>
      <w:r>
        <w:rPr>
          <w:rFonts w:hint="eastAsia"/>
          <w:vertAlign w:val="superscript"/>
        </w:rPr>
        <w:t>4</w:t>
      </w:r>
      <w:r>
        <w:t>cm/s</w:t>
      </w:r>
      <w:r>
        <w:rPr>
          <w:rFonts w:hint="eastAsia"/>
        </w:rPr>
        <w:t>~8.22</w:t>
      </w:r>
      <w:r>
        <w:t>×10</w:t>
      </w:r>
      <w:r>
        <w:rPr>
          <w:vertAlign w:val="superscript"/>
        </w:rPr>
        <w:t>-</w:t>
      </w:r>
      <w:r>
        <w:rPr>
          <w:rFonts w:hint="eastAsia"/>
          <w:vertAlign w:val="superscript"/>
        </w:rPr>
        <w:t>4</w:t>
      </w:r>
      <w:r>
        <w:t>cm/s</w:t>
      </w:r>
      <w:r>
        <w:rPr>
          <w:rFonts w:hint="eastAsia"/>
        </w:rPr>
        <w:t>，参照上表，天然包气带防污性能属于“弱”。</w:t>
      </w:r>
    </w:p>
    <w:p>
      <w:pPr>
        <w:ind w:firstLine="482"/>
        <w:rPr>
          <w:b/>
          <w:bCs/>
        </w:rPr>
      </w:pPr>
      <w:r>
        <w:rPr>
          <w:b/>
          <w:bCs/>
        </w:rPr>
        <w:t>②场地防渗分区确定</w:t>
      </w:r>
    </w:p>
    <w:p>
      <w:pPr>
        <w:ind w:firstLine="480"/>
      </w:pPr>
      <w:r>
        <w:t>地下水污染防渗分区可参照</w:t>
      </w:r>
      <w:r>
        <w:rPr>
          <w:rFonts w:hint="eastAsia"/>
        </w:rPr>
        <w:t>下</w:t>
      </w:r>
      <w:r>
        <w:t>表</w:t>
      </w:r>
      <w:r>
        <w:rPr>
          <w:rFonts w:hint="eastAsia"/>
        </w:rPr>
        <w:t>。</w:t>
      </w:r>
    </w:p>
    <w:p>
      <w:pPr>
        <w:adjustRightInd w:val="0"/>
        <w:snapToGrid w:val="0"/>
        <w:spacing w:line="240" w:lineRule="auto"/>
        <w:ind w:firstLine="422"/>
        <w:jc w:val="center"/>
        <w:rPr>
          <w:b/>
          <w:sz w:val="21"/>
          <w:szCs w:val="21"/>
        </w:rPr>
      </w:pPr>
      <w:r>
        <w:rPr>
          <w:b/>
          <w:sz w:val="21"/>
          <w:szCs w:val="21"/>
        </w:rPr>
        <w:t>表</w:t>
      </w:r>
      <w:r>
        <w:rPr>
          <w:rFonts w:hint="eastAsia"/>
          <w:b/>
          <w:sz w:val="21"/>
          <w:szCs w:val="21"/>
          <w:lang w:val="en-US" w:eastAsia="zh-CN"/>
        </w:rPr>
        <w:t>6</w:t>
      </w:r>
      <w:r>
        <w:rPr>
          <w:rFonts w:hint="eastAsia"/>
          <w:b/>
          <w:sz w:val="21"/>
          <w:szCs w:val="21"/>
        </w:rPr>
        <w:t>.4</w:t>
      </w:r>
      <w:r>
        <w:rPr>
          <w:b/>
          <w:sz w:val="21"/>
          <w:szCs w:val="21"/>
        </w:rPr>
        <w:t xml:space="preserve">    地下水污染防渗分区参照表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7"/>
        <w:gridCol w:w="1743"/>
        <w:gridCol w:w="1369"/>
        <w:gridCol w:w="1711"/>
        <w:gridCol w:w="3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防渗分区</w:t>
            </w:r>
          </w:p>
        </w:tc>
        <w:tc>
          <w:tcPr>
            <w:tcW w:w="875"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天然包气带防污性能</w:t>
            </w:r>
          </w:p>
        </w:tc>
        <w:tc>
          <w:tcPr>
            <w:tcW w:w="687"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污染控制难易程度</w:t>
            </w:r>
          </w:p>
        </w:tc>
        <w:tc>
          <w:tcPr>
            <w:tcW w:w="859"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污染物类型</w:t>
            </w:r>
          </w:p>
        </w:tc>
        <w:tc>
          <w:tcPr>
            <w:tcW w:w="1784"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重点防渗区</w:t>
            </w: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弱</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难</w:t>
            </w:r>
          </w:p>
        </w:tc>
        <w:tc>
          <w:tcPr>
            <w:tcW w:w="859"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重金属、持久有机物污染物</w:t>
            </w:r>
          </w:p>
        </w:tc>
        <w:tc>
          <w:tcPr>
            <w:tcW w:w="1784"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等效粘土防渗层Mb≥6.0m，K≤1×10</w:t>
            </w:r>
            <w:r>
              <w:rPr>
                <w:sz w:val="21"/>
                <w:szCs w:val="21"/>
                <w:vertAlign w:val="superscript"/>
              </w:rPr>
              <w:t>-7</w:t>
            </w:r>
            <w:r>
              <w:rPr>
                <w:sz w:val="21"/>
                <w:szCs w:val="21"/>
              </w:rPr>
              <w:t>cm/s；或参照GB18598执行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中-强</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难</w:t>
            </w:r>
          </w:p>
        </w:tc>
        <w:tc>
          <w:tcPr>
            <w:tcW w:w="859"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1784"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2"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弱</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易</w:t>
            </w:r>
          </w:p>
        </w:tc>
        <w:tc>
          <w:tcPr>
            <w:tcW w:w="859"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1784"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2"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一般防渗区</w:t>
            </w: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弱</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易-难</w:t>
            </w:r>
          </w:p>
        </w:tc>
        <w:tc>
          <w:tcPr>
            <w:tcW w:w="859"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其他类型</w:t>
            </w:r>
          </w:p>
        </w:tc>
        <w:tc>
          <w:tcPr>
            <w:tcW w:w="1784"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等效粘土防渗层Mb≥1.5m，K≤1×10</w:t>
            </w:r>
            <w:r>
              <w:rPr>
                <w:sz w:val="21"/>
                <w:szCs w:val="21"/>
                <w:vertAlign w:val="superscript"/>
              </w:rPr>
              <w:t>-7</w:t>
            </w:r>
            <w:r>
              <w:rPr>
                <w:sz w:val="21"/>
                <w:szCs w:val="21"/>
              </w:rPr>
              <w:t>cm/s；或参照GB168898执行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2"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中-强</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难</w:t>
            </w:r>
          </w:p>
        </w:tc>
        <w:tc>
          <w:tcPr>
            <w:tcW w:w="859"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1784"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中</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易</w:t>
            </w:r>
          </w:p>
        </w:tc>
        <w:tc>
          <w:tcPr>
            <w:tcW w:w="859"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重金属、持久有机物污染物</w:t>
            </w:r>
          </w:p>
        </w:tc>
        <w:tc>
          <w:tcPr>
            <w:tcW w:w="1784"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2"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弱</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易</w:t>
            </w:r>
          </w:p>
        </w:tc>
        <w:tc>
          <w:tcPr>
            <w:tcW w:w="859"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1784"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9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简单防渗区</w:t>
            </w:r>
          </w:p>
        </w:tc>
        <w:tc>
          <w:tcPr>
            <w:tcW w:w="875"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中-强</w:t>
            </w:r>
          </w:p>
        </w:tc>
        <w:tc>
          <w:tcPr>
            <w:tcW w:w="687"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易</w:t>
            </w:r>
          </w:p>
        </w:tc>
        <w:tc>
          <w:tcPr>
            <w:tcW w:w="859"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其他类型</w:t>
            </w:r>
          </w:p>
        </w:tc>
        <w:tc>
          <w:tcPr>
            <w:tcW w:w="1784"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一般地面硬化</w:t>
            </w:r>
          </w:p>
        </w:tc>
      </w:tr>
    </w:tbl>
    <w:p>
      <w:pPr>
        <w:ind w:firstLine="480"/>
      </w:pPr>
      <w:r>
        <w:t>污染防治分区划分根据厂区各功能单元可能泄露至地面区域的污染物质和生产单元的构筑方式，将厂区划分为重点污染防渗区、一般污染防渗区和简单防渗区。</w:t>
      </w:r>
    </w:p>
    <w:p>
      <w:pPr>
        <w:ind w:firstLine="482"/>
      </w:pPr>
      <w:r>
        <w:rPr>
          <w:b/>
          <w:bCs/>
        </w:rPr>
        <w:t>重点防渗区</w:t>
      </w:r>
      <w:r>
        <w:rPr>
          <w:rFonts w:hint="eastAsia"/>
          <w:b/>
          <w:bCs/>
        </w:rPr>
        <w:t>：</w:t>
      </w:r>
      <w:r>
        <w:t>是指位于地下或半地下的生产功能单元，发生重金属、持久性有机污染物等难降解物质泄漏后不容易被及时发现和处理，泄漏污染较难控制的区域或部位。</w:t>
      </w:r>
    </w:p>
    <w:p>
      <w:pPr>
        <w:ind w:firstLine="482"/>
      </w:pPr>
      <w:r>
        <w:rPr>
          <w:b/>
          <w:bCs/>
        </w:rPr>
        <w:t>一般防渗区：</w:t>
      </w:r>
      <w:r>
        <w:t>是指裸露于地面的，发生一般物料物理泄漏后容易及时被发现和处理的区域或部位</w:t>
      </w:r>
      <w:r>
        <w:rPr>
          <w:rFonts w:hint="eastAsia"/>
        </w:rPr>
        <w:t>；</w:t>
      </w:r>
    </w:p>
    <w:p>
      <w:pPr>
        <w:ind w:firstLine="482"/>
      </w:pPr>
      <w:r>
        <w:rPr>
          <w:b/>
          <w:bCs/>
        </w:rPr>
        <w:t>简单防渗区：</w:t>
      </w:r>
      <w:r>
        <w:t>指不会对地下水环境造成污染的区域</w:t>
      </w:r>
      <w:r>
        <w:rPr>
          <w:rFonts w:hint="eastAsia"/>
        </w:rPr>
        <w:t>。</w:t>
      </w:r>
    </w:p>
    <w:p>
      <w:pPr>
        <w:ind w:firstLine="480"/>
      </w:pPr>
      <w:r>
        <w:rPr>
          <w:rFonts w:hint="eastAsia"/>
        </w:rPr>
        <w:t>根据以上分区原则，结合本项目工程分析，同时依据</w:t>
      </w:r>
      <w:r>
        <w:t>《一般工业固体废物贮存和填埋污染控制标准》（GB18599-2020）</w:t>
      </w:r>
      <w:r>
        <w:rPr>
          <w:rFonts w:hint="eastAsia"/>
        </w:rPr>
        <w:t>、</w:t>
      </w:r>
      <w:r>
        <w:t>《危险废物贮存污染控制标准》（GB18597-2001）及其修改单和《危险废物收集、贮存、运输技术规范》（HJ2025-2012）中的有关规定</w:t>
      </w:r>
      <w:r>
        <w:rPr>
          <w:rFonts w:hint="eastAsia"/>
        </w:rPr>
        <w:t>，确定全厂地下水污染防治分区情况，详见下表：</w:t>
      </w:r>
    </w:p>
    <w:p>
      <w:pPr>
        <w:adjustRightInd w:val="0"/>
        <w:snapToGrid w:val="0"/>
        <w:spacing w:line="240" w:lineRule="auto"/>
        <w:ind w:firstLine="482"/>
        <w:jc w:val="center"/>
        <w:rPr>
          <w:b/>
          <w:sz w:val="21"/>
          <w:szCs w:val="21"/>
        </w:rPr>
      </w:pPr>
      <w:r>
        <w:rPr>
          <w:b/>
        </w:rPr>
        <w:t>表</w:t>
      </w:r>
      <w:r>
        <w:rPr>
          <w:rFonts w:hint="eastAsia"/>
          <w:b/>
          <w:lang w:val="en-US" w:eastAsia="zh-CN"/>
        </w:rPr>
        <w:t>6</w:t>
      </w:r>
      <w:r>
        <w:rPr>
          <w:rFonts w:hint="eastAsia"/>
          <w:b/>
        </w:rPr>
        <w:t>.5</w:t>
      </w:r>
      <w:r>
        <w:rPr>
          <w:b/>
        </w:rPr>
        <w:t xml:space="preserve">    本项目地下水污染防渗分区一览表</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9"/>
        <w:gridCol w:w="5155"/>
        <w:gridCol w:w="2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防渗分区名称</w:t>
            </w:r>
          </w:p>
        </w:tc>
        <w:tc>
          <w:tcPr>
            <w:tcW w:w="2588"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防渗范围</w:t>
            </w:r>
          </w:p>
        </w:tc>
        <w:tc>
          <w:tcPr>
            <w:tcW w:w="1492"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防渗要求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重点防渗区</w:t>
            </w:r>
          </w:p>
        </w:tc>
        <w:tc>
          <w:tcPr>
            <w:tcW w:w="258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污水处理系统（包括构筑物、阀门、管道、废水收集管网等）</w:t>
            </w:r>
            <w:r>
              <w:rPr>
                <w:rFonts w:hint="eastAsia"/>
                <w:sz w:val="21"/>
                <w:szCs w:val="21"/>
              </w:rPr>
              <w:t>、达标废水暂存池、事故应急池、</w:t>
            </w:r>
            <w:r>
              <w:rPr>
                <w:sz w:val="21"/>
                <w:szCs w:val="21"/>
              </w:rPr>
              <w:t>危废暂存间</w:t>
            </w:r>
          </w:p>
        </w:tc>
        <w:tc>
          <w:tcPr>
            <w:tcW w:w="149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等效粘土防渗层Mb≥6.0m，K≤1×10</w:t>
            </w:r>
            <w:r>
              <w:rPr>
                <w:sz w:val="21"/>
                <w:szCs w:val="21"/>
                <w:vertAlign w:val="superscript"/>
              </w:rPr>
              <w:t>-7</w:t>
            </w:r>
            <w:r>
              <w:rPr>
                <w:sz w:val="21"/>
                <w:szCs w:val="21"/>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91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一般防渗区</w:t>
            </w:r>
          </w:p>
        </w:tc>
        <w:tc>
          <w:tcPr>
            <w:tcW w:w="258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综合生产车间、待宰圈、冷库、一般固废暂存间</w:t>
            </w:r>
          </w:p>
        </w:tc>
        <w:tc>
          <w:tcPr>
            <w:tcW w:w="149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等效粘土防渗层Mb≥1.5m，K≤1×10</w:t>
            </w:r>
            <w:r>
              <w:rPr>
                <w:sz w:val="21"/>
                <w:szCs w:val="21"/>
                <w:vertAlign w:val="superscript"/>
              </w:rPr>
              <w:t>-7</w:t>
            </w:r>
            <w:r>
              <w:rPr>
                <w:sz w:val="21"/>
                <w:szCs w:val="21"/>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简单防渗区</w:t>
            </w:r>
          </w:p>
        </w:tc>
        <w:tc>
          <w:tcPr>
            <w:tcW w:w="258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办公区域</w:t>
            </w:r>
          </w:p>
        </w:tc>
        <w:tc>
          <w:tcPr>
            <w:tcW w:w="149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一般地面硬化</w:t>
            </w:r>
          </w:p>
        </w:tc>
      </w:tr>
    </w:tbl>
    <w:p>
      <w:pPr>
        <w:ind w:firstLine="480"/>
      </w:pPr>
      <w:r>
        <w:t>本项目分区防渗分布情况划详见图6-2。</w:t>
      </w:r>
    </w:p>
    <w:p>
      <w:pPr>
        <w:ind w:firstLine="482"/>
      </w:pPr>
      <w:r>
        <w:rPr>
          <w:rFonts w:hint="eastAsia"/>
          <w:b/>
          <w:bCs/>
        </w:rPr>
        <w:t>（2）</w:t>
      </w:r>
      <w:r>
        <w:rPr>
          <w:b/>
          <w:bCs/>
        </w:rPr>
        <w:t>各分区防渗要求</w:t>
      </w:r>
    </w:p>
    <w:p>
      <w:pPr>
        <w:ind w:firstLine="480"/>
      </w:pPr>
      <w:r>
        <w:t>本项目各防渗分区单元防渗设计应满足以下要求：</w:t>
      </w:r>
    </w:p>
    <w:p>
      <w:pPr>
        <w:ind w:firstLine="482"/>
      </w:pPr>
      <w:r>
        <w:rPr>
          <w:rFonts w:hint="eastAsia"/>
          <w:b/>
          <w:bCs/>
        </w:rPr>
        <w:t>①重点防渗区</w:t>
      </w:r>
      <w:r>
        <w:rPr>
          <w:rFonts w:hint="eastAsia"/>
        </w:rPr>
        <w:t>：等效粘土防渗层</w:t>
      </w:r>
      <w:r>
        <w:t>Mb≥6.0m，K≤1×10</w:t>
      </w:r>
      <w:r>
        <w:rPr>
          <w:vertAlign w:val="superscript"/>
        </w:rPr>
        <w:t>-7</w:t>
      </w:r>
      <w:r>
        <w:t>cm/s；</w:t>
      </w:r>
    </w:p>
    <w:p>
      <w:pPr>
        <w:ind w:firstLine="482"/>
      </w:pPr>
      <w:r>
        <w:rPr>
          <w:rFonts w:hint="eastAsia"/>
          <w:b/>
          <w:bCs/>
        </w:rPr>
        <w:t>②</w:t>
      </w:r>
      <w:r>
        <w:rPr>
          <w:b/>
          <w:bCs/>
        </w:rPr>
        <w:t>一般防渗区</w:t>
      </w:r>
      <w:r>
        <w:t>：等效粘土防渗层Mb≥1.5m，防渗性能应保证渗透系数K≤1.0×10</w:t>
      </w:r>
      <w:r>
        <w:rPr>
          <w:vertAlign w:val="superscript"/>
        </w:rPr>
        <w:t>-7</w:t>
      </w:r>
      <w:r>
        <w:t>cm/s，</w:t>
      </w:r>
      <w:r>
        <w:rPr>
          <w:rFonts w:hint="eastAsia"/>
        </w:rPr>
        <w:t>并且能够满足</w:t>
      </w:r>
      <w:r>
        <w:t>《一般工业固体废物贮存和填埋污染控制标准》（GB 18599-2020）中</w:t>
      </w:r>
      <w:r>
        <w:rPr>
          <w:rFonts w:hint="eastAsia"/>
        </w:rPr>
        <w:t>的规定要求</w:t>
      </w:r>
      <w:r>
        <w:t>。</w:t>
      </w:r>
    </w:p>
    <w:p>
      <w:pPr>
        <w:ind w:firstLine="482"/>
      </w:pPr>
      <w:r>
        <w:rPr>
          <w:b/>
          <w:bCs/>
        </w:rPr>
        <w:t>③简单防渗区：</w:t>
      </w:r>
      <w:r>
        <w:t>可不做具体防渗设计，仅进行一般地面硬化即可。</w:t>
      </w:r>
    </w:p>
    <w:p>
      <w:pPr>
        <w:ind w:firstLine="482"/>
        <w:rPr>
          <w:b/>
          <w:bCs/>
        </w:rPr>
      </w:pPr>
      <w:r>
        <w:rPr>
          <w:rFonts w:hint="eastAsia"/>
          <w:b/>
          <w:bCs/>
        </w:rPr>
        <w:t>（3）</w:t>
      </w:r>
      <w:r>
        <w:rPr>
          <w:b/>
          <w:bCs/>
        </w:rPr>
        <w:t>具体防范措施</w:t>
      </w:r>
    </w:p>
    <w:p>
      <w:pPr>
        <w:ind w:firstLine="480"/>
      </w:pPr>
      <w:r>
        <w:t>环评要求建设单位按照工程设计及相关技术规范要求，对厂区内各生产单元采取有效的防渗、防漏、废水收集、处理及污泥处置措施，尽可能消除项目运行期间对地下水环境污染隐患。对可能出现的污染途径，建设单位必须加强对综合加工车间各功能区和管道的防渗处理措施，各构筑物和管道基础与土接触的砼表面、垫层与底板接触面，均严格按照设计要求</w:t>
      </w:r>
      <w:r>
        <w:rPr>
          <w:rFonts w:hint="eastAsia"/>
        </w:rPr>
        <w:t>设置相应等效粘土厚度的防渗层</w:t>
      </w:r>
      <w:r>
        <w:t>，以确保污水不会外泄下渗污染地下水环境。</w:t>
      </w:r>
    </w:p>
    <w:p>
      <w:pPr>
        <w:ind w:firstLine="482"/>
        <w:rPr>
          <w:b/>
          <w:bCs/>
        </w:rPr>
      </w:pPr>
      <w:r>
        <w:rPr>
          <w:rFonts w:hint="eastAsia"/>
          <w:b/>
          <w:bCs/>
        </w:rPr>
        <w:t>3、</w:t>
      </w:r>
      <w:r>
        <w:rPr>
          <w:b/>
          <w:bCs/>
        </w:rPr>
        <w:t>地下水污染监控及管理措施</w:t>
      </w:r>
    </w:p>
    <w:p>
      <w:pPr>
        <w:ind w:firstLine="480"/>
      </w:pPr>
      <w:r>
        <w:t>本项目污水处理站推荐采用</w:t>
      </w:r>
      <w:r>
        <w:rPr>
          <w:rFonts w:hint="eastAsia"/>
        </w:rPr>
        <w:t>在线监测</w:t>
      </w:r>
      <w:r>
        <w:t>系统</w:t>
      </w:r>
      <w:r>
        <w:rPr>
          <w:rFonts w:hint="eastAsia"/>
        </w:rPr>
        <w:t>，对排放的水量、CODcr及氨氮浓度进行实时监控，同时选取上游</w:t>
      </w:r>
      <w:r>
        <w:t>沅博牧业公司自备井</w:t>
      </w:r>
      <w:r>
        <w:rPr>
          <w:rFonts w:hint="eastAsia"/>
        </w:rPr>
        <w:t>（</w:t>
      </w:r>
      <w:r>
        <w:t>位于项目场地西侧</w:t>
      </w:r>
      <w:r>
        <w:rPr>
          <w:rFonts w:hint="eastAsia"/>
        </w:rPr>
        <w:t>）</w:t>
      </w:r>
      <w:r>
        <w:t>作为地下水背景值监测点；</w:t>
      </w:r>
      <w:r>
        <w:rPr>
          <w:rFonts w:hint="eastAsia"/>
        </w:rPr>
        <w:t>选取</w:t>
      </w:r>
      <w:r>
        <w:t>项目厂区西北侧拐角处</w:t>
      </w:r>
      <w:r>
        <w:rPr>
          <w:rFonts w:hint="eastAsia"/>
        </w:rPr>
        <w:t>水井</w:t>
      </w:r>
      <w:r>
        <w:t>，作为污染扩散监测点；</w:t>
      </w:r>
      <w:r>
        <w:rPr>
          <w:rFonts w:hint="eastAsia"/>
        </w:rPr>
        <w:t>选取</w:t>
      </w:r>
      <w:r>
        <w:t>项目厂区下游2.7km处</w:t>
      </w:r>
      <w:r>
        <w:rPr>
          <w:rFonts w:hint="eastAsia"/>
        </w:rPr>
        <w:t>水井</w:t>
      </w:r>
      <w:r>
        <w:t>，</w:t>
      </w:r>
      <w:r>
        <w:rPr>
          <w:rFonts w:hint="eastAsia"/>
        </w:rPr>
        <w:t>作为</w:t>
      </w:r>
      <w:r>
        <w:t>地下水环境影响跟踪监测</w:t>
      </w:r>
      <w:r>
        <w:rPr>
          <w:rFonts w:hint="eastAsia"/>
        </w:rPr>
        <w:t>点</w:t>
      </w:r>
      <w:r>
        <w:t>。地下水</w:t>
      </w:r>
      <w:r>
        <w:rPr>
          <w:rFonts w:hint="eastAsia"/>
        </w:rPr>
        <w:t>上下游同步对比监测，并</w:t>
      </w:r>
      <w:r>
        <w:t>建立完善的监测制度，及时发现污染，及时控制。</w:t>
      </w:r>
    </w:p>
    <w:p>
      <w:pPr>
        <w:ind w:firstLine="482"/>
        <w:rPr>
          <w:b/>
          <w:bCs/>
        </w:rPr>
      </w:pPr>
      <w:r>
        <w:rPr>
          <w:rFonts w:hint="eastAsia"/>
          <w:b/>
          <w:bCs/>
        </w:rPr>
        <w:t>（4）</w:t>
      </w:r>
      <w:r>
        <w:rPr>
          <w:b/>
          <w:bCs/>
        </w:rPr>
        <w:t>应急响应措施</w:t>
      </w:r>
    </w:p>
    <w:p>
      <w:pPr>
        <w:ind w:firstLine="480"/>
      </w:pPr>
      <w:r>
        <w:t>一旦发现地下水污染事故，立即启动应急预案、采取应急措施控制地下水污染，并使污染得到治理。</w:t>
      </w:r>
    </w:p>
    <w:p>
      <w:pPr>
        <w:ind w:firstLine="480"/>
      </w:pPr>
      <w:r>
        <w:t>综上，本项目依托现有污水处理站从处理工艺、容纳量、达标废水处置去向、事故排水等方面而言，是可行的；同时经过源头控制、末端治理、污染监控、应急响应等相应措施的实施，废水污染防治可行，不会对地下水及周边环境产生影响。</w:t>
      </w:r>
    </w:p>
    <w:p>
      <w:pPr>
        <w:pStyle w:val="6"/>
        <w:ind w:firstLine="482"/>
      </w:pPr>
      <w:bookmarkStart w:id="790" w:name="_Toc28360"/>
      <w:r>
        <w:rPr>
          <w:rFonts w:hint="eastAsia"/>
          <w:lang w:val="en-US" w:eastAsia="zh-CN"/>
        </w:rPr>
        <w:t>6</w:t>
      </w:r>
      <w:r>
        <w:t>.2.</w:t>
      </w:r>
      <w:r>
        <w:rPr>
          <w:rFonts w:hint="eastAsia"/>
        </w:rPr>
        <w:t>2、</w:t>
      </w:r>
      <w:r>
        <w:t>环境空气污染防治措施</w:t>
      </w:r>
      <w:bookmarkEnd w:id="790"/>
    </w:p>
    <w:p>
      <w:pPr>
        <w:ind w:firstLine="480"/>
      </w:pPr>
      <w:r>
        <w:t>项目营运期的废气主要来源于待宰</w:t>
      </w:r>
      <w:r>
        <w:rPr>
          <w:rFonts w:hint="eastAsia"/>
        </w:rPr>
        <w:t>圈</w:t>
      </w:r>
      <w:r>
        <w:t>恶臭</w:t>
      </w:r>
      <w:r>
        <w:rPr>
          <w:rFonts w:hint="eastAsia"/>
        </w:rPr>
        <w:t>气体</w:t>
      </w:r>
      <w:r>
        <w:t>、屠宰间恶臭</w:t>
      </w:r>
      <w:r>
        <w:rPr>
          <w:rFonts w:hint="eastAsia"/>
        </w:rPr>
        <w:t>气体、牛羊预制品生产线炒制工段烹饪油烟、</w:t>
      </w:r>
      <w:r>
        <w:t>食堂烹饪过程中产生的食堂油烟。</w:t>
      </w:r>
    </w:p>
    <w:p>
      <w:pPr>
        <w:ind w:firstLine="482"/>
        <w:rPr>
          <w:b/>
          <w:bCs/>
        </w:rPr>
      </w:pPr>
      <w:r>
        <w:rPr>
          <w:rFonts w:hint="eastAsia"/>
          <w:b/>
          <w:bCs/>
        </w:rPr>
        <w:t>1、待宰圈恶臭气体</w:t>
      </w:r>
    </w:p>
    <w:p>
      <w:pPr>
        <w:ind w:firstLine="480"/>
        <w:rPr>
          <w:rFonts w:hint="eastAsia"/>
        </w:rPr>
      </w:pPr>
      <w:r>
        <w:t>待宰圈的</w:t>
      </w:r>
      <w:r>
        <w:rPr>
          <w:color w:val="000000"/>
          <w:kern w:val="0"/>
          <w:lang w:bidi="ar"/>
        </w:rPr>
        <w:t>恶臭主要来自羊</w:t>
      </w:r>
      <w:r>
        <w:rPr>
          <w:rFonts w:hint="eastAsia"/>
          <w:color w:val="000000"/>
          <w:kern w:val="0"/>
          <w:lang w:bidi="ar"/>
        </w:rPr>
        <w:t>粪污中</w:t>
      </w:r>
      <w:r>
        <w:rPr>
          <w:color w:val="000000"/>
          <w:kern w:val="0"/>
          <w:lang w:bidi="ar"/>
        </w:rPr>
        <w:t>产生的NH</w:t>
      </w:r>
      <w:r>
        <w:rPr>
          <w:color w:val="000000"/>
          <w:kern w:val="0"/>
          <w:szCs w:val="12"/>
          <w:vertAlign w:val="subscript"/>
          <w:lang w:bidi="ar"/>
        </w:rPr>
        <w:t>3</w:t>
      </w:r>
      <w:r>
        <w:rPr>
          <w:color w:val="000000"/>
          <w:kern w:val="0"/>
          <w:lang w:bidi="ar"/>
        </w:rPr>
        <w:t>、H</w:t>
      </w:r>
      <w:r>
        <w:rPr>
          <w:color w:val="000000"/>
          <w:kern w:val="0"/>
          <w:szCs w:val="12"/>
          <w:vertAlign w:val="subscript"/>
          <w:lang w:bidi="ar"/>
        </w:rPr>
        <w:t>2</w:t>
      </w:r>
      <w:r>
        <w:rPr>
          <w:color w:val="000000"/>
          <w:kern w:val="0"/>
          <w:lang w:bidi="ar"/>
        </w:rPr>
        <w:t>S等恶臭气体</w:t>
      </w:r>
      <w:r>
        <w:rPr>
          <w:rFonts w:hint="eastAsia"/>
          <w:color w:val="000000"/>
          <w:kern w:val="0"/>
          <w:lang w:bidi="ar"/>
        </w:rPr>
        <w:t>，这部分</w:t>
      </w:r>
      <w:r>
        <w:rPr>
          <w:color w:val="000000"/>
          <w:kern w:val="0"/>
          <w:lang w:bidi="ar"/>
        </w:rPr>
        <w:t>恶臭气体</w:t>
      </w:r>
      <w:r>
        <w:rPr>
          <w:rFonts w:hint="eastAsia"/>
          <w:color w:val="000000"/>
          <w:kern w:val="0"/>
          <w:lang w:bidi="ar"/>
        </w:rPr>
        <w:t>收集难度大，因此为无组织排放。为了防止</w:t>
      </w:r>
      <w:r>
        <w:rPr>
          <w:color w:val="000000"/>
          <w:kern w:val="0"/>
          <w:lang w:bidi="ar"/>
        </w:rPr>
        <w:t>恶臭气体</w:t>
      </w:r>
      <w:r>
        <w:rPr>
          <w:rFonts w:hint="eastAsia"/>
          <w:color w:val="000000"/>
          <w:kern w:val="0"/>
          <w:lang w:bidi="ar"/>
        </w:rPr>
        <w:t>对周边环境造成影响，</w:t>
      </w:r>
      <w:r>
        <w:rPr>
          <w:rFonts w:hint="eastAsia"/>
          <w:b/>
          <w:bCs/>
          <w:color w:val="000000"/>
          <w:kern w:val="0"/>
          <w:lang w:bidi="ar"/>
        </w:rPr>
        <w:t>本环评要求：</w:t>
      </w:r>
      <w:r>
        <w:rPr>
          <w:rFonts w:hint="eastAsia"/>
        </w:rPr>
        <w:t>本项目待宰圈内肉羊产生的粪便采用干清粪工艺进行收集处理，必须做到日产日清，同时定期对采用自来水对待宰圈进行清洗，其次定期喷洒生物除臭剂来进一步降低</w:t>
      </w:r>
      <w:r>
        <w:rPr>
          <w:color w:val="000000"/>
          <w:kern w:val="0"/>
          <w:lang w:bidi="ar"/>
        </w:rPr>
        <w:t>恶臭气体</w:t>
      </w:r>
      <w:r>
        <w:rPr>
          <w:rFonts w:hint="eastAsia"/>
          <w:color w:val="000000"/>
          <w:kern w:val="0"/>
          <w:lang w:bidi="ar"/>
        </w:rPr>
        <w:t>的排放量</w:t>
      </w:r>
      <w:r>
        <w:rPr>
          <w:rFonts w:hint="eastAsia"/>
        </w:rPr>
        <w:t>。在采取以上措施后</w:t>
      </w:r>
      <w:r>
        <w:t>根据估算结果可知，</w:t>
      </w:r>
      <w:r>
        <w:rPr>
          <w:rFonts w:hint="eastAsia"/>
        </w:rPr>
        <w:t>这部分</w:t>
      </w:r>
      <w:r>
        <w:rPr>
          <w:color w:val="000000"/>
          <w:kern w:val="0"/>
          <w:lang w:bidi="ar"/>
        </w:rPr>
        <w:t>恶臭气体</w:t>
      </w:r>
      <w:r>
        <w:t>经扩散后厂界浓度</w:t>
      </w:r>
      <w:r>
        <w:rPr>
          <w:rFonts w:hint="eastAsia"/>
        </w:rPr>
        <w:t>能够满足</w:t>
      </w:r>
      <w:r>
        <w:t>《恶臭污染物排放标准》（GB14554-93）表1中新扩改建厂界二级标准限值</w:t>
      </w:r>
      <w:r>
        <w:rPr>
          <w:rFonts w:hint="eastAsia"/>
        </w:rPr>
        <w:t>要求。同时查阅《排污许可证申请与核发技术规范 农副食品加工工业—屠宰及肉类加工工业》（HJ860.3—2018）“表3屠宰及肉类加工工业排污单位废气产污环节、污染控制项目、排放形式及污染治理设施一览表”可知（具体情况详见表5.1），拟建项目对待宰圈恶臭气体的治理方式能够满足该技术规范要求（参照宰前准备工段）。综上，待宰圈无组织恶臭气体排放对周边大气环境影响可接受，治理措施是可行。</w:t>
      </w:r>
    </w:p>
    <w:p>
      <w:pPr>
        <w:bidi w:val="0"/>
        <w:rPr>
          <w:rFonts w:hint="eastAsia"/>
        </w:rPr>
      </w:pPr>
    </w:p>
    <w:p>
      <w:pPr>
        <w:bidi w:val="0"/>
        <w:rPr>
          <w:rFonts w:hint="eastAsia"/>
        </w:rPr>
      </w:pPr>
    </w:p>
    <w:p>
      <w:pPr>
        <w:bidi w:val="0"/>
        <w:rPr>
          <w:rFonts w:hint="eastAsia"/>
        </w:rPr>
      </w:pPr>
    </w:p>
    <w:p>
      <w:pPr>
        <w:bidi w:val="0"/>
        <w:rPr>
          <w:rFonts w:hint="eastAsia"/>
        </w:rPr>
      </w:pPr>
    </w:p>
    <w:p>
      <w:pPr>
        <w:bidi w:val="0"/>
        <w:sectPr>
          <w:pgSz w:w="11906" w:h="16838"/>
          <w:pgMar w:top="1440" w:right="1080" w:bottom="1440" w:left="1080" w:header="964" w:footer="737" w:gutter="0"/>
          <w:pgBorders>
            <w:top w:val="none" w:sz="0" w:space="0"/>
            <w:left w:val="none" w:sz="0" w:space="0"/>
            <w:bottom w:val="none" w:sz="0" w:space="0"/>
            <w:right w:val="none" w:sz="0" w:space="0"/>
          </w:pgBorders>
          <w:cols w:space="425" w:num="1"/>
          <w:docGrid w:type="lines" w:linePitch="312" w:charSpace="0"/>
        </w:sectPr>
      </w:pPr>
    </w:p>
    <w:p>
      <w:pPr>
        <w:spacing w:line="240" w:lineRule="auto"/>
        <w:ind w:firstLine="482"/>
        <w:jc w:val="center"/>
        <w:rPr>
          <w:rFonts w:hint="default" w:eastAsia="宋体"/>
          <w:b/>
          <w:bCs/>
          <w:lang w:val="en-US" w:eastAsia="zh-CN"/>
        </w:rPr>
      </w:pPr>
      <w:r>
        <w:rPr>
          <w:rFonts w:hint="eastAsia"/>
          <w:b/>
          <w:bCs/>
        </w:rPr>
        <w:t>表</w:t>
      </w:r>
      <w:r>
        <w:rPr>
          <w:rFonts w:hint="eastAsia"/>
          <w:b/>
          <w:bCs/>
          <w:lang w:val="en-US" w:eastAsia="zh-CN"/>
        </w:rPr>
        <w:t>6</w:t>
      </w:r>
      <w:r>
        <w:rPr>
          <w:rFonts w:hint="eastAsia"/>
          <w:b/>
          <w:bCs/>
        </w:rPr>
        <w:t xml:space="preserve">.6    </w:t>
      </w:r>
      <w:r>
        <w:rPr>
          <w:rFonts w:hint="eastAsia"/>
          <w:b/>
          <w:bCs/>
          <w:lang w:val="en-US" w:eastAsia="zh-CN"/>
        </w:rPr>
        <w:t>本项目与</w:t>
      </w:r>
      <w:r>
        <w:rPr>
          <w:rFonts w:hint="eastAsia"/>
          <w:b/>
          <w:bCs/>
        </w:rPr>
        <w:t>HJ860.3—2018规范中</w:t>
      </w:r>
      <w:r>
        <w:rPr>
          <w:rFonts w:hint="eastAsia"/>
          <w:b/>
          <w:bCs/>
          <w:lang w:val="en-US" w:eastAsia="zh-CN"/>
        </w:rPr>
        <w:t>推荐的</w:t>
      </w:r>
      <w:r>
        <w:rPr>
          <w:rFonts w:hint="eastAsia"/>
          <w:b/>
          <w:bCs/>
        </w:rPr>
        <w:t>污染治理设施</w:t>
      </w:r>
      <w:r>
        <w:rPr>
          <w:rFonts w:hint="eastAsia"/>
          <w:b/>
          <w:bCs/>
          <w:lang w:val="en-US" w:eastAsia="zh-CN"/>
        </w:rPr>
        <w:t>对对照表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1335"/>
        <w:gridCol w:w="1615"/>
        <w:gridCol w:w="855"/>
        <w:gridCol w:w="1317"/>
        <w:gridCol w:w="882"/>
        <w:gridCol w:w="917"/>
        <w:gridCol w:w="1126"/>
        <w:gridCol w:w="6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5000" w:type="pct"/>
            <w:gridSpan w:val="9"/>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《排污许可证申请与核发技术规范 农副食品加工工业—屠宰及肉类加工工业》（HJ860.3—2018）中</w:t>
            </w:r>
            <w:r>
              <w:rPr>
                <w:rFonts w:hint="default" w:ascii="Times New Roman" w:hAnsi="Times New Roman" w:eastAsia="宋体" w:cs="Times New Roman"/>
                <w:b/>
                <w:bCs/>
                <w:sz w:val="21"/>
                <w:szCs w:val="21"/>
                <w:lang w:val="en-US" w:eastAsia="zh-CN"/>
              </w:rPr>
              <w:t>推荐的</w:t>
            </w:r>
            <w:r>
              <w:rPr>
                <w:rFonts w:hint="default" w:ascii="Times New Roman" w:hAnsi="Times New Roman" w:eastAsia="宋体" w:cs="Times New Roman"/>
                <w:b/>
                <w:bCs/>
                <w:sz w:val="21"/>
                <w:szCs w:val="21"/>
              </w:rPr>
              <w:t>污染治理设施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30" w:type="pct"/>
            <w:gridSpan w:val="2"/>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生产单元</w:t>
            </w:r>
          </w:p>
        </w:tc>
        <w:tc>
          <w:tcPr>
            <w:tcW w:w="542"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生产设施</w:t>
            </w:r>
          </w:p>
        </w:tc>
        <w:tc>
          <w:tcPr>
            <w:tcW w:w="287"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废气产污环节</w:t>
            </w:r>
          </w:p>
        </w:tc>
        <w:tc>
          <w:tcPr>
            <w:tcW w:w="442"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污染控制</w:t>
            </w:r>
          </w:p>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项目</w:t>
            </w:r>
          </w:p>
        </w:tc>
        <w:tc>
          <w:tcPr>
            <w:tcW w:w="296"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排放</w:t>
            </w:r>
          </w:p>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形式</w:t>
            </w:r>
          </w:p>
        </w:tc>
        <w:tc>
          <w:tcPr>
            <w:tcW w:w="308"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排放口类型</w:t>
            </w:r>
          </w:p>
        </w:tc>
        <w:tc>
          <w:tcPr>
            <w:tcW w:w="378"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执行排放标准a</w:t>
            </w:r>
          </w:p>
        </w:tc>
        <w:tc>
          <w:tcPr>
            <w:tcW w:w="201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污染治理设施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30" w:type="pct"/>
            <w:gridSpan w:val="2"/>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542"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287"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442"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296"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308"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378"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b/>
                <w:bCs/>
                <w:sz w:val="21"/>
                <w:szCs w:val="21"/>
              </w:rPr>
            </w:pPr>
          </w:p>
        </w:tc>
        <w:tc>
          <w:tcPr>
            <w:tcW w:w="2014"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rPr>
              <w:t>污染治理设施名称及工艺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2" w:type="pct"/>
            <w:vMerge w:val="restar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屠宰</w:t>
            </w:r>
          </w:p>
        </w:tc>
        <w:tc>
          <w:tcPr>
            <w:tcW w:w="44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宰前准备</w:t>
            </w:r>
          </w:p>
        </w:tc>
        <w:tc>
          <w:tcPr>
            <w:tcW w:w="5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待宰圈</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恶臭</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气体</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氨、硫化氢、臭气浓度</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GB14554</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清洗；及时清运粪便；集中收集恶臭气体经处理（喷淋、生物除臭、活性碳吸附、UV高效光解除臭等）后经排气筒排放；其他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2"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44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刺杀放血</w:t>
            </w:r>
          </w:p>
        </w:tc>
        <w:tc>
          <w:tcPr>
            <w:tcW w:w="5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集血槽</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恶臭</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气体</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氨、硫化氢、臭气浓度</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GB14554</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清洗；增加通风次数；集中收集恶臭气体经处理（喷淋塔除臭、活性炭吸附等）后经排气筒排放；其他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2"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44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煺毛或剥皮</w:t>
            </w:r>
          </w:p>
        </w:tc>
        <w:tc>
          <w:tcPr>
            <w:tcW w:w="5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蒸汽烫毛设备或浸烫池、剥皮设备、脱毛设备</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恶臭</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气体</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氨、硫化氢、臭气浓度</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GB14554</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清洗；增加通风次数；集中收集恶臭气体经处理（喷淋塔除臭、活性炭吸附等）后经排气筒排放；其他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282" w:type="pct"/>
            <w:vMerge w:val="continue"/>
            <w:tcBorders>
              <w:tl2br w:val="nil"/>
              <w:tr2bl w:val="nil"/>
            </w:tcBorders>
            <w:vAlign w:val="center"/>
          </w:tcPr>
          <w:p>
            <w:pPr>
              <w:bidi w:val="0"/>
              <w:spacing w:line="240" w:lineRule="auto"/>
              <w:jc w:val="center"/>
              <w:rPr>
                <w:rFonts w:hint="default" w:ascii="Times New Roman" w:hAnsi="Times New Roman" w:eastAsia="宋体" w:cs="Times New Roman"/>
                <w:sz w:val="21"/>
                <w:szCs w:val="21"/>
              </w:rPr>
            </w:pPr>
          </w:p>
        </w:tc>
        <w:tc>
          <w:tcPr>
            <w:tcW w:w="44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开膛解体</w:t>
            </w:r>
          </w:p>
        </w:tc>
        <w:tc>
          <w:tcPr>
            <w:tcW w:w="5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劈半设备</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恶臭</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气体</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氨、硫化氢、臭气浓度</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GB14554</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清洗；增加通风次数；集中收集恶臭气体经处理（喷淋塔除臭、活性炭吸附等）后经排气筒排放；其他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肉制品加工</w:t>
            </w:r>
          </w:p>
        </w:tc>
        <w:tc>
          <w:tcPr>
            <w:tcW w:w="44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热加工</w:t>
            </w:r>
          </w:p>
        </w:tc>
        <w:tc>
          <w:tcPr>
            <w:tcW w:w="5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油炸锅</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油炸</w:t>
            </w:r>
          </w:p>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油烟</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一般排放口</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GB18483</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静电油烟处理器；湿法油烟处理器（油烟滤清机、水浴式油烟处理器、旋流板塔油烟处理器、文氏管油烟处理器）；其他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9"/>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bCs/>
                <w:sz w:val="21"/>
                <w:szCs w:val="21"/>
                <w:lang w:val="en-US" w:eastAsia="zh-CN"/>
              </w:rPr>
              <w:t>本项目采取的污染治理设施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屠宰</w:t>
            </w:r>
          </w:p>
        </w:tc>
        <w:tc>
          <w:tcPr>
            <w:tcW w:w="447"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宰前准备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刺杀放血</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开膛解体</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煺毛或剥皮</w:t>
            </w:r>
          </w:p>
        </w:tc>
        <w:tc>
          <w:tcPr>
            <w:tcW w:w="542" w:type="pct"/>
            <w:tcBorders>
              <w:tl2br w:val="nil"/>
              <w:tr2bl w:val="nil"/>
            </w:tcBorders>
            <w:vAlign w:val="center"/>
          </w:tcPr>
          <w:p>
            <w:pPr>
              <w:bidi w:val="0"/>
              <w:spacing w:line="240" w:lineRule="auto"/>
              <w:ind w:left="0" w:leftChars="0" w:firstLine="0" w:firstLineChars="0"/>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待宰圈</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集血槽</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劈半</w:t>
            </w:r>
            <w:r>
              <w:rPr>
                <w:rFonts w:hint="default" w:ascii="Times New Roman" w:hAnsi="Times New Roman" w:eastAsia="宋体" w:cs="Times New Roman"/>
                <w:sz w:val="21"/>
                <w:szCs w:val="21"/>
                <w:lang w:val="en-US" w:eastAsia="zh-CN"/>
              </w:rPr>
              <w:t>及分割</w:t>
            </w:r>
            <w:r>
              <w:rPr>
                <w:rFonts w:hint="default" w:ascii="Times New Roman" w:hAnsi="Times New Roman" w:eastAsia="宋体" w:cs="Times New Roman"/>
                <w:sz w:val="21"/>
                <w:szCs w:val="21"/>
              </w:rPr>
              <w:t>设备</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煺毛</w:t>
            </w:r>
            <w:r>
              <w:rPr>
                <w:rFonts w:hint="eastAsia" w:ascii="Times New Roman" w:hAnsi="Times New Roman" w:eastAsia="宋体" w:cs="Times New Roman"/>
                <w:sz w:val="21"/>
                <w:szCs w:val="21"/>
                <w:lang w:val="en-US" w:eastAsia="zh-CN"/>
              </w:rPr>
              <w:t>设备</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剥皮</w:t>
            </w:r>
            <w:r>
              <w:rPr>
                <w:rFonts w:hint="eastAsia" w:ascii="Times New Roman" w:hAnsi="Times New Roman" w:eastAsia="宋体" w:cs="Times New Roman"/>
                <w:sz w:val="21"/>
                <w:szCs w:val="21"/>
                <w:lang w:val="en-US" w:eastAsia="zh-CN"/>
              </w:rPr>
              <w:t>设备</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恶臭</w:t>
            </w:r>
          </w:p>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气体</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氨、硫化氢、臭气浓度</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有组织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GB14554</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屠宰</w:t>
            </w:r>
            <w:r>
              <w:rPr>
                <w:rFonts w:hint="default" w:ascii="Times New Roman" w:hAnsi="Times New Roman" w:eastAsia="宋体" w:cs="Times New Roman"/>
                <w:sz w:val="21"/>
                <w:szCs w:val="21"/>
                <w:lang w:val="en-US" w:eastAsia="zh-CN"/>
              </w:rPr>
              <w:t>设备定期</w:t>
            </w:r>
            <w:r>
              <w:rPr>
                <w:rFonts w:hint="default" w:ascii="Times New Roman" w:hAnsi="Times New Roman" w:eastAsia="宋体" w:cs="Times New Roman"/>
                <w:sz w:val="21"/>
                <w:szCs w:val="21"/>
              </w:rPr>
              <w:t>清洗</w:t>
            </w:r>
            <w:r>
              <w:rPr>
                <w:rFonts w:hint="default"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lang w:val="en-US" w:eastAsia="zh-CN"/>
              </w:rPr>
              <w:t>屠宰车间安装废气收集装置</w:t>
            </w:r>
            <w:r>
              <w:rPr>
                <w:rFonts w:hint="default" w:ascii="Times New Roman" w:hAnsi="Times New Roman" w:eastAsia="宋体" w:cs="Times New Roman"/>
                <w:sz w:val="21"/>
                <w:szCs w:val="21"/>
              </w:rPr>
              <w:t>集中收集</w:t>
            </w:r>
            <w:r>
              <w:rPr>
                <w:rFonts w:hint="default" w:ascii="Times New Roman" w:hAnsi="Times New Roman" w:eastAsia="宋体" w:cs="Times New Roman"/>
                <w:sz w:val="21"/>
                <w:szCs w:val="21"/>
                <w:lang w:val="en-US" w:eastAsia="zh-CN"/>
              </w:rPr>
              <w:t>后</w:t>
            </w:r>
            <w:r>
              <w:rPr>
                <w:rFonts w:hint="default" w:ascii="Times New Roman" w:hAnsi="Times New Roman" w:eastAsia="宋体" w:cs="Times New Roman"/>
                <w:sz w:val="21"/>
                <w:szCs w:val="21"/>
              </w:rPr>
              <w:t>经处活性炭吸附</w:t>
            </w:r>
            <w:r>
              <w:rPr>
                <w:rFonts w:hint="default" w:ascii="Times New Roman" w:hAnsi="Times New Roman" w:eastAsia="宋体" w:cs="Times New Roman"/>
                <w:sz w:val="21"/>
                <w:szCs w:val="21"/>
                <w:lang w:val="en-US" w:eastAsia="zh-CN"/>
              </w:rPr>
              <w:t>装置处理</w:t>
            </w:r>
            <w:r>
              <w:rPr>
                <w:rFonts w:hint="default" w:ascii="Times New Roman" w:hAnsi="Times New Roman" w:eastAsia="宋体" w:cs="Times New Roman"/>
                <w:sz w:val="21"/>
                <w:szCs w:val="21"/>
              </w:rPr>
              <w:t>后经</w:t>
            </w:r>
            <w:r>
              <w:rPr>
                <w:rFonts w:hint="default" w:ascii="Times New Roman" w:hAnsi="Times New Roman" w:eastAsia="宋体" w:cs="Times New Roman"/>
                <w:sz w:val="21"/>
                <w:szCs w:val="21"/>
                <w:lang w:val="en-US" w:eastAsia="zh-CN"/>
              </w:rPr>
              <w:t>15m高</w:t>
            </w:r>
            <w:r>
              <w:rPr>
                <w:rFonts w:hint="default" w:ascii="Times New Roman" w:hAnsi="Times New Roman" w:eastAsia="宋体" w:cs="Times New Roman"/>
                <w:sz w:val="21"/>
                <w:szCs w:val="21"/>
              </w:rPr>
              <w:t>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肉制品加工</w:t>
            </w:r>
          </w:p>
        </w:tc>
        <w:tc>
          <w:tcPr>
            <w:tcW w:w="44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热加工</w:t>
            </w:r>
          </w:p>
        </w:tc>
        <w:tc>
          <w:tcPr>
            <w:tcW w:w="5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油炸锅</w:t>
            </w:r>
          </w:p>
        </w:tc>
        <w:tc>
          <w:tcPr>
            <w:tcW w:w="287"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油炸</w:t>
            </w:r>
          </w:p>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废气</w:t>
            </w:r>
          </w:p>
        </w:tc>
        <w:tc>
          <w:tcPr>
            <w:tcW w:w="442"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油烟</w:t>
            </w:r>
          </w:p>
        </w:tc>
        <w:tc>
          <w:tcPr>
            <w:tcW w:w="296"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有组织</w:t>
            </w:r>
          </w:p>
        </w:tc>
        <w:tc>
          <w:tcPr>
            <w:tcW w:w="30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一般排放口</w:t>
            </w:r>
          </w:p>
        </w:tc>
        <w:tc>
          <w:tcPr>
            <w:tcW w:w="378" w:type="pct"/>
            <w:tcBorders>
              <w:tl2br w:val="nil"/>
              <w:tr2bl w:val="nil"/>
            </w:tcBorders>
            <w:vAlign w:val="center"/>
          </w:tcPr>
          <w:p>
            <w:pPr>
              <w:bidi w:val="0"/>
              <w:spacing w:line="240" w:lineRule="auto"/>
              <w:ind w:left="0" w:lef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GB18483</w:t>
            </w:r>
          </w:p>
        </w:tc>
        <w:tc>
          <w:tcPr>
            <w:tcW w:w="2014" w:type="pct"/>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静电油烟处理装置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000" w:type="pct"/>
            <w:gridSpan w:val="9"/>
            <w:tcBorders>
              <w:tl2br w:val="nil"/>
              <w:tr2bl w:val="nil"/>
            </w:tcBorders>
            <w:vAlign w:val="center"/>
          </w:tcPr>
          <w:p>
            <w:pPr>
              <w:bidi w:val="0"/>
              <w:spacing w:line="240" w:lineRule="auto"/>
              <w:ind w:left="0" w:leftChars="0" w:firstLine="0" w:firstLineChars="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注：a地方有更严格排放标准要求的，从其规定。张掖地区无更严格排放标准要求，因此执行GB14554中的要求。</w:t>
            </w:r>
          </w:p>
        </w:tc>
      </w:tr>
    </w:tbl>
    <w:p>
      <w:pPr>
        <w:bidi w:val="0"/>
        <w:rPr>
          <w:rFonts w:hint="default"/>
          <w:lang w:val="en-US" w:eastAsia="zh-CN"/>
        </w:rPr>
      </w:pPr>
      <w:r>
        <w:rPr>
          <w:rFonts w:hint="eastAsia"/>
          <w:lang w:val="en-US" w:eastAsia="zh-CN"/>
        </w:rPr>
        <w:t>有上表可知，本项目采取的废气治理措施能够满足《排污许可证申请与核发技术规范 农副食品加工工业—屠宰及肉类加工工业》（HJ860.3—2018）中的可行技术治理要求。</w:t>
      </w:r>
    </w:p>
    <w:p>
      <w:pPr>
        <w:pStyle w:val="2"/>
        <w:sectPr>
          <w:pgSz w:w="16838" w:h="11906" w:orient="landscape"/>
          <w:pgMar w:top="1440" w:right="1080" w:bottom="1440" w:left="1080" w:header="964" w:footer="624" w:gutter="0"/>
          <w:pgBorders>
            <w:top w:val="none" w:sz="0" w:space="0"/>
            <w:left w:val="none" w:sz="0" w:space="0"/>
            <w:bottom w:val="none" w:sz="0" w:space="0"/>
            <w:right w:val="none" w:sz="0" w:space="0"/>
          </w:pgBorders>
          <w:cols w:space="425" w:num="1"/>
          <w:docGrid w:type="lines" w:linePitch="312" w:charSpace="0"/>
        </w:sectPr>
      </w:pPr>
    </w:p>
    <w:p>
      <w:pPr>
        <w:ind w:firstLine="482"/>
        <w:rPr>
          <w:color w:val="auto"/>
        </w:rPr>
      </w:pPr>
      <w:r>
        <w:rPr>
          <w:rFonts w:hint="eastAsia"/>
          <w:b/>
          <w:bCs/>
          <w:color w:val="auto"/>
        </w:rPr>
        <w:t>2、肉羊精深加工车</w:t>
      </w:r>
      <w:r>
        <w:rPr>
          <w:b/>
          <w:bCs/>
          <w:color w:val="auto"/>
        </w:rPr>
        <w:t>间恶臭</w:t>
      </w:r>
      <w:r>
        <w:rPr>
          <w:rFonts w:hint="eastAsia"/>
          <w:b/>
          <w:bCs/>
          <w:color w:val="auto"/>
        </w:rPr>
        <w:t>气体</w:t>
      </w:r>
    </w:p>
    <w:p>
      <w:pPr>
        <w:ind w:firstLine="480"/>
        <w:rPr>
          <w:color w:val="auto"/>
        </w:rPr>
      </w:pPr>
      <w:r>
        <w:rPr>
          <w:rFonts w:hint="eastAsia"/>
          <w:color w:val="auto"/>
        </w:rPr>
        <w:t>肉羊精深加工车间包括屠宰区和副产品加工区，肉羊精深加工车间恶臭气体是指肉羊屠宰后的牲畜湿皮、血、白内脏内容物、粪尿等的臭气混杂在一起，产生刺鼻的腥臭味。为了防止肉羊精深加工车间恶臭气体逸散对周边环境造成影响，本环评要求：建设在肉羊精深加工车间内设置合理的集气系统，将肉羊精深加工车间内产生的恶臭气体集中收集后通过活性炭吸附装置净化后经15m高排气筒排放，排气量不得小于50000m</w:t>
      </w:r>
      <w:r>
        <w:rPr>
          <w:rFonts w:hint="eastAsia"/>
          <w:color w:val="auto"/>
          <w:vertAlign w:val="superscript"/>
        </w:rPr>
        <w:t>3</w:t>
      </w:r>
      <w:r>
        <w:rPr>
          <w:rFonts w:hint="eastAsia"/>
          <w:color w:val="auto"/>
        </w:rPr>
        <w:t>/h，活性炭吸附装置处理效率不低于70%，采取以上措施后肉羊精深加工车间排气筒NH</w:t>
      </w:r>
      <w:r>
        <w:rPr>
          <w:rFonts w:hint="eastAsia"/>
          <w:color w:val="auto"/>
          <w:vertAlign w:val="subscript"/>
        </w:rPr>
        <w:t>3</w:t>
      </w:r>
      <w:r>
        <w:rPr>
          <w:rFonts w:hint="eastAsia"/>
          <w:color w:val="auto"/>
        </w:rPr>
        <w:t>排放速率为0.027kg/h，H</w:t>
      </w:r>
      <w:r>
        <w:rPr>
          <w:rFonts w:hint="eastAsia"/>
          <w:color w:val="auto"/>
          <w:vertAlign w:val="subscript"/>
        </w:rPr>
        <w:t>2</w:t>
      </w:r>
      <w:r>
        <w:rPr>
          <w:rFonts w:hint="eastAsia"/>
          <w:color w:val="auto"/>
        </w:rPr>
        <w:t>S排放速率为0.0081kg/h。NH</w:t>
      </w:r>
      <w:r>
        <w:rPr>
          <w:rFonts w:hint="eastAsia"/>
          <w:color w:val="auto"/>
          <w:vertAlign w:val="subscript"/>
        </w:rPr>
        <w:t>3</w:t>
      </w:r>
      <w:r>
        <w:rPr>
          <w:rFonts w:hint="eastAsia"/>
          <w:color w:val="auto"/>
        </w:rPr>
        <w:t>、H</w:t>
      </w:r>
      <w:r>
        <w:rPr>
          <w:rFonts w:hint="eastAsia"/>
          <w:color w:val="auto"/>
          <w:vertAlign w:val="subscript"/>
        </w:rPr>
        <w:t>2</w:t>
      </w:r>
      <w:r>
        <w:rPr>
          <w:rFonts w:hint="eastAsia"/>
          <w:color w:val="auto"/>
        </w:rPr>
        <w:t>S的排放速率能够满足</w:t>
      </w:r>
      <w:r>
        <w:rPr>
          <w:color w:val="auto"/>
        </w:rPr>
        <w:t>《恶臭污染物排放标准》（GB14554-93）表</w:t>
      </w:r>
      <w:r>
        <w:rPr>
          <w:rFonts w:hint="eastAsia"/>
          <w:color w:val="auto"/>
        </w:rPr>
        <w:t>2</w:t>
      </w:r>
      <w:r>
        <w:rPr>
          <w:color w:val="auto"/>
        </w:rPr>
        <w:t>中</w:t>
      </w:r>
      <w:r>
        <w:rPr>
          <w:rFonts w:hint="eastAsia"/>
          <w:color w:val="auto"/>
        </w:rPr>
        <w:t>的</w:t>
      </w:r>
      <w:r>
        <w:rPr>
          <w:rFonts w:hint="eastAsia" w:ascii="Times New Roman" w:hAnsi="Times New Roman" w:cs="Times New Roman"/>
          <w:bCs/>
          <w:kern w:val="2"/>
          <w:lang w:val="en-US" w:eastAsia="zh-CN"/>
        </w:rPr>
        <w:t>限值</w:t>
      </w:r>
      <w:r>
        <w:rPr>
          <w:rFonts w:hint="eastAsia"/>
          <w:color w:val="auto"/>
        </w:rPr>
        <w:t>要求（15m高排气筒，H</w:t>
      </w:r>
      <w:r>
        <w:rPr>
          <w:rFonts w:hint="eastAsia"/>
          <w:color w:val="auto"/>
          <w:vertAlign w:val="subscript"/>
        </w:rPr>
        <w:t>2</w:t>
      </w:r>
      <w:r>
        <w:rPr>
          <w:rFonts w:hint="eastAsia"/>
          <w:color w:val="auto"/>
        </w:rPr>
        <w:t>S排放速率0.33kg/h，NH</w:t>
      </w:r>
      <w:r>
        <w:rPr>
          <w:rFonts w:hint="eastAsia"/>
          <w:color w:val="auto"/>
          <w:vertAlign w:val="subscript"/>
        </w:rPr>
        <w:t>3</w:t>
      </w:r>
      <w:r>
        <w:rPr>
          <w:rFonts w:hint="eastAsia"/>
          <w:color w:val="auto"/>
        </w:rPr>
        <w:t>排放速率4.9kg/h）。同时查阅《排污许可证申请与核发技术规范 农副食品加工工业—屠宰及肉类加工工业》（HJ860.3—2018）“表3屠宰及肉类加工工业排污单位废气产污环节、污染控制项目、排放形式及污染治理设施一览表”可知（具体情况详见表5.1），拟建项目对肉羊精深加工车间恶臭气体的治理方式能够满足该技术规范要求（参照</w:t>
      </w:r>
      <w:r>
        <w:rPr>
          <w:color w:val="auto"/>
        </w:rPr>
        <w:t>刺杀放血</w:t>
      </w:r>
      <w:r>
        <w:rPr>
          <w:rFonts w:hint="eastAsia"/>
          <w:color w:val="auto"/>
        </w:rPr>
        <w:t>、煺毛或剥皮、开膛解体工段）。综上，待宰圈无组织恶臭气体排放对周边大气环境影响可接受，治理措施是可行。</w:t>
      </w:r>
    </w:p>
    <w:p>
      <w:pPr>
        <w:ind w:firstLine="482"/>
      </w:pPr>
      <w:r>
        <w:rPr>
          <w:rFonts w:hint="eastAsia"/>
          <w:b/>
          <w:bCs/>
        </w:rPr>
        <w:t>3、牛羊预制品生产线烹饪油烟</w:t>
      </w:r>
    </w:p>
    <w:p>
      <w:pPr>
        <w:ind w:firstLine="480"/>
        <w:rPr>
          <w:snapToGrid w:val="0"/>
          <w:kern w:val="0"/>
        </w:rPr>
      </w:pPr>
      <w:r>
        <w:t>本项目</w:t>
      </w:r>
      <w:r>
        <w:rPr>
          <w:rFonts w:hint="eastAsia"/>
        </w:rPr>
        <w:t>牛羊预制品生产线在进行牛羊预制品炒制时会产生一定量的油烟，为了防止油烟逸散对周周边环境造成影响，本环评要求：</w:t>
      </w:r>
      <w:r>
        <w:t>建设单位</w:t>
      </w:r>
      <w:r>
        <w:rPr>
          <w:rFonts w:hint="eastAsia"/>
        </w:rPr>
        <w:t>在每口炒锅上方</w:t>
      </w:r>
      <w:r>
        <w:t>安装静电油烟处理</w:t>
      </w:r>
      <w:r>
        <w:rPr>
          <w:rFonts w:hint="eastAsia"/>
        </w:rPr>
        <w:t>装置（共4套）</w:t>
      </w:r>
      <w:r>
        <w:t>，</w:t>
      </w:r>
      <w:r>
        <w:rPr>
          <w:rFonts w:hint="eastAsia"/>
        </w:rPr>
        <w:t>产生的油烟经</w:t>
      </w:r>
      <w:r>
        <w:t>静电油烟处理</w:t>
      </w:r>
      <w:r>
        <w:rPr>
          <w:rFonts w:hint="eastAsia"/>
        </w:rPr>
        <w:t>装置处理后汇集到1根排气筒中，然后引至生产车间楼顶排放，每套</w:t>
      </w:r>
      <w:r>
        <w:t>静电油烟</w:t>
      </w:r>
      <w:r>
        <w:rPr>
          <w:rFonts w:hint="eastAsia"/>
        </w:rPr>
        <w:t>器风机分量为20000m</w:t>
      </w:r>
      <w:r>
        <w:rPr>
          <w:rFonts w:hint="eastAsia"/>
          <w:vertAlign w:val="superscript"/>
        </w:rPr>
        <w:t>3</w:t>
      </w:r>
      <w:r>
        <w:rPr>
          <w:rFonts w:hint="eastAsia"/>
        </w:rPr>
        <w:t>/h，</w:t>
      </w:r>
      <w:r>
        <w:t>净化效率</w:t>
      </w:r>
      <w:r>
        <w:rPr>
          <w:rFonts w:hint="eastAsia"/>
        </w:rPr>
        <w:t>不低于90</w:t>
      </w:r>
      <w:r>
        <w:t>%计，</w:t>
      </w:r>
      <w:r>
        <w:rPr>
          <w:rFonts w:hint="eastAsia"/>
        </w:rPr>
        <w:t>采取以上措施后牛羊预制品菜生产线炒制工段油烟浓度为1.05</w:t>
      </w:r>
      <w:r>
        <w:t>mg/m</w:t>
      </w:r>
      <w:r>
        <w:rPr>
          <w:vertAlign w:val="superscript"/>
        </w:rPr>
        <w:t>3</w:t>
      </w:r>
      <w:r>
        <w:rPr>
          <w:rFonts w:hint="eastAsia"/>
        </w:rPr>
        <w:t>，能够</w:t>
      </w:r>
      <w:r>
        <w:t>满足《饮食业油烟排放标准（试行）》（GB18483-2001）中的大型规模标准中的2.0mg/m</w:t>
      </w:r>
      <w:r>
        <w:rPr>
          <w:vertAlign w:val="superscript"/>
        </w:rPr>
        <w:t>3</w:t>
      </w:r>
      <w:r>
        <w:t>的限值要求。</w:t>
      </w:r>
      <w:r>
        <w:rPr>
          <w:rFonts w:hint="eastAsia"/>
        </w:rPr>
        <w:t>同时查阅《排污许可证申请与核发技术规范 农副食品加工工业—屠宰及肉类加工工业》（HJ860.3—2018）“表3屠宰及肉类加工工业排污单位废气产污环节、污染控制项目、排放形式及污染治理设施一览表”可知（具体情况详见表5.1），拟建项目对肉羊精深加工车间恶臭气体的治理方式能够满足该技术规范要求（参照热加工工段/油炸锅）。综上，牛羊预制品生产线烹饪油烟排放对周边大气环境影响可接受，治理措施是可行。</w:t>
      </w:r>
    </w:p>
    <w:p>
      <w:pPr>
        <w:pStyle w:val="6"/>
        <w:ind w:firstLine="482"/>
      </w:pPr>
      <w:bookmarkStart w:id="791" w:name="_Toc7735"/>
      <w:r>
        <w:rPr>
          <w:rFonts w:hint="eastAsia"/>
          <w:lang w:val="en-US" w:eastAsia="zh-CN"/>
        </w:rPr>
        <w:t>6</w:t>
      </w:r>
      <w:r>
        <w:t>.2.</w:t>
      </w:r>
      <w:r>
        <w:rPr>
          <w:rFonts w:hint="eastAsia"/>
        </w:rPr>
        <w:t>3、</w:t>
      </w:r>
      <w:r>
        <w:t>噪声污染防治措施</w:t>
      </w:r>
      <w:bookmarkEnd w:id="791"/>
    </w:p>
    <w:p>
      <w:pPr>
        <w:ind w:firstLine="480"/>
      </w:pPr>
      <w:r>
        <w:t>运营期噪声源主要来自生产设备</w:t>
      </w:r>
      <w:r>
        <w:rPr>
          <w:rFonts w:hint="eastAsia"/>
        </w:rPr>
        <w:t>牵羊机</w:t>
      </w:r>
      <w:r>
        <w:t>、</w:t>
      </w:r>
      <w:r>
        <w:rPr>
          <w:rFonts w:hint="eastAsia"/>
        </w:rPr>
        <w:t>肉羊输送机</w:t>
      </w:r>
      <w:r>
        <w:t>、</w:t>
      </w:r>
      <w:r>
        <w:rPr>
          <w:rFonts w:hint="eastAsia"/>
        </w:rPr>
        <w:t>液压</w:t>
      </w:r>
      <w:r>
        <w:t>剥皮机、</w:t>
      </w:r>
      <w:r>
        <w:rPr>
          <w:rFonts w:hint="eastAsia"/>
        </w:rPr>
        <w:t>自动清洗机、真空包装机、洗肚机、砍排机、全自动搅拌式电炒锅</w:t>
      </w:r>
      <w:r>
        <w:t>以及风机、水泵等等设备，噪声源强在</w:t>
      </w:r>
      <w:r>
        <w:rPr>
          <w:rFonts w:hint="eastAsia"/>
        </w:rPr>
        <w:t>8</w:t>
      </w:r>
      <w:r>
        <w:t>0~9</w:t>
      </w:r>
      <w:r>
        <w:rPr>
          <w:rFonts w:hint="eastAsia"/>
        </w:rPr>
        <w:t>5</w:t>
      </w:r>
      <w:r>
        <w:t>dB</w:t>
      </w:r>
      <w:r>
        <w:rPr>
          <w:rFonts w:hint="eastAsia"/>
        </w:rPr>
        <w:t>（A）</w:t>
      </w:r>
      <w:r>
        <w:t>之间。</w:t>
      </w:r>
      <w:r>
        <w:rPr>
          <w:rFonts w:hint="eastAsia"/>
        </w:rPr>
        <w:t>根据《环境影响评价技术导则 声环境》（HJ2.4—2021）中的要求，噪声污防治染措施如下：</w:t>
      </w:r>
    </w:p>
    <w:p>
      <w:pPr>
        <w:ind w:firstLine="480"/>
      </w:pPr>
      <w:r>
        <w:t>①</w:t>
      </w:r>
      <w:r>
        <w:rPr>
          <w:rFonts w:hint="eastAsia"/>
        </w:rPr>
        <w:t>从设备选型入手，选择性能良好，同时可满足生产需求的低噪设备；</w:t>
      </w:r>
    </w:p>
    <w:p>
      <w:pPr>
        <w:ind w:firstLine="480"/>
      </w:pPr>
      <w:r>
        <w:rPr>
          <w:rFonts w:hint="eastAsia"/>
        </w:rPr>
        <w:t>②设备安装中，通过采用基座减震、加装消声器以及构筑物隔声等措施降低噪声污染；</w:t>
      </w:r>
    </w:p>
    <w:p>
      <w:pPr>
        <w:ind w:firstLine="480"/>
      </w:pPr>
      <w:r>
        <w:rPr>
          <w:rFonts w:hint="eastAsia"/>
        </w:rPr>
        <w:t>③对设备进行定期检修、维护及保养，保证其处于良好运行状态，避免非正常运转情况发生；</w:t>
      </w:r>
    </w:p>
    <w:p>
      <w:pPr>
        <w:ind w:firstLine="480"/>
      </w:pPr>
      <w:r>
        <w:rPr>
          <w:rFonts w:hint="eastAsia"/>
        </w:rPr>
        <w:t>④合理布局，高噪设备也可通过距离减噪等措施降低噪声污染；</w:t>
      </w:r>
    </w:p>
    <w:p>
      <w:pPr>
        <w:ind w:firstLine="480"/>
      </w:pPr>
      <w:r>
        <w:rPr>
          <w:rFonts w:hint="eastAsia"/>
        </w:rPr>
        <w:t>⑤加强厂区绿化，以进一步削减噪声污染；</w:t>
      </w:r>
    </w:p>
    <w:p>
      <w:pPr>
        <w:ind w:firstLine="480"/>
      </w:pPr>
      <w:r>
        <w:rPr>
          <w:rFonts w:hint="eastAsia"/>
        </w:rPr>
        <w:t>⑥为减少待宰圈羊叫声对工作人员及周围环境的影响，建设单位应尽量做到肉羊适时适量拉运暂存，在满足生产需求的情况下，尽量减少待宰圈肉羊数量；同时应减少</w:t>
      </w:r>
      <w:r>
        <w:rPr>
          <w:rFonts w:hint="eastAsia"/>
          <w:lang w:val="en-US" w:eastAsia="zh-CN"/>
        </w:rPr>
        <w:t>外部</w:t>
      </w:r>
      <w:r>
        <w:rPr>
          <w:rFonts w:hint="eastAsia"/>
        </w:rPr>
        <w:t>突发性噪声对待宰圈肉羊的干扰，避免因惊吓而产生不安，增加羊叫的可能性。</w:t>
      </w:r>
    </w:p>
    <w:p>
      <w:pPr>
        <w:ind w:firstLine="480"/>
      </w:pPr>
      <w:r>
        <w:t>通过</w:t>
      </w:r>
      <w:r>
        <w:rPr>
          <w:rFonts w:hint="eastAsia"/>
        </w:rPr>
        <w:t>以上措施，运营期厂界</w:t>
      </w:r>
      <w:r>
        <w:t>噪声可满足《工业企业厂界环境噪声排放标准》（GB12348-2008）中3类区标准。另外，总厂区厂界200km范围内无学校、医院及居民居住区等环境敏感点，项目运营产生的噪声不会对环境产生明显影响。因此，噪声治理措施是可行的。</w:t>
      </w:r>
    </w:p>
    <w:p>
      <w:pPr>
        <w:pStyle w:val="6"/>
        <w:ind w:firstLine="482"/>
      </w:pPr>
      <w:bookmarkStart w:id="792" w:name="_Toc771"/>
      <w:r>
        <w:rPr>
          <w:rFonts w:hint="eastAsia"/>
          <w:lang w:val="en-US" w:eastAsia="zh-CN"/>
        </w:rPr>
        <w:t>6</w:t>
      </w:r>
      <w:r>
        <w:t>.2.4</w:t>
      </w:r>
      <w:r>
        <w:rPr>
          <w:rFonts w:hint="eastAsia"/>
        </w:rPr>
        <w:t>、</w:t>
      </w:r>
      <w:r>
        <w:t>固废污染防治措施</w:t>
      </w:r>
      <w:bookmarkEnd w:id="792"/>
    </w:p>
    <w:p>
      <w:pPr>
        <w:pStyle w:val="7"/>
        <w:ind w:firstLine="482"/>
      </w:pPr>
      <w:r>
        <w:rPr>
          <w:rFonts w:hint="eastAsia"/>
          <w:lang w:val="en-US" w:eastAsia="zh-CN"/>
        </w:rPr>
        <w:t>6</w:t>
      </w:r>
      <w:r>
        <w:t>.2.4.1</w:t>
      </w:r>
      <w:r>
        <w:rPr>
          <w:rFonts w:hint="eastAsia"/>
        </w:rPr>
        <w:t>、</w:t>
      </w:r>
      <w:r>
        <w:t>固废处置方式</w:t>
      </w:r>
    </w:p>
    <w:p>
      <w:pPr>
        <w:ind w:firstLine="482"/>
        <w:rPr>
          <w:b/>
          <w:bCs/>
        </w:rPr>
      </w:pPr>
      <w:r>
        <w:rPr>
          <w:rFonts w:hint="eastAsia"/>
          <w:b/>
          <w:bCs/>
        </w:rPr>
        <w:t>1、羊粪</w:t>
      </w:r>
    </w:p>
    <w:p>
      <w:pPr>
        <w:ind w:firstLine="480"/>
      </w:pPr>
      <w:r>
        <w:rPr>
          <w:rFonts w:hint="eastAsia"/>
        </w:rPr>
        <w:t>肉羊在待宰圈待宰过程中会产生一定量的羊粪，羊粪属于一般固废。羊粪全部日产日清，集中收集后拉运至厂区现有的有机肥生产车间作为原料使用。</w:t>
      </w:r>
    </w:p>
    <w:p>
      <w:pPr>
        <w:ind w:firstLine="482"/>
        <w:rPr>
          <w:b/>
          <w:bCs/>
        </w:rPr>
      </w:pPr>
      <w:r>
        <w:rPr>
          <w:rFonts w:hint="eastAsia"/>
          <w:b/>
          <w:bCs/>
        </w:rPr>
        <w:t>2、屠宰固废</w:t>
      </w:r>
    </w:p>
    <w:p>
      <w:pPr>
        <w:ind w:firstLine="480"/>
      </w:pPr>
      <w:r>
        <w:rPr>
          <w:rFonts w:hint="eastAsia"/>
        </w:rPr>
        <w:t>屠宰固废主要是指羊头蹄烫漂过程中产生的羊毛、羊蹄匣；白内脏处理过程产生的白内脏内容物等。屠宰固废全部为一般固废，屠宰固废全部集中收集后拉运至厂区现有的有机肥生产车间作为原料使用。</w:t>
      </w:r>
    </w:p>
    <w:p>
      <w:pPr>
        <w:ind w:firstLine="482"/>
        <w:rPr>
          <w:b/>
          <w:bCs/>
        </w:rPr>
      </w:pPr>
      <w:r>
        <w:rPr>
          <w:rFonts w:hint="eastAsia"/>
          <w:b/>
          <w:bCs/>
        </w:rPr>
        <w:t>3、酱卤及蒸煮固废</w:t>
      </w:r>
    </w:p>
    <w:p>
      <w:pPr>
        <w:ind w:firstLine="480"/>
        <w:rPr>
          <w:rFonts w:hint="default" w:eastAsia="宋体"/>
          <w:lang w:val="en-US" w:eastAsia="zh-CN"/>
        </w:rPr>
      </w:pPr>
      <w:r>
        <w:t>酱卤及蒸煮固废是指在牛羊预制品和羊杂预制品生产过程中牛羊肉焯水过程中产生的血沫、浮油等；羊杂蒸煮过程中产生的血沫、浮油等以及在卤制</w:t>
      </w:r>
      <w:r>
        <w:rPr>
          <w:rFonts w:hint="eastAsia"/>
        </w:rPr>
        <w:t>、</w:t>
      </w:r>
      <w:r>
        <w:t>蒸煮过程中产生的废卤料</w:t>
      </w:r>
      <w:r>
        <w:rPr>
          <w:rFonts w:hint="eastAsia"/>
        </w:rPr>
        <w:t>、废调料</w:t>
      </w:r>
      <w:r>
        <w:t>。酱卤及蒸煮固废</w:t>
      </w:r>
      <w:r>
        <w:rPr>
          <w:rFonts w:hint="eastAsia"/>
        </w:rPr>
        <w:t>全部为一般固废，酱卤及蒸煮固废全部集中收集后拉运至厂区现有的有机肥生产车间作为原料使用。</w:t>
      </w:r>
    </w:p>
    <w:p>
      <w:pPr>
        <w:ind w:firstLine="482"/>
        <w:rPr>
          <w:b/>
          <w:bCs/>
        </w:rPr>
      </w:pPr>
      <w:r>
        <w:rPr>
          <w:rFonts w:hint="eastAsia"/>
          <w:b/>
          <w:bCs/>
        </w:rPr>
        <w:t>4、择菜固废</w:t>
      </w:r>
    </w:p>
    <w:p>
      <w:pPr>
        <w:ind w:firstLine="480"/>
      </w:pPr>
      <w:r>
        <w:rPr>
          <w:rFonts w:hint="eastAsia"/>
        </w:rPr>
        <w:t>择菜固废主要是指牛羊预制品生产线使用的蔬菜在择菜过程中产生的不能使用的根、茎、叶等固废。择菜固废全部为一般固废，择菜固废全部集中收集后拉运至厂区现有的有机肥生产车间作为原料使用。</w:t>
      </w:r>
    </w:p>
    <w:p>
      <w:pPr>
        <w:ind w:firstLine="482"/>
        <w:rPr>
          <w:b/>
          <w:bCs/>
        </w:rPr>
      </w:pPr>
      <w:r>
        <w:rPr>
          <w:rFonts w:hint="eastAsia"/>
          <w:b/>
          <w:bCs/>
        </w:rPr>
        <w:t>5、废包装</w:t>
      </w:r>
    </w:p>
    <w:p>
      <w:pPr>
        <w:ind w:firstLine="480"/>
      </w:pPr>
      <w:r>
        <w:rPr>
          <w:rFonts w:hint="eastAsia"/>
        </w:rPr>
        <w:t>废包装主要来自于牛羊预制品生产线，主要是指在调料、卤料使用过程中产生的包装固废以及在冷冻牛羊肉拆包过程中产生的废包装。废包装材料主要以废纸壳、废塑料为主，全部为一般固废，废包装集中收集后外售废旧回收单位统一处置。</w:t>
      </w:r>
    </w:p>
    <w:p>
      <w:pPr>
        <w:ind w:firstLine="482"/>
        <w:rPr>
          <w:b/>
          <w:bCs/>
        </w:rPr>
      </w:pPr>
      <w:r>
        <w:rPr>
          <w:rFonts w:hint="eastAsia"/>
          <w:b/>
          <w:bCs/>
        </w:rPr>
        <w:t>6、生活垃圾</w:t>
      </w:r>
    </w:p>
    <w:p>
      <w:pPr>
        <w:ind w:firstLine="480"/>
      </w:pPr>
      <w:r>
        <w:t>生活垃圾集中收集后</w:t>
      </w:r>
      <w:r>
        <w:rPr>
          <w:rFonts w:hint="eastAsia"/>
        </w:rPr>
        <w:t>交由园区</w:t>
      </w:r>
      <w:r>
        <w:t>环卫部门统一处理。</w:t>
      </w:r>
    </w:p>
    <w:p>
      <w:pPr>
        <w:ind w:firstLine="482"/>
        <w:rPr>
          <w:b/>
          <w:bCs/>
        </w:rPr>
      </w:pPr>
      <w:r>
        <w:rPr>
          <w:rFonts w:hint="eastAsia"/>
          <w:b/>
          <w:bCs/>
        </w:rPr>
        <w:t>7、病死羊</w:t>
      </w:r>
    </w:p>
    <w:p>
      <w:pPr>
        <w:ind w:firstLine="480"/>
      </w:pPr>
      <w:r>
        <w:rPr>
          <w:rFonts w:hint="eastAsia"/>
        </w:rPr>
        <w:t>病死羊主要是指肉羊在待宰过程中发生病患导致死亡的肉羊。查阅《国家危险废物名录（2021年版）》未将病死羊列入危废中，同时</w:t>
      </w:r>
      <w:r>
        <w:t>根据我国</w:t>
      </w:r>
      <w:r>
        <w:rPr>
          <w:rFonts w:hint="eastAsia"/>
          <w:lang w:val="en-US" w:eastAsia="zh-CN"/>
        </w:rPr>
        <w:t>《病死畜禽和病害畜禽产品无害化处理管理办法》（中华人民共和国农业农村部令，2022年第3号，自2022年7月1日起施行）</w:t>
      </w:r>
      <w:r>
        <w:rPr>
          <w:rFonts w:hint="eastAsia"/>
        </w:rPr>
        <w:t>中</w:t>
      </w:r>
      <w:r>
        <w:t>的规定</w:t>
      </w:r>
      <w:r>
        <w:rPr>
          <w:rFonts w:hint="eastAsia"/>
        </w:rPr>
        <w:t>要求</w:t>
      </w:r>
      <w:r>
        <w:t>，</w:t>
      </w:r>
      <w:r>
        <w:rPr>
          <w:rFonts w:hint="eastAsia"/>
        </w:rPr>
        <w:t>本项目运营期产生的</w:t>
      </w:r>
      <w:r>
        <w:t>病死</w:t>
      </w:r>
      <w:r>
        <w:rPr>
          <w:rFonts w:hint="eastAsia"/>
        </w:rPr>
        <w:t>羊需全部委托张掖市宏金雁再生能源科技发展有限责任公司进行无害化处理，</w:t>
      </w:r>
      <w:r>
        <w:t>严禁随意丢弃，严禁出售或作为饲料再利用。</w:t>
      </w:r>
    </w:p>
    <w:p>
      <w:pPr>
        <w:ind w:firstLine="482"/>
      </w:pPr>
      <w:r>
        <w:rPr>
          <w:rFonts w:hint="eastAsia"/>
          <w:b/>
          <w:bCs/>
        </w:rPr>
        <w:t>8、废活性炭</w:t>
      </w:r>
    </w:p>
    <w:p>
      <w:pPr>
        <w:ind w:firstLine="480"/>
      </w:pPr>
      <w:r>
        <w:rPr>
          <w:rFonts w:hint="eastAsia"/>
        </w:rPr>
        <w:t>本项目废活性炭主要是指在屠宰车间恶臭气体治理过程中产生的固废，废活性炭属于危险废物，建设单位需集中收集在危废暂存间后委托有资质的单位处置。</w:t>
      </w:r>
    </w:p>
    <w:p>
      <w:pPr>
        <w:pStyle w:val="7"/>
        <w:ind w:firstLine="482"/>
      </w:pPr>
      <w:r>
        <w:rPr>
          <w:rFonts w:hint="eastAsia"/>
          <w:lang w:val="en-US" w:eastAsia="zh-CN"/>
        </w:rPr>
        <w:t>6</w:t>
      </w:r>
      <w:r>
        <w:t>.2.4.2</w:t>
      </w:r>
      <w:r>
        <w:rPr>
          <w:rFonts w:hint="eastAsia"/>
        </w:rPr>
        <w:t>、</w:t>
      </w:r>
      <w:r>
        <w:t>固废暂存要求</w:t>
      </w:r>
    </w:p>
    <w:p>
      <w:pPr>
        <w:ind w:firstLine="482"/>
        <w:rPr>
          <w:b/>
          <w:bCs/>
        </w:rPr>
      </w:pPr>
      <w:r>
        <w:rPr>
          <w:rFonts w:hint="eastAsia"/>
          <w:b/>
          <w:bCs/>
        </w:rPr>
        <w:t>1、</w:t>
      </w:r>
      <w:r>
        <w:rPr>
          <w:b/>
          <w:bCs/>
        </w:rPr>
        <w:t>一般固废</w:t>
      </w:r>
    </w:p>
    <w:p>
      <w:pPr>
        <w:ind w:firstLine="480"/>
      </w:pPr>
      <w:r>
        <w:t>一般固废</w:t>
      </w:r>
      <w:r>
        <w:rPr>
          <w:rFonts w:hint="eastAsia"/>
        </w:rPr>
        <w:t>主要</w:t>
      </w:r>
      <w:r>
        <w:t>包括羊粪</w:t>
      </w:r>
      <w:r>
        <w:rPr>
          <w:rFonts w:hint="eastAsia"/>
        </w:rPr>
        <w:t>、屠宰固废、酱卤及蒸煮固废、择菜固废、废包装及生活垃圾。其中</w:t>
      </w:r>
      <w:r>
        <w:t>羊粪</w:t>
      </w:r>
      <w:r>
        <w:rPr>
          <w:rFonts w:hint="eastAsia"/>
        </w:rPr>
        <w:t>、屠宰固废、酱卤及蒸煮固废、择菜固废全部日产日清，产生后全部集中收集后拉运至公司现有的有机肥生产车间作为原料使用；废包装集中收集在一般固废暂存间，暂存后全部外售废旧回收单位处置；生活垃圾设置生活垃圾分类收集桶集中收集后交由环卫部门统一处理。</w:t>
      </w:r>
    </w:p>
    <w:p>
      <w:pPr>
        <w:ind w:firstLine="480"/>
      </w:pPr>
      <w:r>
        <w:rPr>
          <w:rFonts w:hint="eastAsia"/>
        </w:rPr>
        <w:t>一般固废应尽可能的做到日产日清，防止滋生病菌、</w:t>
      </w:r>
      <w:r>
        <w:t>发生腐败</w:t>
      </w:r>
      <w:r>
        <w:rPr>
          <w:rFonts w:hint="eastAsia"/>
        </w:rPr>
        <w:t>等现象</w:t>
      </w:r>
      <w:r>
        <w:t>。</w:t>
      </w:r>
      <w:r>
        <w:rPr>
          <w:rFonts w:hint="eastAsia"/>
        </w:rPr>
        <w:t>对于不能及时拉运的固废（主要为废包装），建设单位应设置1座一般固废暂存间，一般固废暂存间位于待宰圈南侧，占地面积</w:t>
      </w:r>
      <w:r>
        <w:rPr>
          <w:rFonts w:hint="eastAsia"/>
          <w:lang w:val="en-US" w:eastAsia="zh-CN"/>
        </w:rPr>
        <w:t>5</w:t>
      </w:r>
      <w:r>
        <w:rPr>
          <w:rFonts w:hint="eastAsia"/>
        </w:rPr>
        <w:t>0m</w:t>
      </w:r>
      <w:r>
        <w:rPr>
          <w:rFonts w:hint="eastAsia"/>
          <w:vertAlign w:val="superscript"/>
        </w:rPr>
        <w:t>2</w:t>
      </w:r>
      <w:r>
        <w:rPr>
          <w:rFonts w:hint="eastAsia"/>
        </w:rPr>
        <w:t>，同时根据</w:t>
      </w:r>
      <w:r>
        <w:t>《一般工业固体废物贮存和填埋污染控制标准》（GB18599-2020）</w:t>
      </w:r>
      <w:r>
        <w:rPr>
          <w:rFonts w:hint="eastAsia"/>
        </w:rPr>
        <w:t>中的</w:t>
      </w:r>
      <w:r>
        <w:t>要求</w:t>
      </w:r>
      <w:r>
        <w:rPr>
          <w:rFonts w:hint="eastAsia"/>
        </w:rPr>
        <w:t>，一般固废暂存间</w:t>
      </w:r>
      <w:r>
        <w:t>应做到防漏、防渗。</w:t>
      </w:r>
      <w:r>
        <w:rPr>
          <w:rFonts w:hint="eastAsia"/>
        </w:rPr>
        <w:t>一般固废暂存时应做到分类收集、分区堆放，</w:t>
      </w:r>
      <w:r>
        <w:t>同时</w:t>
      </w:r>
      <w:r>
        <w:rPr>
          <w:rFonts w:hint="eastAsia"/>
        </w:rPr>
        <w:t>做</w:t>
      </w:r>
      <w:r>
        <w:t>好</w:t>
      </w:r>
      <w:r>
        <w:rPr>
          <w:rFonts w:hint="eastAsia"/>
        </w:rPr>
        <w:t>固废</w:t>
      </w:r>
      <w:r>
        <w:t>基本情况的记录，</w:t>
      </w:r>
      <w:r>
        <w:rPr>
          <w:rFonts w:hint="eastAsia"/>
        </w:rPr>
        <w:t>主要</w:t>
      </w:r>
      <w:r>
        <w:t>记录</w:t>
      </w:r>
      <w:r>
        <w:rPr>
          <w:rFonts w:hint="eastAsia"/>
        </w:rPr>
        <w:t>固废</w:t>
      </w:r>
      <w:r>
        <w:t>的名称、来源、数量</w:t>
      </w:r>
      <w:r>
        <w:rPr>
          <w:rFonts w:hint="eastAsia"/>
        </w:rPr>
        <w:t>、入场时间</w:t>
      </w:r>
      <w:r>
        <w:t>、存放</w:t>
      </w:r>
      <w:r>
        <w:rPr>
          <w:rFonts w:hint="eastAsia"/>
        </w:rPr>
        <w:t>位置</w:t>
      </w:r>
      <w:r>
        <w:t>、出场日期等</w:t>
      </w:r>
      <w:r>
        <w:rPr>
          <w:rFonts w:hint="eastAsia"/>
        </w:rPr>
        <w:t>信息</w:t>
      </w:r>
      <w:r>
        <w:t>。</w:t>
      </w:r>
    </w:p>
    <w:p>
      <w:pPr>
        <w:ind w:firstLine="482"/>
        <w:rPr>
          <w:b/>
          <w:bCs/>
        </w:rPr>
      </w:pPr>
      <w:r>
        <w:rPr>
          <w:rFonts w:hint="eastAsia"/>
          <w:b/>
          <w:bCs/>
        </w:rPr>
        <w:t>2、</w:t>
      </w:r>
      <w:r>
        <w:rPr>
          <w:b/>
          <w:bCs/>
        </w:rPr>
        <w:t>危险废物</w:t>
      </w:r>
    </w:p>
    <w:p>
      <w:pPr>
        <w:ind w:firstLine="482"/>
        <w:rPr>
          <w:b/>
          <w:bCs/>
        </w:rPr>
      </w:pPr>
      <w:r>
        <w:rPr>
          <w:rFonts w:hint="eastAsia"/>
          <w:b/>
          <w:bCs/>
        </w:rPr>
        <w:t>（1）危废暂存间建设要求</w:t>
      </w:r>
    </w:p>
    <w:p>
      <w:pPr>
        <w:ind w:firstLine="480"/>
      </w:pPr>
      <w:r>
        <w:rPr>
          <w:rFonts w:hint="eastAsia"/>
        </w:rPr>
        <w:t>本项目运营期产生的</w:t>
      </w:r>
      <w:r>
        <w:t>危险废物</w:t>
      </w:r>
      <w:r>
        <w:rPr>
          <w:rFonts w:hint="eastAsia"/>
        </w:rPr>
        <w:t>主要为废活性炭，为了方便废活性炭暂存，建设单位需建设危废暂存间1座，</w:t>
      </w:r>
      <w:r>
        <w:t>危废暂存间的设置严格按照《中华人民共和国固体废物污染环境防治法》、《危险废物贮存污染控制标准》（</w:t>
      </w:r>
      <w:r>
        <w:rPr>
          <w:lang w:val="en-US" w:eastAsia="zh-CN"/>
        </w:rPr>
        <w:t>GB18597—</w:t>
      </w:r>
      <w:r>
        <w:rPr>
          <w:rFonts w:hint="default"/>
          <w:lang w:val="en-US" w:eastAsia="zh-CN"/>
        </w:rPr>
        <w:t>2023</w:t>
      </w:r>
      <w:r>
        <w:t>）的要求进行建设。</w:t>
      </w:r>
      <w:r>
        <w:rPr>
          <w:rFonts w:hint="eastAsia"/>
        </w:rPr>
        <w:t>具体要求如下：</w:t>
      </w:r>
    </w:p>
    <w:p>
      <w:pPr>
        <w:ind w:firstLine="480"/>
      </w:pPr>
      <w:r>
        <w:t>①</w:t>
      </w:r>
      <w:r>
        <w:rPr>
          <w:rFonts w:hint="eastAsia"/>
          <w:lang w:val="en-US" w:eastAsia="zh-CN"/>
        </w:rPr>
        <w:t>危废暂存间内地面、墙面裙脚、堵截泄漏的围堰、接触危险废物的隔板和墙体等应采用坚固的</w:t>
      </w:r>
      <w:r>
        <w:t>防渗</w:t>
      </w:r>
      <w:r>
        <w:rPr>
          <w:rFonts w:hint="eastAsia"/>
          <w:lang w:val="en-US" w:eastAsia="zh-CN"/>
        </w:rPr>
        <w:t>材料建造，表面无裂缝，</w:t>
      </w:r>
      <w:r>
        <w:t>建筑材料必须与危险废物相容；</w:t>
      </w:r>
    </w:p>
    <w:p>
      <w:pPr>
        <w:ind w:firstLine="480"/>
      </w:pPr>
      <w:r>
        <w:t>②</w:t>
      </w:r>
      <w:r>
        <w:rPr>
          <w:rFonts w:hint="eastAsia"/>
          <w:lang w:val="en-US" w:eastAsia="zh-CN"/>
        </w:rPr>
        <w:t>危废暂存间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w:t>
      </w:r>
      <w:r>
        <w:rPr>
          <w:rFonts w:hint="default"/>
          <w:lang w:val="en-US" w:eastAsia="zh-CN"/>
        </w:rPr>
        <w:t>1m</w:t>
      </w:r>
      <w:r>
        <w:rPr>
          <w:rFonts w:hint="eastAsia"/>
          <w:lang w:val="en-US" w:eastAsia="zh-CN"/>
        </w:rPr>
        <w:t>厚黏土层（渗透系数不大于</w:t>
      </w:r>
      <w:r>
        <w:rPr>
          <w:rFonts w:hint="default"/>
          <w:lang w:val="en-US" w:eastAsia="zh-CN"/>
        </w:rPr>
        <w:t>10</w:t>
      </w:r>
      <w:r>
        <w:rPr>
          <w:rFonts w:hint="default"/>
          <w:vertAlign w:val="superscript"/>
          <w:lang w:val="en-US" w:eastAsia="zh-CN"/>
        </w:rPr>
        <w:t>-7</w:t>
      </w:r>
      <w:r>
        <w:rPr>
          <w:rFonts w:hint="default"/>
          <w:lang w:val="en-US" w:eastAsia="zh-CN"/>
        </w:rPr>
        <w:t>cm/s</w:t>
      </w:r>
      <w:r>
        <w:rPr>
          <w:rFonts w:hint="eastAsia"/>
          <w:lang w:val="en-US" w:eastAsia="zh-CN"/>
        </w:rPr>
        <w:t>），或至少</w:t>
      </w:r>
      <w:r>
        <w:rPr>
          <w:rFonts w:hint="default"/>
          <w:lang w:val="en-US" w:eastAsia="zh-CN"/>
        </w:rPr>
        <w:t>2mm</w:t>
      </w:r>
      <w:r>
        <w:rPr>
          <w:rFonts w:hint="eastAsia"/>
          <w:lang w:val="en-US" w:eastAsia="zh-CN"/>
        </w:rPr>
        <w:t>厚高密度聚乙烯膜等人工防渗材料（渗透系数不大于</w:t>
      </w:r>
      <w:r>
        <w:rPr>
          <w:rFonts w:hint="default"/>
          <w:lang w:val="en-US" w:eastAsia="zh-CN"/>
        </w:rPr>
        <w:t>10</w:t>
      </w:r>
      <w:r>
        <w:rPr>
          <w:rFonts w:hint="default"/>
          <w:vertAlign w:val="superscript"/>
          <w:lang w:val="en-US" w:eastAsia="zh-CN"/>
        </w:rPr>
        <w:t>-10</w:t>
      </w:r>
      <w:r>
        <w:rPr>
          <w:rFonts w:hint="default"/>
          <w:lang w:val="en-US" w:eastAsia="zh-CN"/>
        </w:rPr>
        <w:t>cm/s</w:t>
      </w:r>
      <w:r>
        <w:rPr>
          <w:rFonts w:hint="eastAsia"/>
          <w:lang w:val="en-US" w:eastAsia="zh-CN"/>
        </w:rPr>
        <w:t>），或其他防渗性能等效的材料。</w:t>
      </w:r>
    </w:p>
    <w:p>
      <w:pPr>
        <w:ind w:firstLine="480"/>
      </w:pPr>
      <w:r>
        <w:t>③必须有气体导出口及气体净化装置。</w:t>
      </w:r>
    </w:p>
    <w:p>
      <w:pPr>
        <w:ind w:firstLine="480"/>
      </w:pPr>
      <w:r>
        <w:t>④应设计堵截泄漏的裙脚，地面与裙脚所围建的容积不低于堵截最大容器的最大储量或总储量的20%</w:t>
      </w:r>
    </w:p>
    <w:p>
      <w:pPr>
        <w:ind w:firstLine="480"/>
      </w:pPr>
      <w:r>
        <w:t>⑤不相容的危险废物必须分开存放，并设有隔离间隔断。</w:t>
      </w:r>
    </w:p>
    <w:p>
      <w:pPr>
        <w:ind w:firstLine="480"/>
        <w:rPr>
          <w:rFonts w:hint="eastAsia"/>
          <w:lang w:val="en-US" w:eastAsia="zh-CN"/>
        </w:rPr>
      </w:pPr>
      <w:r>
        <w:t>⑥危废暂存间</w:t>
      </w:r>
      <w:r>
        <w:rPr>
          <w:rFonts w:hint="eastAsia"/>
        </w:rPr>
        <w:t>需</w:t>
      </w:r>
      <w:r>
        <w:t>按《</w:t>
      </w:r>
      <w:r>
        <w:rPr>
          <w:lang w:val="en-US" w:eastAsia="zh-CN"/>
        </w:rPr>
        <w:t>危险废物识别标志设置技术规范</w:t>
      </w:r>
      <w:r>
        <w:t>》</w:t>
      </w:r>
      <w:r>
        <w:rPr>
          <w:rFonts w:hint="eastAsia"/>
        </w:rPr>
        <w:t>（</w:t>
      </w:r>
      <w:r>
        <w:rPr>
          <w:rFonts w:hint="eastAsia"/>
          <w:lang w:val="en-US" w:eastAsia="zh-CN"/>
        </w:rPr>
        <w:t>HJ1276—2022</w:t>
      </w:r>
      <w:r>
        <w:rPr>
          <w:rFonts w:hint="eastAsia"/>
        </w:rPr>
        <w:t>）中的要求</w:t>
      </w:r>
      <w:r>
        <w:t>设</w:t>
      </w:r>
      <w:r>
        <w:rPr>
          <w:lang w:val="en-US" w:eastAsia="zh-CN"/>
        </w:rPr>
        <w:t>危险废物标签</w:t>
      </w:r>
      <w:r>
        <w:rPr>
          <w:rFonts w:hint="eastAsia"/>
          <w:lang w:val="en-US" w:eastAsia="zh-CN"/>
        </w:rPr>
        <w:t>，危险废物标签应包含废物名称、废物类别、废物代码、废物形态、危险特性、主要成分、有害成分、注意事项、产生/收集单位名称、联系人、联系方式、产生日期、废物重量和备注；危险废物标签的设置位置应明显可见且易读，不应被容器、包装物自身的任何部分或其他标签遮挡。危险废物标签在各种包装上的粘贴位置分别为：</w:t>
      </w:r>
    </w:p>
    <w:p>
      <w:pPr>
        <w:ind w:firstLine="480"/>
        <w:rPr>
          <w:rFonts w:hint="eastAsia"/>
          <w:lang w:val="en-US" w:eastAsia="zh-CN"/>
        </w:rPr>
      </w:pPr>
      <w:r>
        <w:rPr>
          <w:rFonts w:hint="eastAsia"/>
          <w:lang w:val="en-US" w:eastAsia="zh-CN"/>
        </w:rPr>
        <w:t>a）箱类包装：位于包装端面或侧面；</w:t>
      </w:r>
    </w:p>
    <w:p>
      <w:pPr>
        <w:ind w:firstLine="480"/>
        <w:rPr>
          <w:rFonts w:hint="eastAsia"/>
          <w:lang w:val="en-US" w:eastAsia="zh-CN"/>
        </w:rPr>
      </w:pPr>
      <w:r>
        <w:rPr>
          <w:rFonts w:hint="eastAsia"/>
          <w:lang w:val="en-US" w:eastAsia="zh-CN"/>
        </w:rPr>
        <w:t>b）袋类包装：位于包装明显处；</w:t>
      </w:r>
    </w:p>
    <w:p>
      <w:pPr>
        <w:ind w:firstLine="480"/>
        <w:rPr>
          <w:rFonts w:hint="eastAsia"/>
          <w:lang w:val="en-US" w:eastAsia="zh-CN"/>
        </w:rPr>
      </w:pPr>
      <w:r>
        <w:rPr>
          <w:rFonts w:hint="eastAsia"/>
          <w:lang w:val="en-US" w:eastAsia="zh-CN"/>
        </w:rPr>
        <w:t>c）桶类包装：位于桶身或桶盖；</w:t>
      </w:r>
    </w:p>
    <w:p>
      <w:pPr>
        <w:ind w:firstLine="480"/>
      </w:pPr>
      <w:r>
        <w:rPr>
          <w:rFonts w:hint="eastAsia"/>
          <w:lang w:val="en-US" w:eastAsia="zh-CN"/>
        </w:rPr>
        <w:t>d）其他包装：位于明显处</w:t>
      </w:r>
      <w:r>
        <w:t>；</w:t>
      </w:r>
    </w:p>
    <w:p>
      <w:pPr>
        <w:ind w:firstLine="480"/>
        <w:rPr>
          <w:rFonts w:hint="eastAsia" w:eastAsia="宋体"/>
          <w:lang w:eastAsia="zh-CN"/>
        </w:rPr>
      </w:pPr>
      <w:r>
        <w:t>⑦</w:t>
      </w:r>
      <w:r>
        <w:rPr>
          <w:rFonts w:hint="eastAsia"/>
        </w:rPr>
        <w:t>危废暂存间必须要做好</w:t>
      </w:r>
      <w:r>
        <w:rPr>
          <w:rFonts w:hint="eastAsia"/>
          <w:lang w:val="en-US" w:eastAsia="zh-CN"/>
        </w:rPr>
        <w:t>的防风、防晒、防雨、防漏、防渗、防腐</w:t>
      </w:r>
      <w:r>
        <w:t>等</w:t>
      </w:r>
      <w:r>
        <w:rPr>
          <w:rFonts w:hint="eastAsia"/>
          <w:lang w:val="en-US" w:eastAsia="zh-CN"/>
        </w:rPr>
        <w:t>措施</w:t>
      </w:r>
      <w:r>
        <w:rPr>
          <w:rFonts w:hint="eastAsia"/>
          <w:lang w:eastAsia="zh-CN"/>
        </w:rPr>
        <w:t>；</w:t>
      </w:r>
    </w:p>
    <w:p>
      <w:pPr>
        <w:pStyle w:val="82"/>
        <w:ind w:firstLine="480"/>
        <w:rPr>
          <w:b/>
          <w:bCs/>
        </w:rPr>
      </w:pPr>
      <w:r>
        <w:t>⑧有严密的封闭措施，设专人管理，避免非工作人员进出，以及防鼠、防蚊蝇、防蟑螂、防盗以及预防儿童接触等安全措施；</w:t>
      </w:r>
    </w:p>
    <w:p>
      <w:pPr>
        <w:ind w:firstLine="480"/>
      </w:pPr>
      <w:r>
        <w:t>⑨</w:t>
      </w:r>
      <w:r>
        <w:rPr>
          <w:rFonts w:hint="eastAsia"/>
        </w:rPr>
        <w:t>收集容器外表面应当有警示标识，在每个包装物、容器上应当系中文标签，中文标签的内容应当包括：危废产生单位、产生日期、类别及需要的特别说明等</w:t>
      </w:r>
      <w:r>
        <w:rPr>
          <w:rFonts w:hint="eastAsia"/>
          <w:lang w:eastAsia="zh-CN"/>
        </w:rPr>
        <w:t>，</w:t>
      </w:r>
      <w:r>
        <w:rPr>
          <w:rFonts w:hint="eastAsia"/>
          <w:lang w:val="en-US" w:eastAsia="zh-CN"/>
        </w:rPr>
        <w:t>同时包装容器物材质、内衬应与盛装的危险废物相容，硬质容器和包装物及其支护结构堆叠码放时不应有明显变形，无破损泄漏，柔性容器和包装物堆叠码放时应封口严密，无破损泄漏，容器和包装物外表面应保持清洁。</w:t>
      </w:r>
    </w:p>
    <w:p>
      <w:pPr>
        <w:ind w:firstLine="482"/>
        <w:rPr>
          <w:b/>
          <w:bCs/>
        </w:rPr>
      </w:pPr>
      <w:r>
        <w:rPr>
          <w:rFonts w:hint="eastAsia"/>
          <w:b/>
          <w:bCs/>
        </w:rPr>
        <w:t>（2）危废暂存间建设规模及位置</w:t>
      </w:r>
    </w:p>
    <w:p>
      <w:pPr>
        <w:ind w:firstLine="480"/>
      </w:pPr>
      <w:r>
        <w:t>本项目</w:t>
      </w:r>
      <w:r>
        <w:rPr>
          <w:rFonts w:hint="eastAsia"/>
        </w:rPr>
        <w:t>废活性炭</w:t>
      </w:r>
      <w:r>
        <w:t>产生量</w:t>
      </w:r>
      <w:r>
        <w:rPr>
          <w:rFonts w:hint="eastAsia"/>
        </w:rPr>
        <w:t>为3.0t/a，建设单位拟计划3个月委托拉运处置一次，则最大暂存量为0.75t。废活性炭采用专用的镀锌铁桶进行收集，每个镀锌铁桶储存量按50kg计算，则需要15个，镀锌铁桶堆放时全部采用单层堆放</w:t>
      </w:r>
      <w:r>
        <w:t>，</w:t>
      </w:r>
      <w:r>
        <w:rPr>
          <w:rFonts w:hint="eastAsia"/>
        </w:rPr>
        <w:t>每个镀锌铁桶占地面积按1.5m</w:t>
      </w:r>
      <w:r>
        <w:rPr>
          <w:rFonts w:hint="eastAsia"/>
          <w:vertAlign w:val="superscript"/>
        </w:rPr>
        <w:t>2</w:t>
      </w:r>
      <w:r>
        <w:rPr>
          <w:rFonts w:hint="eastAsia"/>
        </w:rPr>
        <w:t>计算，则需建设单位建设1座占地面积为25m</w:t>
      </w:r>
      <w:r>
        <w:rPr>
          <w:rFonts w:hint="eastAsia"/>
          <w:vertAlign w:val="superscript"/>
        </w:rPr>
        <w:t>2</w:t>
      </w:r>
      <w:r>
        <w:rPr>
          <w:rFonts w:hint="eastAsia"/>
        </w:rPr>
        <w:t>的</w:t>
      </w:r>
      <w:r>
        <w:t>封闭式</w:t>
      </w:r>
      <w:r>
        <w:rPr>
          <w:rFonts w:hint="eastAsia"/>
        </w:rPr>
        <w:t>危废暂存间，危废暂存间根据厂区总体布置要求位于污水处理站西侧</w:t>
      </w:r>
      <w:r>
        <w:t>。</w:t>
      </w:r>
    </w:p>
    <w:p>
      <w:pPr>
        <w:ind w:firstLine="482"/>
      </w:pPr>
      <w:r>
        <w:rPr>
          <w:rFonts w:hint="eastAsia"/>
          <w:b/>
          <w:bCs/>
        </w:rPr>
        <w:t>3、病死羊</w:t>
      </w:r>
    </w:p>
    <w:p>
      <w:pPr>
        <w:ind w:firstLine="480"/>
      </w:pPr>
      <w:r>
        <w:rPr>
          <w:rFonts w:hint="eastAsia"/>
          <w:lang w:val="en-US" w:eastAsia="zh-CN"/>
        </w:rPr>
        <w:t>《病死畜禽和病害畜禽产品无害化处理管理办法》（中华人民共和国农业农村部令，2022年第3号，自2022年7月1日起施行）</w:t>
      </w:r>
      <w:r>
        <w:rPr>
          <w:rFonts w:hint="eastAsia"/>
        </w:rPr>
        <w:t>中</w:t>
      </w:r>
      <w:r>
        <w:t>的规定</w:t>
      </w:r>
      <w:r>
        <w:rPr>
          <w:rFonts w:hint="eastAsia"/>
        </w:rPr>
        <w:t>要求</w:t>
      </w:r>
      <w:r>
        <w:t>，</w:t>
      </w:r>
      <w:r>
        <w:rPr>
          <w:rFonts w:hint="eastAsia"/>
        </w:rPr>
        <w:t>病死畜禽尸体要及时处理，严禁随意丢弃，严禁出售或作为饲料在利用，病死畜禽尸体要采取焚烧或安全填埋的方式进行处置，本项目厂区不具备焚烧或安全填埋的条件，因此一旦产生病死羊，建设单位就要及时联系张掖市宏金雁再生能源科技发展有限责任公司进行拉运处置，严禁在厂区长时间存放。</w:t>
      </w:r>
    </w:p>
    <w:p>
      <w:pPr>
        <w:pStyle w:val="7"/>
        <w:ind w:firstLine="482"/>
      </w:pPr>
      <w:r>
        <w:rPr>
          <w:rFonts w:hint="eastAsia"/>
          <w:lang w:val="en-US" w:eastAsia="zh-CN"/>
        </w:rPr>
        <w:t>6</w:t>
      </w:r>
      <w:r>
        <w:t>.2.4.</w:t>
      </w:r>
      <w:r>
        <w:rPr>
          <w:rFonts w:hint="eastAsia"/>
        </w:rPr>
        <w:t>3、</w:t>
      </w:r>
      <w:r>
        <w:t>固废运输要求</w:t>
      </w:r>
    </w:p>
    <w:p>
      <w:pPr>
        <w:ind w:firstLine="482"/>
        <w:rPr>
          <w:b/>
          <w:bCs/>
        </w:rPr>
      </w:pPr>
      <w:r>
        <w:rPr>
          <w:rFonts w:hint="eastAsia"/>
          <w:b/>
          <w:bCs/>
        </w:rPr>
        <w:t>1、一般固废</w:t>
      </w:r>
    </w:p>
    <w:p>
      <w:pPr>
        <w:ind w:firstLine="480"/>
      </w:pPr>
      <w:r>
        <w:t>一般固废易因管理不当易滋生蚊蝇，应对固废进行及时清运处理，清运过程采用密闭运输车辆，以防发生逸散、洒落或产生恶臭。</w:t>
      </w:r>
    </w:p>
    <w:p>
      <w:pPr>
        <w:ind w:firstLine="482"/>
        <w:rPr>
          <w:b/>
          <w:bCs/>
        </w:rPr>
      </w:pPr>
      <w:r>
        <w:rPr>
          <w:rFonts w:hint="eastAsia"/>
          <w:b/>
          <w:bCs/>
        </w:rPr>
        <w:t>2、危险固废</w:t>
      </w:r>
    </w:p>
    <w:p>
      <w:pPr>
        <w:ind w:firstLine="480"/>
      </w:pPr>
      <w:r>
        <w:t>危险废物的运输应采取危险废物转移“电子联单”制度，危险废物产生单位在转移危险废物之前，须按照国家和地方有关规定报批危险废物转移计划；经批准后，通过固废监管平台申请电子联单。危险废物移出者应当如实填写电子联单中产生单位栏目。危险废物转移时，通过固废监管平台打印危险废物转移纸质联单，加盖公章，交付危险废物运输单位随车携带。危险废物运至接受单位后，运输单位将随车携带的纸质联单交接受单位，危险废物接受单位按照联单内容对危险废物核实验收，通过扫描电子联单条码进行接受确认</w:t>
      </w:r>
    </w:p>
    <w:p>
      <w:pPr>
        <w:pStyle w:val="7"/>
        <w:ind w:firstLine="482"/>
      </w:pPr>
      <w:r>
        <w:rPr>
          <w:rFonts w:hint="eastAsia"/>
          <w:lang w:val="en-US" w:eastAsia="zh-CN"/>
        </w:rPr>
        <w:t>6</w:t>
      </w:r>
      <w:r>
        <w:t>.2.4.</w:t>
      </w:r>
      <w:r>
        <w:rPr>
          <w:rFonts w:hint="eastAsia"/>
        </w:rPr>
        <w:t>4、</w:t>
      </w:r>
      <w:r>
        <w:t>固废管理要求</w:t>
      </w:r>
    </w:p>
    <w:p>
      <w:pPr>
        <w:ind w:firstLine="480"/>
      </w:pPr>
      <w:r>
        <w:t>做好固体废物在厂区内的收集和储存相关防护工作，收集后进行有效处置，建立完善的规章制度，建立固废管理记录，记录应覆盖废物产生、收集、贮运各环节的管理，杜绝固废在厂区内的散失、渗漏，以降低固体废物散落对周围环境的影响。</w:t>
      </w:r>
    </w:p>
    <w:p>
      <w:pPr>
        <w:ind w:firstLine="480"/>
      </w:pPr>
      <w:r>
        <w:t>综上，通过以上方式合理处置，固废污染物不致对环境产生危害，影响较小，防治措施可行。</w:t>
      </w:r>
    </w:p>
    <w:p>
      <w:pPr>
        <w:pStyle w:val="6"/>
        <w:ind w:firstLine="482"/>
      </w:pPr>
      <w:bookmarkStart w:id="793" w:name="_Toc11337"/>
      <w:bookmarkStart w:id="794" w:name="_Toc14835_WPSOffice_Level3"/>
      <w:r>
        <w:rPr>
          <w:rFonts w:hint="eastAsia"/>
          <w:lang w:val="en-US" w:eastAsia="zh-CN"/>
        </w:rPr>
        <w:t>6</w:t>
      </w:r>
      <w:r>
        <w:t>.2.5</w:t>
      </w:r>
      <w:r>
        <w:rPr>
          <w:rFonts w:hint="eastAsia"/>
        </w:rPr>
        <w:t>、</w:t>
      </w:r>
      <w:r>
        <w:t>土壤污染防治措施</w:t>
      </w:r>
      <w:bookmarkEnd w:id="793"/>
    </w:p>
    <w:p>
      <w:pPr>
        <w:ind w:firstLine="480"/>
      </w:pPr>
      <w:r>
        <w:t>本项目生产过程可通过含大气、水和固体废物等环境进入土壤，对土壤造成污染。本次评价从以下三个方面对土壤污染采取保护措施：</w:t>
      </w:r>
    </w:p>
    <w:p>
      <w:pPr>
        <w:ind w:firstLine="482"/>
        <w:rPr>
          <w:b/>
          <w:bCs/>
        </w:rPr>
      </w:pPr>
      <w:r>
        <w:rPr>
          <w:b/>
          <w:bCs/>
        </w:rPr>
        <w:t>（1）源头控制措施</w:t>
      </w:r>
    </w:p>
    <w:p>
      <w:pPr>
        <w:ind w:firstLine="480"/>
      </w:pPr>
      <w:r>
        <w:t>在实际生产过程中，建设单位应做好废气处理设施（</w:t>
      </w:r>
      <w:r>
        <w:rPr>
          <w:rFonts w:hint="eastAsia"/>
        </w:rPr>
        <w:t>活性炭吸附装置</w:t>
      </w:r>
      <w:r>
        <w:t>）和污水处理设施（污水处理站）的维护和管理工作，尽量避免事故排放，一旦出现处理设施处理效率下降，应立即停产检修，缩短事故排放时间，减小源头污染物产生对土壤的污染。</w:t>
      </w:r>
    </w:p>
    <w:p>
      <w:pPr>
        <w:ind w:firstLine="482"/>
        <w:rPr>
          <w:b/>
          <w:bCs/>
        </w:rPr>
      </w:pPr>
      <w:r>
        <w:rPr>
          <w:b/>
          <w:bCs/>
        </w:rPr>
        <w:t>（2）过程防控措施</w:t>
      </w:r>
    </w:p>
    <w:p>
      <w:pPr>
        <w:ind w:firstLine="480"/>
      </w:pPr>
      <w:r>
        <w:t>①大气沉降：加强厂区绿化，在厂区空地种植较强吸附力的植物，以减少大气污染物的沉降对土壤的影响。</w:t>
      </w:r>
    </w:p>
    <w:p>
      <w:pPr>
        <w:ind w:firstLine="480"/>
      </w:pPr>
      <w:r>
        <w:t>②废水下渗：项目生产废水</w:t>
      </w:r>
      <w:r>
        <w:rPr>
          <w:rFonts w:hint="eastAsia"/>
        </w:rPr>
        <w:t>全部经污水处理站处理后用于饲草区灌溉，灌溉过程中必须采用滴管，严禁使用漫灌</w:t>
      </w:r>
      <w:r>
        <w:t>；同时要求企业设置</w:t>
      </w:r>
      <w:r>
        <w:rPr>
          <w:rFonts w:hint="eastAsia"/>
        </w:rPr>
        <w:t>1</w:t>
      </w:r>
      <w:r>
        <w:t>座事故池，确保事故废水和消防废水等均不排到外环境；对污水处理设施、库房等设置了相应的防渗措施，可以有效地减小废水对土壤的污染。严格按照国家相关规范要求，对工艺、管道、设备、污水储存及处理构筑物采取防渗等措施，以防止和降低污染物的跑、冒、滴、漏，将污染物泄漏造成土壤污染的风险降低到最低程度。</w:t>
      </w:r>
    </w:p>
    <w:p>
      <w:pPr>
        <w:ind w:firstLine="482"/>
        <w:rPr>
          <w:b/>
          <w:bCs/>
        </w:rPr>
      </w:pPr>
      <w:r>
        <w:rPr>
          <w:b/>
          <w:bCs/>
        </w:rPr>
        <w:t>（3）跟踪监测</w:t>
      </w:r>
    </w:p>
    <w:p>
      <w:pPr>
        <w:ind w:firstLine="480"/>
      </w:pPr>
      <w:r>
        <w:t>定期进行土壤污染隐患排查，以防止有毒有害物质污染土壤；完善环境应急预案，一旦发生土壤污染事件，建设单位应当立即采取应急措施，防止土壤污染，并做好土壤污染风险评估、修复等工作。为了及时准确地掌握厂区土壤环境质量状况和土壤中污染物的动态变化，项目厂区应建设环境监控系统，包括科学、合理地设置监控点，建立完善的监测制度，配备先进的检测仪器和设备，以便及时发现，及时控制。</w:t>
      </w:r>
    </w:p>
    <w:p>
      <w:pPr>
        <w:ind w:firstLine="480"/>
      </w:pPr>
      <w:r>
        <w:t>综上所述，在采取上述土壤防治措施后，对周边土壤环境影响可接受，防治措施可行。</w:t>
      </w:r>
    </w:p>
    <w:p>
      <w:pPr>
        <w:pStyle w:val="5"/>
        <w:spacing w:before="78" w:after="78"/>
        <w:ind w:firstLine="562"/>
      </w:pPr>
      <w:bookmarkStart w:id="795" w:name="_Toc22186"/>
      <w:bookmarkStart w:id="796" w:name="_Toc24752"/>
      <w:r>
        <w:rPr>
          <w:rFonts w:hint="eastAsia"/>
          <w:lang w:val="en-US" w:eastAsia="zh-CN"/>
        </w:rPr>
        <w:t>6</w:t>
      </w:r>
      <w:r>
        <w:t>.3</w:t>
      </w:r>
      <w:r>
        <w:rPr>
          <w:rFonts w:hint="eastAsia"/>
        </w:rPr>
        <w:t>、</w:t>
      </w:r>
      <w:r>
        <w:t>环保投资概算</w:t>
      </w:r>
      <w:bookmarkEnd w:id="794"/>
      <w:bookmarkEnd w:id="795"/>
      <w:bookmarkEnd w:id="796"/>
    </w:p>
    <w:p>
      <w:pPr>
        <w:ind w:firstLine="480"/>
      </w:pPr>
      <w:r>
        <w:t>本项目总投资</w:t>
      </w:r>
      <w:r>
        <w:rPr>
          <w:rFonts w:hint="eastAsia"/>
          <w:lang w:val="en-US" w:eastAsia="zh-CN"/>
        </w:rPr>
        <w:t>6000</w:t>
      </w:r>
      <w:r>
        <w:t>万元，环保投资</w:t>
      </w:r>
      <w:r>
        <w:rPr>
          <w:rFonts w:hint="eastAsia"/>
          <w:lang w:val="en-US" w:eastAsia="zh-CN"/>
        </w:rPr>
        <w:t>142.2</w:t>
      </w:r>
      <w:r>
        <w:t>万元，占总投资的</w:t>
      </w:r>
      <w:r>
        <w:rPr>
          <w:rFonts w:hint="eastAsia"/>
          <w:lang w:val="en-US" w:eastAsia="zh-CN"/>
        </w:rPr>
        <w:t>2.37</w:t>
      </w:r>
      <w:r>
        <w:t>%，具体估算见表</w:t>
      </w:r>
      <w:r>
        <w:rPr>
          <w:rFonts w:hint="eastAsia"/>
          <w:lang w:val="en-US" w:eastAsia="zh-CN"/>
        </w:rPr>
        <w:t>6</w:t>
      </w:r>
      <w:r>
        <w:rPr>
          <w:rFonts w:hint="eastAsia"/>
        </w:rPr>
        <w:t>.7</w:t>
      </w:r>
      <w:r>
        <w:t>。</w:t>
      </w:r>
    </w:p>
    <w:p>
      <w:pPr>
        <w:spacing w:line="240" w:lineRule="auto"/>
        <w:ind w:firstLine="482"/>
        <w:jc w:val="center"/>
        <w:rPr>
          <w:b/>
          <w:bCs/>
        </w:rPr>
      </w:pPr>
      <w:r>
        <w:rPr>
          <w:b/>
          <w:bCs/>
        </w:rPr>
        <w:t>表</w:t>
      </w:r>
      <w:r>
        <w:rPr>
          <w:rFonts w:hint="eastAsia"/>
          <w:b/>
          <w:bCs/>
          <w:lang w:val="en-US" w:eastAsia="zh-CN"/>
        </w:rPr>
        <w:t>6</w:t>
      </w:r>
      <w:r>
        <w:rPr>
          <w:rFonts w:hint="eastAsia"/>
          <w:b/>
          <w:bCs/>
        </w:rPr>
        <w:t>.7</w:t>
      </w:r>
      <w:r>
        <w:rPr>
          <w:b/>
          <w:bCs/>
        </w:rPr>
        <w:t xml:space="preserve">    环保投资概算</w:t>
      </w:r>
      <w:r>
        <w:rPr>
          <w:rFonts w:hint="eastAsia"/>
          <w:b/>
          <w:bCs/>
        </w:rPr>
        <w:t>一览表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0"/>
        <w:gridCol w:w="1773"/>
        <w:gridCol w:w="940"/>
        <w:gridCol w:w="2631"/>
        <w:gridCol w:w="1878"/>
        <w:gridCol w:w="803"/>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项目</w:t>
            </w:r>
          </w:p>
        </w:tc>
        <w:tc>
          <w:tcPr>
            <w:tcW w:w="2736" w:type="pct"/>
            <w:gridSpan w:val="3"/>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主要内容</w:t>
            </w:r>
          </w:p>
        </w:tc>
        <w:tc>
          <w:tcPr>
            <w:tcW w:w="403"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数量</w:t>
            </w:r>
          </w:p>
        </w:tc>
        <w:tc>
          <w:tcPr>
            <w:tcW w:w="678" w:type="pct"/>
            <w:tcBorders>
              <w:tl2br w:val="nil"/>
              <w:tr2bl w:val="nil"/>
            </w:tcBorders>
            <w:vAlign w:val="center"/>
          </w:tcPr>
          <w:p>
            <w:pPr>
              <w:adjustRightInd w:val="0"/>
              <w:snapToGrid w:val="0"/>
              <w:spacing w:line="240" w:lineRule="auto"/>
              <w:ind w:firstLine="0" w:firstLineChars="0"/>
              <w:jc w:val="center"/>
              <w:rPr>
                <w:b/>
                <w:bCs/>
                <w:sz w:val="21"/>
                <w:szCs w:val="21"/>
              </w:rPr>
            </w:pPr>
            <w:r>
              <w:rPr>
                <w:b/>
                <w:bCs/>
                <w:sz w:val="21"/>
                <w:szCs w:val="21"/>
              </w:rPr>
              <w:t>投资金额（万元）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废气</w:t>
            </w: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待宰圈</w:t>
            </w:r>
          </w:p>
          <w:p>
            <w:pPr>
              <w:adjustRightInd w:val="0"/>
              <w:snapToGrid w:val="0"/>
              <w:spacing w:line="240" w:lineRule="auto"/>
              <w:ind w:firstLine="0" w:firstLineChars="0"/>
              <w:jc w:val="center"/>
              <w:rPr>
                <w:sz w:val="21"/>
                <w:szCs w:val="21"/>
              </w:rPr>
            </w:pPr>
            <w:r>
              <w:rPr>
                <w:rFonts w:hint="eastAsia"/>
                <w:sz w:val="21"/>
                <w:szCs w:val="21"/>
              </w:rPr>
              <w:t>恶臭气体</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干清粪工艺（日产日清）+</w:t>
            </w:r>
            <w:r>
              <w:rPr>
                <w:sz w:val="21"/>
                <w:szCs w:val="21"/>
              </w:rPr>
              <w:t>定期</w:t>
            </w:r>
            <w:r>
              <w:rPr>
                <w:rFonts w:hint="eastAsia"/>
                <w:sz w:val="21"/>
                <w:szCs w:val="21"/>
              </w:rPr>
              <w:t>清洗待宰圈并及时</w:t>
            </w:r>
            <w:r>
              <w:rPr>
                <w:sz w:val="21"/>
                <w:szCs w:val="21"/>
              </w:rPr>
              <w:t>喷洒生物除臭剂</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屠宰车间</w:t>
            </w:r>
          </w:p>
          <w:p>
            <w:pPr>
              <w:adjustRightInd w:val="0"/>
              <w:snapToGrid w:val="0"/>
              <w:spacing w:line="240" w:lineRule="auto"/>
              <w:ind w:firstLine="0" w:firstLineChars="0"/>
              <w:jc w:val="center"/>
              <w:rPr>
                <w:sz w:val="21"/>
                <w:szCs w:val="21"/>
              </w:rPr>
            </w:pPr>
            <w:r>
              <w:rPr>
                <w:rFonts w:hint="eastAsia"/>
                <w:sz w:val="21"/>
                <w:szCs w:val="21"/>
              </w:rPr>
              <w:t>恶臭气体</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集气系统+活性炭吸附装置+</w:t>
            </w:r>
            <w:r>
              <w:rPr>
                <w:sz w:val="21"/>
                <w:szCs w:val="21"/>
              </w:rPr>
              <w:t>15m高排气筒排放</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1套</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牛羊预制品生产线烹饪油烟</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静电油烟处理</w:t>
            </w:r>
            <w:r>
              <w:rPr>
                <w:rFonts w:hint="eastAsia"/>
                <w:sz w:val="21"/>
                <w:szCs w:val="21"/>
              </w:rPr>
              <w:t>装置</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4套</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291"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废水</w:t>
            </w: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生活污水</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依托现有的化粪池、隔油池处理后直接排入厂区污水处理站处理，处理后的达标废水用于饲草区灌溉</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62" w:hRule="atLeas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生产废水</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依托现有污水处理站处理，处理后的达标废水用于饲草区灌溉</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达标废水</w:t>
            </w:r>
          </w:p>
          <w:p>
            <w:pPr>
              <w:adjustRightInd w:val="0"/>
              <w:snapToGrid w:val="0"/>
              <w:spacing w:line="240" w:lineRule="auto"/>
              <w:ind w:firstLine="0" w:firstLineChars="0"/>
              <w:jc w:val="center"/>
              <w:rPr>
                <w:sz w:val="21"/>
                <w:szCs w:val="21"/>
              </w:rPr>
            </w:pPr>
            <w:r>
              <w:rPr>
                <w:rFonts w:hint="eastAsia"/>
                <w:sz w:val="21"/>
                <w:szCs w:val="21"/>
              </w:rPr>
              <w:t>暂存池</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新建达标废水暂存池1座，容积为80000m</w:t>
            </w:r>
            <w:r>
              <w:rPr>
                <w:rFonts w:hint="eastAsia"/>
                <w:sz w:val="21"/>
                <w:szCs w:val="21"/>
                <w:vertAlign w:val="superscript"/>
              </w:rPr>
              <w:t>3</w:t>
            </w:r>
            <w:r>
              <w:rPr>
                <w:rFonts w:hint="eastAsia"/>
                <w:sz w:val="21"/>
                <w:szCs w:val="21"/>
              </w:rPr>
              <w:t>，达标废水暂存池需设置顶棚，池体底部、池壁须全部做水泥硬化处理，渗透系数应K≤1.0×10</w:t>
            </w:r>
            <w:r>
              <w:rPr>
                <w:rFonts w:hint="eastAsia"/>
                <w:sz w:val="21"/>
                <w:szCs w:val="21"/>
                <w:vertAlign w:val="superscript"/>
              </w:rPr>
              <w:t>-7</w:t>
            </w:r>
            <w:r>
              <w:rPr>
                <w:rFonts w:hint="eastAsia"/>
                <w:sz w:val="21"/>
                <w:szCs w:val="21"/>
              </w:rPr>
              <w:t>cm/s，</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1座</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噪声</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高噪设备加装防震、减震装置</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固废</w:t>
            </w: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生活垃圾</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设置生活垃圾分类收集桶若干，生活垃圾集中收集后交由环卫部门统一处理</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羊粪、屠宰固废、酱卤及蒸煮固废、择菜固废</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设置清运车1辆，日产日清，集中收集后拉运至厂区有机肥生产车间作为原料使用</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废包装</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设置一般固废暂存间1座，占地面积</w:t>
            </w:r>
            <w:r>
              <w:rPr>
                <w:rFonts w:hint="eastAsia"/>
                <w:sz w:val="21"/>
                <w:szCs w:val="21"/>
                <w:lang w:val="en-US" w:eastAsia="zh-CN"/>
              </w:rPr>
              <w:t>5</w:t>
            </w:r>
            <w:r>
              <w:rPr>
                <w:rFonts w:hint="eastAsia"/>
                <w:sz w:val="21"/>
                <w:szCs w:val="21"/>
              </w:rPr>
              <w:t>0m</w:t>
            </w:r>
            <w:r>
              <w:rPr>
                <w:rFonts w:hint="eastAsia"/>
                <w:sz w:val="21"/>
                <w:szCs w:val="21"/>
                <w:vertAlign w:val="superscript"/>
              </w:rPr>
              <w:t>2</w:t>
            </w:r>
            <w:r>
              <w:rPr>
                <w:rFonts w:hint="eastAsia"/>
                <w:sz w:val="21"/>
                <w:szCs w:val="21"/>
              </w:rPr>
              <w:t>，暂存后全部外售废旧回收单位处置</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1座</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废活性炭</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设置</w:t>
            </w:r>
            <w:r>
              <w:rPr>
                <w:sz w:val="21"/>
                <w:szCs w:val="21"/>
              </w:rPr>
              <w:t>危废暂存间</w:t>
            </w:r>
            <w:r>
              <w:rPr>
                <w:rFonts w:hint="eastAsia"/>
                <w:sz w:val="21"/>
                <w:szCs w:val="21"/>
              </w:rPr>
              <w:t>1座</w:t>
            </w:r>
            <w:r>
              <w:rPr>
                <w:sz w:val="21"/>
                <w:szCs w:val="21"/>
              </w:rPr>
              <w:t>，</w:t>
            </w:r>
            <w:r>
              <w:rPr>
                <w:rFonts w:hint="eastAsia"/>
                <w:sz w:val="21"/>
                <w:szCs w:val="21"/>
              </w:rPr>
              <w:t>占地</w:t>
            </w:r>
            <w:r>
              <w:rPr>
                <w:sz w:val="21"/>
                <w:szCs w:val="21"/>
              </w:rPr>
              <w:t>面积</w:t>
            </w:r>
            <w:r>
              <w:rPr>
                <w:rFonts w:hint="eastAsia"/>
                <w:sz w:val="21"/>
                <w:szCs w:val="21"/>
              </w:rPr>
              <w:t>25</w:t>
            </w:r>
            <w:r>
              <w:rPr>
                <w:sz w:val="21"/>
                <w:szCs w:val="21"/>
              </w:rPr>
              <w:t>m</w:t>
            </w:r>
            <w:r>
              <w:rPr>
                <w:sz w:val="21"/>
                <w:szCs w:val="21"/>
                <w:vertAlign w:val="superscript"/>
              </w:rPr>
              <w:t>2</w:t>
            </w:r>
            <w:r>
              <w:rPr>
                <w:sz w:val="21"/>
                <w:szCs w:val="21"/>
              </w:rPr>
              <w:t>，</w:t>
            </w:r>
            <w:r>
              <w:rPr>
                <w:rFonts w:hint="eastAsia"/>
                <w:sz w:val="21"/>
                <w:szCs w:val="21"/>
              </w:rPr>
              <w:t>暂存后全部委托有资质的单位处置</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1座</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1" w:type="pct"/>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890"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病死羊</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委托张掖市宏金雁再生能源科技发展有限责任公司进行无害化处理</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181" w:type="pct"/>
            <w:gridSpan w:val="2"/>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环境管理与监测</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环境管理与监测</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环境风险防范</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建设1座容积为</w:t>
            </w:r>
            <w:r>
              <w:rPr>
                <w:rFonts w:hint="eastAsia"/>
                <w:sz w:val="21"/>
                <w:szCs w:val="21"/>
                <w:lang w:val="en-US" w:eastAsia="zh-CN"/>
              </w:rPr>
              <w:t>1500</w:t>
            </w:r>
            <w:r>
              <w:rPr>
                <w:rFonts w:hint="eastAsia"/>
                <w:sz w:val="21"/>
                <w:szCs w:val="21"/>
              </w:rPr>
              <w:t>m</w:t>
            </w:r>
            <w:r>
              <w:rPr>
                <w:rFonts w:hint="eastAsia"/>
                <w:sz w:val="21"/>
                <w:szCs w:val="21"/>
                <w:vertAlign w:val="superscript"/>
              </w:rPr>
              <w:t>3</w:t>
            </w:r>
            <w:r>
              <w:rPr>
                <w:rFonts w:hint="eastAsia"/>
                <w:sz w:val="21"/>
                <w:szCs w:val="21"/>
              </w:rPr>
              <w:t>的事故应急池，池底、池壁做防渗处理，</w:t>
            </w:r>
            <w:r>
              <w:rPr>
                <w:sz w:val="21"/>
                <w:szCs w:val="21"/>
              </w:rPr>
              <w:t>其中防渗要求等效粘土防渗层Mb≥6.0m，K≤1×10</w:t>
            </w:r>
            <w:r>
              <w:rPr>
                <w:sz w:val="21"/>
                <w:szCs w:val="21"/>
                <w:vertAlign w:val="superscript"/>
              </w:rPr>
              <w:t>-7</w:t>
            </w:r>
            <w:r>
              <w:rPr>
                <w:sz w:val="21"/>
                <w:szCs w:val="21"/>
              </w:rPr>
              <w:t>cm/s；</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lang w:val="en-US" w:eastAsia="zh-CN"/>
              </w:rPr>
              <w:t>1</w:t>
            </w:r>
            <w:r>
              <w:rPr>
                <w:sz w:val="21"/>
                <w:szCs w:val="21"/>
              </w:rPr>
              <w:t>座</w:t>
            </w:r>
          </w:p>
        </w:tc>
        <w:tc>
          <w:tcPr>
            <w:tcW w:w="678" w:type="pct"/>
            <w:tcBorders>
              <w:tl2br w:val="nil"/>
              <w:tr2bl w:val="nil"/>
            </w:tcBorders>
            <w:vAlign w:val="center"/>
          </w:tcPr>
          <w:p>
            <w:pPr>
              <w:adjustRightInd w:val="0"/>
              <w:snapToGrid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vMerge w:val="continue"/>
            <w:tcBorders>
              <w:tl2br w:val="nil"/>
              <w:tr2bl w:val="nil"/>
            </w:tcBorders>
            <w:vAlign w:val="center"/>
          </w:tcPr>
          <w:p>
            <w:pPr>
              <w:adjustRightInd w:val="0"/>
              <w:snapToGrid w:val="0"/>
              <w:spacing w:line="240" w:lineRule="auto"/>
              <w:ind w:firstLine="0" w:firstLineChars="0"/>
              <w:jc w:val="center"/>
              <w:rPr>
                <w:sz w:val="21"/>
                <w:szCs w:val="21"/>
              </w:rPr>
            </w:pP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编制突发环境事件应急预案，并向当地生态环保部门备案</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181" w:type="pct"/>
            <w:gridSpan w:val="2"/>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防渗工程</w:t>
            </w:r>
          </w:p>
        </w:tc>
        <w:tc>
          <w:tcPr>
            <w:tcW w:w="47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重点防渗区</w:t>
            </w:r>
          </w:p>
        </w:tc>
        <w:tc>
          <w:tcPr>
            <w:tcW w:w="132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污水处理系统（包括构筑物、阀门、管道、废水收集管网等）</w:t>
            </w:r>
            <w:r>
              <w:rPr>
                <w:rFonts w:hint="eastAsia"/>
                <w:sz w:val="21"/>
                <w:szCs w:val="21"/>
              </w:rPr>
              <w:t>、达标废水暂存池、事故应急池、</w:t>
            </w:r>
            <w:r>
              <w:rPr>
                <w:sz w:val="21"/>
                <w:szCs w:val="21"/>
              </w:rPr>
              <w:t>危废暂存间</w:t>
            </w:r>
          </w:p>
        </w:tc>
        <w:tc>
          <w:tcPr>
            <w:tcW w:w="943"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等效粘土防渗层Mb≥6.0m，K≤1×10-7cm/s；</w:t>
            </w:r>
          </w:p>
        </w:tc>
        <w:tc>
          <w:tcPr>
            <w:tcW w:w="403"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w:t>
            </w:r>
          </w:p>
        </w:tc>
        <w:tc>
          <w:tcPr>
            <w:tcW w:w="678" w:type="pct"/>
            <w:vMerge w:val="restar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vMerge w:val="continue"/>
            <w:tcBorders>
              <w:tl2br w:val="nil"/>
              <w:tr2bl w:val="nil"/>
            </w:tcBorders>
            <w:vAlign w:val="center"/>
          </w:tcPr>
          <w:p>
            <w:pPr>
              <w:adjustRightInd w:val="0"/>
              <w:snapToGrid w:val="0"/>
              <w:spacing w:line="240" w:lineRule="auto"/>
              <w:ind w:firstLine="0" w:firstLineChars="0"/>
              <w:rPr>
                <w:sz w:val="21"/>
                <w:szCs w:val="21"/>
              </w:rPr>
            </w:pPr>
          </w:p>
        </w:tc>
        <w:tc>
          <w:tcPr>
            <w:tcW w:w="47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一般防渗区</w:t>
            </w:r>
          </w:p>
        </w:tc>
        <w:tc>
          <w:tcPr>
            <w:tcW w:w="1321"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综合生产车间、待宰圈、冷库、一般固废暂存间</w:t>
            </w:r>
          </w:p>
        </w:tc>
        <w:tc>
          <w:tcPr>
            <w:tcW w:w="943"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等效粘土防渗层Mb≥1.5m，K≤1×10</w:t>
            </w:r>
            <w:r>
              <w:rPr>
                <w:sz w:val="21"/>
                <w:szCs w:val="21"/>
                <w:vertAlign w:val="superscript"/>
              </w:rPr>
              <w:t>-7</w:t>
            </w:r>
            <w:r>
              <w:rPr>
                <w:sz w:val="21"/>
                <w:szCs w:val="21"/>
              </w:rPr>
              <w:t>cm/s；</w:t>
            </w:r>
          </w:p>
        </w:tc>
        <w:tc>
          <w:tcPr>
            <w:tcW w:w="403" w:type="pct"/>
            <w:vMerge w:val="continue"/>
            <w:tcBorders>
              <w:tl2br w:val="nil"/>
              <w:tr2bl w:val="nil"/>
            </w:tcBorders>
            <w:vAlign w:val="center"/>
          </w:tcPr>
          <w:p>
            <w:pPr>
              <w:adjustRightInd w:val="0"/>
              <w:snapToGrid w:val="0"/>
              <w:spacing w:line="240" w:lineRule="auto"/>
              <w:ind w:firstLine="0" w:firstLineChars="0"/>
              <w:rPr>
                <w:sz w:val="21"/>
                <w:szCs w:val="21"/>
              </w:rPr>
            </w:pPr>
          </w:p>
        </w:tc>
        <w:tc>
          <w:tcPr>
            <w:tcW w:w="678" w:type="pct"/>
            <w:vMerge w:val="continue"/>
            <w:tcBorders>
              <w:tl2br w:val="nil"/>
              <w:tr2bl w:val="nil"/>
            </w:tcBorders>
            <w:vAlign w:val="center"/>
          </w:tcPr>
          <w:p>
            <w:pPr>
              <w:adjustRightInd w:val="0"/>
              <w:snapToGrid w:val="0"/>
              <w:spacing w:line="240"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vMerge w:val="continue"/>
            <w:tcBorders>
              <w:tl2br w:val="nil"/>
              <w:tr2bl w:val="nil"/>
            </w:tcBorders>
            <w:vAlign w:val="center"/>
          </w:tcPr>
          <w:p>
            <w:pPr>
              <w:adjustRightInd w:val="0"/>
              <w:snapToGrid w:val="0"/>
              <w:spacing w:line="240" w:lineRule="auto"/>
              <w:ind w:firstLine="0" w:firstLineChars="0"/>
              <w:rPr>
                <w:sz w:val="21"/>
                <w:szCs w:val="21"/>
              </w:rPr>
            </w:pPr>
          </w:p>
        </w:tc>
        <w:tc>
          <w:tcPr>
            <w:tcW w:w="472"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简单防渗区</w:t>
            </w:r>
          </w:p>
        </w:tc>
        <w:tc>
          <w:tcPr>
            <w:tcW w:w="132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办公区域</w:t>
            </w:r>
          </w:p>
        </w:tc>
        <w:tc>
          <w:tcPr>
            <w:tcW w:w="943"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一般地面硬化</w:t>
            </w:r>
          </w:p>
        </w:tc>
        <w:tc>
          <w:tcPr>
            <w:tcW w:w="403" w:type="pct"/>
            <w:vMerge w:val="continue"/>
            <w:tcBorders>
              <w:tl2br w:val="nil"/>
              <w:tr2bl w:val="nil"/>
            </w:tcBorders>
            <w:vAlign w:val="center"/>
          </w:tcPr>
          <w:p>
            <w:pPr>
              <w:adjustRightInd w:val="0"/>
              <w:snapToGrid w:val="0"/>
              <w:spacing w:line="240" w:lineRule="auto"/>
              <w:ind w:firstLine="0" w:firstLineChars="0"/>
              <w:rPr>
                <w:sz w:val="21"/>
                <w:szCs w:val="21"/>
              </w:rPr>
            </w:pPr>
          </w:p>
        </w:tc>
        <w:tc>
          <w:tcPr>
            <w:tcW w:w="678" w:type="pct"/>
            <w:vMerge w:val="continue"/>
            <w:tcBorders>
              <w:tl2br w:val="nil"/>
              <w:tr2bl w:val="nil"/>
            </w:tcBorders>
            <w:vAlign w:val="center"/>
          </w:tcPr>
          <w:p>
            <w:pPr>
              <w:adjustRightInd w:val="0"/>
              <w:snapToGrid w:val="0"/>
              <w:spacing w:line="240" w:lineRule="auto"/>
              <w:ind w:firstLine="0" w:firstLineChars="0"/>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81" w:type="pct"/>
            <w:gridSpan w:val="2"/>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合计</w:t>
            </w:r>
          </w:p>
        </w:tc>
        <w:tc>
          <w:tcPr>
            <w:tcW w:w="2736" w:type="pct"/>
            <w:gridSpan w:val="3"/>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w:t>
            </w:r>
          </w:p>
        </w:tc>
        <w:tc>
          <w:tcPr>
            <w:tcW w:w="403"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w:t>
            </w:r>
          </w:p>
        </w:tc>
        <w:tc>
          <w:tcPr>
            <w:tcW w:w="678" w:type="pct"/>
            <w:tcBorders>
              <w:tl2br w:val="nil"/>
              <w:tr2bl w:val="nil"/>
            </w:tcBorders>
            <w:vAlign w:val="center"/>
          </w:tcPr>
          <w:p>
            <w:pPr>
              <w:adjustRightInd w:val="0"/>
              <w:snapToGrid w:val="0"/>
              <w:spacing w:line="240" w:lineRule="auto"/>
              <w:ind w:firstLine="0" w:firstLineChars="0"/>
              <w:jc w:val="center"/>
              <w:rPr>
                <w:rFonts w:hint="default" w:eastAsia="宋体"/>
                <w:sz w:val="21"/>
                <w:szCs w:val="21"/>
                <w:lang w:val="en-US" w:eastAsia="zh-CN"/>
              </w:rPr>
            </w:pPr>
            <w:r>
              <w:rPr>
                <w:rFonts w:hint="eastAsia"/>
                <w:sz w:val="21"/>
                <w:szCs w:val="21"/>
                <w:lang w:val="en-US" w:eastAsia="zh-CN"/>
              </w:rPr>
              <w:t>142.2</w:t>
            </w:r>
          </w:p>
        </w:tc>
      </w:tr>
    </w:tbl>
    <w:p>
      <w:pPr>
        <w:pStyle w:val="2"/>
        <w:rPr>
          <w:color w:val="auto"/>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797" w:name="_Toc9215_WPSOffice_Level1"/>
      <w:bookmarkStart w:id="798" w:name="_Toc9949"/>
      <w:bookmarkStart w:id="799" w:name="_Toc7515"/>
      <w:r>
        <w:rPr>
          <w:rFonts w:hint="eastAsia"/>
          <w:lang w:val="en-US" w:eastAsia="zh-CN"/>
        </w:rPr>
        <w:t>7</w:t>
      </w:r>
      <w:r>
        <w:rPr>
          <w:rFonts w:hint="eastAsia"/>
        </w:rPr>
        <w:t>、</w:t>
      </w:r>
      <w:r>
        <w:t>环境风险</w:t>
      </w:r>
      <w:bookmarkEnd w:id="797"/>
      <w:bookmarkEnd w:id="798"/>
      <w:bookmarkEnd w:id="799"/>
    </w:p>
    <w:p>
      <w:pPr>
        <w:pStyle w:val="5"/>
        <w:spacing w:before="60" w:after="60"/>
        <w:ind w:firstLine="562"/>
      </w:pPr>
      <w:bookmarkStart w:id="800" w:name="_Toc31960"/>
      <w:bookmarkStart w:id="801" w:name="_Toc3703"/>
      <w:bookmarkStart w:id="802" w:name="_Toc29284"/>
      <w:r>
        <w:rPr>
          <w:rFonts w:hint="eastAsia"/>
          <w:lang w:val="en-US" w:eastAsia="zh-CN"/>
        </w:rPr>
        <w:t>7</w:t>
      </w:r>
      <w:r>
        <w:rPr>
          <w:rFonts w:hint="eastAsia"/>
        </w:rPr>
        <w:t>.1、评价原则</w:t>
      </w:r>
      <w:bookmarkEnd w:id="800"/>
      <w:bookmarkEnd w:id="801"/>
      <w:bookmarkEnd w:id="802"/>
    </w:p>
    <w:p>
      <w:pPr>
        <w:ind w:firstLine="480"/>
      </w:pPr>
      <w:r>
        <w:t>按照《建设项目环境风险评价技术导则》</w:t>
      </w:r>
      <w:r>
        <w:rPr>
          <w:rFonts w:hint="eastAsia"/>
        </w:rPr>
        <w:t>（</w:t>
      </w:r>
      <w:r>
        <w:t>HJ/T169-2018</w:t>
      </w:r>
      <w:r>
        <w:rPr>
          <w:rFonts w:hint="eastAsia"/>
        </w:rPr>
        <w:t>）</w:t>
      </w:r>
      <w:r>
        <w:t>的要求，环境风险评价应以突发性事故导致的危险物质环境急性损害防控为目标</w:t>
      </w:r>
      <w:r>
        <w:rPr>
          <w:rFonts w:hint="eastAsia"/>
        </w:rPr>
        <w:t>，</w:t>
      </w:r>
      <w:r>
        <w:t>对建设项目的环境风险进行分析、预测和评估，提出环境风险预防、控制、减缓措施，明确环境风险监控及应急要求，为建设项目环境风险防控提供科学依据。</w:t>
      </w:r>
    </w:p>
    <w:p>
      <w:pPr>
        <w:pStyle w:val="5"/>
        <w:spacing w:before="60" w:after="60"/>
        <w:ind w:firstLine="562"/>
      </w:pPr>
      <w:bookmarkStart w:id="803" w:name="_Toc26504"/>
      <w:bookmarkStart w:id="804" w:name="_Toc126_WPSOffice_Level1"/>
      <w:bookmarkStart w:id="805" w:name="_Toc5334"/>
      <w:r>
        <w:rPr>
          <w:rFonts w:hint="eastAsia"/>
          <w:lang w:val="en-US" w:eastAsia="zh-CN"/>
        </w:rPr>
        <w:t>7</w:t>
      </w:r>
      <w:r>
        <w:rPr>
          <w:rFonts w:hint="eastAsia"/>
        </w:rPr>
        <w:t>.2、</w:t>
      </w:r>
      <w:r>
        <w:t>评价工作程序</w:t>
      </w:r>
      <w:bookmarkEnd w:id="803"/>
      <w:bookmarkEnd w:id="804"/>
      <w:bookmarkEnd w:id="805"/>
    </w:p>
    <w:p>
      <w:pPr>
        <w:ind w:firstLine="480"/>
      </w:pPr>
      <w:r>
        <w:t>评价工作程序见图</w:t>
      </w:r>
      <w:r>
        <w:rPr>
          <w:rFonts w:hint="eastAsia"/>
          <w:lang w:val="en-US" w:eastAsia="zh-CN"/>
        </w:rPr>
        <w:t>7</w:t>
      </w:r>
      <w:r>
        <w:rPr>
          <w:rFonts w:hint="eastAsia"/>
        </w:rPr>
        <w:t>-1</w:t>
      </w:r>
      <w:r>
        <w:t>。</w:t>
      </w:r>
    </w:p>
    <w:p>
      <w:pPr>
        <w:ind w:firstLine="0" w:firstLineChars="0"/>
        <w:jc w:val="center"/>
      </w:pPr>
      <w:r>
        <w:drawing>
          <wp:inline distT="0" distB="0" distL="114300" distR="114300">
            <wp:extent cx="5858510" cy="5718810"/>
            <wp:effectExtent l="0" t="0" r="8890" b="15240"/>
            <wp:docPr id="7" name="图片 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1"/>
                    <pic:cNvPicPr>
                      <a:picLocks noChangeAspect="1"/>
                    </pic:cNvPicPr>
                  </pic:nvPicPr>
                  <pic:blipFill>
                    <a:blip r:embed="rId89"/>
                    <a:stretch>
                      <a:fillRect/>
                    </a:stretch>
                  </pic:blipFill>
                  <pic:spPr>
                    <a:xfrm>
                      <a:off x="0" y="0"/>
                      <a:ext cx="5858510" cy="5718810"/>
                    </a:xfrm>
                    <a:prstGeom prst="rect">
                      <a:avLst/>
                    </a:prstGeom>
                  </pic:spPr>
                </pic:pic>
              </a:graphicData>
            </a:graphic>
          </wp:inline>
        </w:drawing>
      </w:r>
    </w:p>
    <w:p>
      <w:pPr>
        <w:ind w:firstLine="482"/>
        <w:jc w:val="center"/>
      </w:pPr>
      <w:r>
        <w:rPr>
          <w:b/>
          <w:bCs/>
        </w:rPr>
        <w:t>图</w:t>
      </w:r>
      <w:r>
        <w:rPr>
          <w:rFonts w:hint="eastAsia"/>
          <w:b/>
          <w:bCs/>
          <w:lang w:val="en-US" w:eastAsia="zh-CN"/>
        </w:rPr>
        <w:t>7</w:t>
      </w:r>
      <w:r>
        <w:rPr>
          <w:rFonts w:hint="eastAsia"/>
          <w:b/>
          <w:bCs/>
        </w:rPr>
        <w:t xml:space="preserve">-1    </w:t>
      </w:r>
      <w:r>
        <w:rPr>
          <w:b/>
          <w:bCs/>
        </w:rPr>
        <w:t>评价工作程序</w:t>
      </w:r>
    </w:p>
    <w:p>
      <w:pPr>
        <w:jc w:val="center"/>
        <w:rPr>
          <w:rFonts w:ascii="黑体" w:eastAsia="黑体"/>
          <w:sz w:val="21"/>
        </w:rPr>
        <w:sectPr>
          <w:pgSz w:w="11910" w:h="16840"/>
          <w:pgMar w:top="1440" w:right="1080" w:bottom="1440" w:left="1080" w:header="817" w:footer="815" w:gutter="0"/>
          <w:pgBorders>
            <w:top w:val="none" w:sz="0" w:space="0"/>
            <w:left w:val="none" w:sz="0" w:space="0"/>
            <w:bottom w:val="none" w:sz="0" w:space="0"/>
            <w:right w:val="none" w:sz="0" w:space="0"/>
          </w:pgBorders>
          <w:cols w:space="720" w:num="1"/>
        </w:sectPr>
      </w:pPr>
    </w:p>
    <w:p>
      <w:pPr>
        <w:pStyle w:val="5"/>
        <w:spacing w:before="78" w:after="78"/>
        <w:ind w:firstLine="562"/>
      </w:pPr>
      <w:bookmarkStart w:id="806" w:name="_TOC_250033"/>
      <w:bookmarkEnd w:id="806"/>
      <w:bookmarkStart w:id="807" w:name="_Toc9047"/>
      <w:bookmarkStart w:id="808" w:name="_Toc16605"/>
      <w:bookmarkStart w:id="809" w:name="_Toc9673_WPSOffice_Level1"/>
      <w:r>
        <w:rPr>
          <w:rFonts w:hint="eastAsia"/>
          <w:lang w:val="en-US" w:eastAsia="zh-CN"/>
        </w:rPr>
        <w:t>7</w:t>
      </w:r>
      <w:r>
        <w:rPr>
          <w:rFonts w:hint="eastAsia"/>
        </w:rPr>
        <w:t>.3、风险调查</w:t>
      </w:r>
      <w:bookmarkEnd w:id="807"/>
      <w:bookmarkEnd w:id="808"/>
    </w:p>
    <w:p>
      <w:pPr>
        <w:pStyle w:val="6"/>
        <w:ind w:firstLine="482"/>
      </w:pPr>
      <w:bookmarkStart w:id="810" w:name="_Toc30296"/>
      <w:r>
        <w:rPr>
          <w:rFonts w:hint="eastAsia"/>
          <w:lang w:val="en-US" w:eastAsia="zh-CN"/>
        </w:rPr>
        <w:t>7</w:t>
      </w:r>
      <w:r>
        <w:rPr>
          <w:rFonts w:hint="eastAsia"/>
        </w:rPr>
        <w:t>.3.1、风险源调查</w:t>
      </w:r>
      <w:bookmarkEnd w:id="810"/>
    </w:p>
    <w:p>
      <w:pPr>
        <w:ind w:firstLine="480"/>
      </w:pPr>
      <w:r>
        <w:rPr>
          <w:rFonts w:hint="eastAsia"/>
        </w:rPr>
        <w:t>风险源调查主要是调查建设项目在运营期涉及的危险物质数量、分布情况等。查阅</w:t>
      </w:r>
      <w:r>
        <w:t>《建设项目环境风险评价技术导则》（HJ169-2018）</w:t>
      </w:r>
      <w:r>
        <w:rPr>
          <w:rFonts w:hint="eastAsia"/>
        </w:rPr>
        <w:t>附录B，同时结合本项目实际情况，确定</w:t>
      </w:r>
      <w:r>
        <w:t>本项目生产过程中</w:t>
      </w:r>
      <w:r>
        <w:rPr>
          <w:rFonts w:hint="eastAsia"/>
        </w:rPr>
        <w:t>主要</w:t>
      </w:r>
      <w:r>
        <w:t>涉及有毒有害</w:t>
      </w:r>
      <w:r>
        <w:rPr>
          <w:rFonts w:hint="eastAsia"/>
        </w:rPr>
        <w:t>物质和</w:t>
      </w:r>
      <w:r>
        <w:t>易燃易爆物质</w:t>
      </w:r>
      <w:r>
        <w:rPr>
          <w:rFonts w:hint="eastAsia"/>
        </w:rPr>
        <w:t>主要为：</w:t>
      </w:r>
    </w:p>
    <w:p>
      <w:pPr>
        <w:ind w:firstLine="480"/>
      </w:pPr>
      <w:r>
        <w:rPr>
          <w:rFonts w:hint="eastAsia"/>
        </w:rPr>
        <w:t>（1）废活性炭；属于《建设项目环境风险评价技术导则》（HJ169－2018）附录B.2中的“健康危险急性毒性物质（类别2，类别3）”物质，废活性炭集中收集在危废暂存间；</w:t>
      </w:r>
    </w:p>
    <w:p>
      <w:pPr>
        <w:ind w:firstLine="480"/>
      </w:pPr>
      <w:r>
        <w:rPr>
          <w:rFonts w:hint="eastAsia"/>
        </w:rPr>
        <w:t>（2）硫化氢：属于《建设项目环境风险评价技术导则》（HJ169－2018）</w:t>
      </w:r>
      <w:r>
        <w:rPr>
          <w:rFonts w:hint="eastAsia"/>
          <w:lang w:val="en-US" w:eastAsia="zh-CN"/>
        </w:rPr>
        <w:t>附录B中的风险物质</w:t>
      </w:r>
      <w:r>
        <w:rPr>
          <w:rFonts w:hint="eastAsia"/>
          <w:lang w:eastAsia="zh-CN"/>
        </w:rPr>
        <w:t>，</w:t>
      </w:r>
      <w:r>
        <w:rPr>
          <w:rFonts w:hint="eastAsia"/>
        </w:rPr>
        <w:t>CAS号7783-06-4，不储存，主要产生于肉羊精深加工车间和待宰圈</w:t>
      </w:r>
      <w:r>
        <w:rPr>
          <w:rFonts w:hint="eastAsia"/>
          <w:lang w:val="en-US" w:eastAsia="zh-CN"/>
        </w:rPr>
        <w:t>排放的恶臭气体</w:t>
      </w:r>
      <w:r>
        <w:rPr>
          <w:rFonts w:hint="eastAsia"/>
        </w:rPr>
        <w:t>；</w:t>
      </w:r>
    </w:p>
    <w:p>
      <w:pPr>
        <w:ind w:firstLine="480"/>
      </w:pPr>
      <w:r>
        <w:rPr>
          <w:rFonts w:hint="eastAsia"/>
        </w:rPr>
        <w:t>（3）氨气：属于《建设项目环境风险评价技术导则》（HJ169－2018）</w:t>
      </w:r>
      <w:r>
        <w:rPr>
          <w:rFonts w:hint="eastAsia"/>
          <w:lang w:val="en-US" w:eastAsia="zh-CN"/>
        </w:rPr>
        <w:t>附录B中的风险物质</w:t>
      </w:r>
      <w:r>
        <w:rPr>
          <w:rFonts w:hint="eastAsia"/>
          <w:lang w:eastAsia="zh-CN"/>
        </w:rPr>
        <w:t>，</w:t>
      </w:r>
      <w:r>
        <w:rPr>
          <w:rFonts w:hint="eastAsia"/>
        </w:rPr>
        <w:t>CAS号7664-41-7，不储存，主要产生于肉羊精深加工车间和待宰圈</w:t>
      </w:r>
      <w:r>
        <w:rPr>
          <w:rFonts w:hint="eastAsia"/>
          <w:lang w:val="en-US" w:eastAsia="zh-CN"/>
        </w:rPr>
        <w:t>排放的恶臭气体</w:t>
      </w:r>
      <w:r>
        <w:rPr>
          <w:rFonts w:hint="eastAsia"/>
        </w:rPr>
        <w:t>；</w:t>
      </w:r>
    </w:p>
    <w:p>
      <w:pPr>
        <w:pStyle w:val="6"/>
        <w:ind w:firstLine="482"/>
      </w:pPr>
      <w:bookmarkStart w:id="811" w:name="_Toc6071"/>
      <w:r>
        <w:rPr>
          <w:rFonts w:hint="eastAsia"/>
          <w:lang w:val="en-US" w:eastAsia="zh-CN"/>
        </w:rPr>
        <w:t>7</w:t>
      </w:r>
      <w:r>
        <w:rPr>
          <w:rFonts w:hint="eastAsia"/>
        </w:rPr>
        <w:t>.3.2、环境敏感目标调查</w:t>
      </w:r>
      <w:bookmarkEnd w:id="811"/>
    </w:p>
    <w:p>
      <w:pPr>
        <w:ind w:firstLine="480"/>
      </w:pPr>
      <w:r>
        <w:rPr>
          <w:rFonts w:hint="eastAsia"/>
        </w:rPr>
        <w:t>环境敏感目标调查详见“1.8、</w:t>
      </w:r>
      <w:r>
        <w:t>主要环境保护目标及环境敏感点</w:t>
      </w:r>
      <w:r>
        <w:rPr>
          <w:rFonts w:hint="eastAsia"/>
        </w:rPr>
        <w:t>”章节。</w:t>
      </w:r>
    </w:p>
    <w:p>
      <w:pPr>
        <w:pStyle w:val="5"/>
        <w:spacing w:before="78" w:after="78"/>
        <w:ind w:firstLine="562"/>
      </w:pPr>
      <w:bookmarkStart w:id="812" w:name="_Toc23390"/>
      <w:bookmarkStart w:id="813" w:name="_Toc7016"/>
      <w:r>
        <w:rPr>
          <w:rFonts w:hint="eastAsia"/>
          <w:lang w:val="en-US" w:eastAsia="zh-CN"/>
        </w:rPr>
        <w:t>7</w:t>
      </w:r>
      <w:r>
        <w:rPr>
          <w:rFonts w:hint="eastAsia"/>
        </w:rPr>
        <w:t>.4、</w:t>
      </w:r>
      <w:r>
        <w:t>风险潜势初判</w:t>
      </w:r>
      <w:bookmarkEnd w:id="809"/>
      <w:bookmarkEnd w:id="812"/>
      <w:bookmarkEnd w:id="813"/>
    </w:p>
    <w:p>
      <w:pPr>
        <w:ind w:firstLine="480"/>
      </w:pPr>
      <w:r>
        <w:t>根据《建设项目环境风险评价技术导则》（HJ169－2018）附录C，Q按下式进行计算：</w:t>
      </w:r>
    </w:p>
    <w:p>
      <w:pPr>
        <w:ind w:firstLine="480"/>
        <w:jc w:val="center"/>
      </w:pPr>
      <w:r>
        <w:rPr>
          <w:rFonts w:hint="eastAsia" w:eastAsia="宋体"/>
          <w:lang w:eastAsia="zh-CN"/>
        </w:rPr>
        <w:drawing>
          <wp:inline distT="0" distB="0" distL="114300" distR="114300">
            <wp:extent cx="2943225" cy="857250"/>
            <wp:effectExtent l="0" t="0" r="9525" b="0"/>
            <wp:docPr id="31" name="图片 31" descr="5db841378918f36842f9e03b36d1b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5db841378918f36842f9e03b36d1b24"/>
                    <pic:cNvPicPr>
                      <a:picLocks noChangeAspect="1"/>
                    </pic:cNvPicPr>
                  </pic:nvPicPr>
                  <pic:blipFill>
                    <a:blip r:embed="rId90"/>
                    <a:stretch>
                      <a:fillRect/>
                    </a:stretch>
                  </pic:blipFill>
                  <pic:spPr>
                    <a:xfrm>
                      <a:off x="0" y="0"/>
                      <a:ext cx="2943225" cy="857250"/>
                    </a:xfrm>
                    <a:prstGeom prst="rect">
                      <a:avLst/>
                    </a:prstGeom>
                  </pic:spPr>
                </pic:pic>
              </a:graphicData>
            </a:graphic>
          </wp:inline>
        </w:drawing>
      </w:r>
    </w:p>
    <w:p>
      <w:pPr>
        <w:ind w:firstLine="480"/>
      </w:pPr>
      <w:r>
        <w:t>式中：q</w:t>
      </w:r>
      <w:r>
        <w:rPr>
          <w:vertAlign w:val="subscript"/>
        </w:rPr>
        <w:t>1</w:t>
      </w:r>
      <w:r>
        <w:t>，q</w:t>
      </w:r>
      <w:r>
        <w:rPr>
          <w:vertAlign w:val="subscript"/>
        </w:rPr>
        <w:t>2</w:t>
      </w:r>
      <w:r>
        <w:t>……q</w:t>
      </w:r>
      <w:r>
        <w:rPr>
          <w:vertAlign w:val="subscript"/>
        </w:rPr>
        <w:t>n</w:t>
      </w:r>
      <w:r>
        <w:t>—每种危险物质的最大存在量，t；</w:t>
      </w:r>
    </w:p>
    <w:p>
      <w:pPr>
        <w:ind w:firstLine="960" w:firstLineChars="400"/>
      </w:pPr>
      <w:r>
        <w:rPr>
          <w:rFonts w:hint="eastAsia"/>
        </w:rPr>
        <w:t>Q</w:t>
      </w:r>
      <w:r>
        <w:rPr>
          <w:vertAlign w:val="subscript"/>
        </w:rPr>
        <w:t>1</w:t>
      </w:r>
      <w:r>
        <w:t>，</w:t>
      </w:r>
      <w:r>
        <w:rPr>
          <w:rFonts w:hint="eastAsia"/>
        </w:rPr>
        <w:t>Q</w:t>
      </w:r>
      <w:r>
        <w:rPr>
          <w:vertAlign w:val="subscript"/>
        </w:rPr>
        <w:t>2</w:t>
      </w:r>
      <w:r>
        <w:t>…</w:t>
      </w:r>
      <w:r>
        <w:rPr>
          <w:rFonts w:hint="eastAsia"/>
        </w:rPr>
        <w:t>Q</w:t>
      </w:r>
      <w:r>
        <w:rPr>
          <w:vertAlign w:val="subscript"/>
        </w:rPr>
        <w:t>n</w:t>
      </w:r>
      <w:r>
        <w:t>—每种危险物质的临当Q</w:t>
      </w:r>
      <w:r>
        <w:rPr>
          <w:rFonts w:hint="eastAsia"/>
        </w:rPr>
        <w:t>&lt;</w:t>
      </w:r>
      <w:r>
        <w:t>1时，该项目环境风险潜势为I。</w:t>
      </w:r>
    </w:p>
    <w:p>
      <w:pPr>
        <w:ind w:firstLine="960" w:firstLineChars="400"/>
      </w:pPr>
      <w:r>
        <w:rPr>
          <w:rFonts w:hint="eastAsia"/>
        </w:rPr>
        <w:t>当Q</w:t>
      </w:r>
      <w:r>
        <w:t>≥</w:t>
      </w:r>
      <w:r>
        <w:rPr>
          <w:rFonts w:hint="eastAsia"/>
        </w:rPr>
        <w:t>1时，将Q值划分为：（1）1</w:t>
      </w:r>
      <w:r>
        <w:t>≤</w:t>
      </w:r>
      <w:r>
        <w:rPr>
          <w:rFonts w:hint="eastAsia"/>
        </w:rPr>
        <w:t>Q&lt;10；（2）10</w:t>
      </w:r>
      <w:r>
        <w:t>≤</w:t>
      </w:r>
      <w:r>
        <w:rPr>
          <w:rFonts w:hint="eastAsia"/>
        </w:rPr>
        <w:t>Q&lt;100；（3）Q</w:t>
      </w:r>
      <w:r>
        <w:t>≥</w:t>
      </w:r>
      <w:r>
        <w:rPr>
          <w:rFonts w:hint="eastAsia"/>
        </w:rPr>
        <w:t>100。</w:t>
      </w:r>
    </w:p>
    <w:p>
      <w:pPr>
        <w:ind w:firstLine="960" w:firstLineChars="400"/>
      </w:pPr>
      <w:bookmarkStart w:id="814" w:name="_Toc6634_WPSOffice_Level2"/>
      <w:bookmarkStart w:id="815" w:name="_Toc29688_WPSOffice_Level2"/>
      <w:bookmarkStart w:id="816" w:name="_Toc14351_WPSOffice_Level2"/>
      <w:bookmarkStart w:id="817" w:name="_Toc9286_WPSOffice_Level2"/>
      <w:r>
        <w:t>Q的确定见下表。</w:t>
      </w:r>
      <w:bookmarkEnd w:id="814"/>
      <w:bookmarkEnd w:id="815"/>
      <w:bookmarkEnd w:id="816"/>
      <w:bookmarkEnd w:id="817"/>
    </w:p>
    <w:p>
      <w:pPr>
        <w:spacing w:line="240" w:lineRule="auto"/>
        <w:ind w:firstLine="482"/>
        <w:jc w:val="center"/>
      </w:pPr>
      <w:r>
        <w:rPr>
          <w:rFonts w:hint="eastAsia"/>
          <w:b/>
          <w:bCs/>
        </w:rPr>
        <w:t>表</w:t>
      </w:r>
      <w:r>
        <w:rPr>
          <w:rFonts w:hint="eastAsia"/>
          <w:b/>
          <w:bCs/>
          <w:lang w:val="en-US" w:eastAsia="zh-CN"/>
        </w:rPr>
        <w:t>7</w:t>
      </w:r>
      <w:r>
        <w:rPr>
          <w:rFonts w:hint="eastAsia"/>
          <w:b/>
          <w:bCs/>
        </w:rPr>
        <w:t>.1    建设项目</w:t>
      </w:r>
      <w:r>
        <w:rPr>
          <w:b/>
          <w:bCs/>
        </w:rPr>
        <w:t>Q</w:t>
      </w:r>
      <w:r>
        <w:rPr>
          <w:rFonts w:hint="eastAsia"/>
          <w:b/>
          <w:bCs/>
        </w:rPr>
        <w:t>值确定表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44"/>
        <w:gridCol w:w="1863"/>
        <w:gridCol w:w="1237"/>
        <w:gridCol w:w="1944"/>
        <w:gridCol w:w="1341"/>
        <w:gridCol w:w="2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27" w:type="pct"/>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序号</w:t>
            </w:r>
          </w:p>
        </w:tc>
        <w:tc>
          <w:tcPr>
            <w:tcW w:w="943" w:type="pct"/>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危险物质名称</w:t>
            </w:r>
          </w:p>
        </w:tc>
        <w:tc>
          <w:tcPr>
            <w:tcW w:w="626" w:type="pct"/>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CAS号</w:t>
            </w:r>
          </w:p>
        </w:tc>
        <w:tc>
          <w:tcPr>
            <w:tcW w:w="984" w:type="pct"/>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最大</w:t>
            </w:r>
            <w:r>
              <w:rPr>
                <w:rFonts w:hint="eastAsia"/>
                <w:b/>
                <w:bCs/>
                <w:sz w:val="21"/>
                <w:szCs w:val="21"/>
              </w:rPr>
              <w:t>储存</w:t>
            </w:r>
            <w:r>
              <w:rPr>
                <w:b/>
                <w:bCs/>
                <w:sz w:val="21"/>
                <w:szCs w:val="21"/>
              </w:rPr>
              <w:t>量</w:t>
            </w:r>
          </w:p>
        </w:tc>
        <w:tc>
          <w:tcPr>
            <w:tcW w:w="677" w:type="pct"/>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临界量</w:t>
            </w:r>
          </w:p>
        </w:tc>
        <w:tc>
          <w:tcPr>
            <w:tcW w:w="1340" w:type="pct"/>
            <w:tcBorders>
              <w:tl2br w:val="nil"/>
              <w:tr2bl w:val="nil"/>
            </w:tcBorders>
            <w:tcMar>
              <w:top w:w="0" w:type="dxa"/>
              <w:left w:w="68" w:type="dxa"/>
              <w:bottom w:w="0" w:type="dxa"/>
              <w:right w:w="68" w:type="dxa"/>
            </w:tcMar>
            <w:vAlign w:val="center"/>
          </w:tcPr>
          <w:p>
            <w:pPr>
              <w:spacing w:line="240" w:lineRule="auto"/>
              <w:ind w:firstLine="0" w:firstLineChars="0"/>
              <w:jc w:val="center"/>
              <w:rPr>
                <w:b/>
                <w:bCs/>
                <w:sz w:val="21"/>
                <w:szCs w:val="21"/>
              </w:rPr>
            </w:pPr>
            <w:r>
              <w:rPr>
                <w:b/>
                <w:bCs/>
                <w:sz w:val="21"/>
                <w:szCs w:val="21"/>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9" w:hRule="atLeast"/>
          <w:jc w:val="center"/>
        </w:trPr>
        <w:tc>
          <w:tcPr>
            <w:tcW w:w="42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1</w:t>
            </w:r>
          </w:p>
        </w:tc>
        <w:tc>
          <w:tcPr>
            <w:tcW w:w="943"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废活性炭</w:t>
            </w:r>
          </w:p>
        </w:tc>
        <w:tc>
          <w:tcPr>
            <w:tcW w:w="62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w:t>
            </w:r>
          </w:p>
        </w:tc>
        <w:tc>
          <w:tcPr>
            <w:tcW w:w="984"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0.75t</w:t>
            </w:r>
          </w:p>
        </w:tc>
        <w:tc>
          <w:tcPr>
            <w:tcW w:w="67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50t</w:t>
            </w:r>
          </w:p>
        </w:tc>
        <w:tc>
          <w:tcPr>
            <w:tcW w:w="134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 w:hRule="atLeast"/>
          <w:jc w:val="center"/>
        </w:trPr>
        <w:tc>
          <w:tcPr>
            <w:tcW w:w="42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2</w:t>
            </w:r>
          </w:p>
        </w:tc>
        <w:tc>
          <w:tcPr>
            <w:tcW w:w="943"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硫化氢</w:t>
            </w:r>
          </w:p>
        </w:tc>
        <w:tc>
          <w:tcPr>
            <w:tcW w:w="62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7783-06-4</w:t>
            </w:r>
          </w:p>
        </w:tc>
        <w:tc>
          <w:tcPr>
            <w:tcW w:w="984"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0.00</w:t>
            </w:r>
            <w:r>
              <w:rPr>
                <w:rFonts w:hint="eastAsia"/>
                <w:sz w:val="21"/>
                <w:szCs w:val="21"/>
              </w:rPr>
              <w:t>000</w:t>
            </w:r>
            <w:r>
              <w:rPr>
                <w:sz w:val="21"/>
                <w:szCs w:val="21"/>
              </w:rPr>
              <w:t>3</w:t>
            </w:r>
          </w:p>
        </w:tc>
        <w:tc>
          <w:tcPr>
            <w:tcW w:w="67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2.5</w:t>
            </w:r>
            <w:r>
              <w:rPr>
                <w:sz w:val="21"/>
                <w:szCs w:val="21"/>
              </w:rPr>
              <w:t>t</w:t>
            </w:r>
          </w:p>
        </w:tc>
        <w:tc>
          <w:tcPr>
            <w:tcW w:w="134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0.0000012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8" w:hRule="atLeast"/>
          <w:jc w:val="center"/>
        </w:trPr>
        <w:tc>
          <w:tcPr>
            <w:tcW w:w="42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3</w:t>
            </w:r>
          </w:p>
        </w:tc>
        <w:tc>
          <w:tcPr>
            <w:tcW w:w="943"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氨气</w:t>
            </w:r>
          </w:p>
        </w:tc>
        <w:tc>
          <w:tcPr>
            <w:tcW w:w="626"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7664-41-7</w:t>
            </w:r>
          </w:p>
        </w:tc>
        <w:tc>
          <w:tcPr>
            <w:tcW w:w="984"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0.</w:t>
            </w:r>
            <w:r>
              <w:rPr>
                <w:rFonts w:hint="eastAsia"/>
                <w:sz w:val="21"/>
                <w:szCs w:val="21"/>
              </w:rPr>
              <w:t>000</w:t>
            </w:r>
            <w:r>
              <w:rPr>
                <w:sz w:val="21"/>
                <w:szCs w:val="21"/>
              </w:rPr>
              <w:t>1</w:t>
            </w:r>
          </w:p>
        </w:tc>
        <w:tc>
          <w:tcPr>
            <w:tcW w:w="677"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5.0</w:t>
            </w:r>
            <w:r>
              <w:rPr>
                <w:sz w:val="21"/>
                <w:szCs w:val="21"/>
              </w:rPr>
              <w:t>t</w:t>
            </w:r>
          </w:p>
        </w:tc>
        <w:tc>
          <w:tcPr>
            <w:tcW w:w="134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3659" w:type="pct"/>
            <w:gridSpan w:val="5"/>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项目Q值∑</w:t>
            </w:r>
          </w:p>
        </w:tc>
        <w:tc>
          <w:tcPr>
            <w:tcW w:w="1340"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rPr>
              <w:t>0.1500212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5000" w:type="pct"/>
            <w:gridSpan w:val="6"/>
            <w:tcBorders>
              <w:tl2br w:val="nil"/>
              <w:tr2bl w:val="nil"/>
            </w:tcBorders>
            <w:tcMar>
              <w:top w:w="0" w:type="dxa"/>
              <w:left w:w="68" w:type="dxa"/>
              <w:bottom w:w="0" w:type="dxa"/>
              <w:right w:w="68" w:type="dxa"/>
            </w:tcMar>
            <w:vAlign w:val="center"/>
          </w:tcPr>
          <w:p>
            <w:pPr>
              <w:spacing w:line="240" w:lineRule="auto"/>
              <w:ind w:firstLine="0" w:firstLineChars="0"/>
              <w:rPr>
                <w:sz w:val="21"/>
                <w:szCs w:val="21"/>
              </w:rPr>
            </w:pPr>
            <w:r>
              <w:rPr>
                <w:rFonts w:hint="eastAsia"/>
                <w:sz w:val="21"/>
                <w:szCs w:val="21"/>
              </w:rPr>
              <w:t>备注：（1）</w:t>
            </w:r>
            <w:r>
              <w:rPr>
                <w:sz w:val="21"/>
                <w:szCs w:val="21"/>
              </w:rPr>
              <w:t>废活性炭</w:t>
            </w:r>
            <w:r>
              <w:rPr>
                <w:rFonts w:hint="eastAsia"/>
                <w:sz w:val="21"/>
                <w:szCs w:val="21"/>
              </w:rPr>
              <w:t>产生量为3.0t/a，建设单位3个月拉运处置1次，最大储存量按3个月产生量计算；</w:t>
            </w:r>
            <w:r>
              <w:rPr>
                <w:sz w:val="21"/>
                <w:szCs w:val="21"/>
              </w:rPr>
              <w:t>废活性炭</w:t>
            </w:r>
            <w:r>
              <w:rPr>
                <w:rFonts w:hint="eastAsia"/>
                <w:sz w:val="21"/>
                <w:szCs w:val="21"/>
              </w:rPr>
              <w:t>临界量参考</w:t>
            </w:r>
            <w:r>
              <w:rPr>
                <w:sz w:val="21"/>
                <w:szCs w:val="21"/>
              </w:rPr>
              <w:t>《建设项目环境风险评价技术导则》（HJ169－2018）附录</w:t>
            </w:r>
            <w:r>
              <w:rPr>
                <w:rFonts w:hint="eastAsia"/>
                <w:sz w:val="21"/>
                <w:szCs w:val="21"/>
              </w:rPr>
              <w:t>B.2中的“健康危险急性毒性物质（类别2，类别3）”取值；（2）硫化氢和氨的不储存，最大储量按1h产生量计算；</w:t>
            </w:r>
          </w:p>
        </w:tc>
      </w:tr>
    </w:tbl>
    <w:p>
      <w:pPr>
        <w:pStyle w:val="5"/>
        <w:spacing w:before="78" w:after="78"/>
        <w:ind w:firstLine="562"/>
      </w:pPr>
      <w:bookmarkStart w:id="818" w:name="_Toc29725"/>
      <w:bookmarkStart w:id="819" w:name="_Toc26126"/>
      <w:r>
        <w:rPr>
          <w:rFonts w:hint="eastAsia"/>
          <w:lang w:val="en-US" w:eastAsia="zh-CN"/>
        </w:rPr>
        <w:t>7</w:t>
      </w:r>
      <w:r>
        <w:rPr>
          <w:rFonts w:hint="eastAsia"/>
        </w:rPr>
        <w:t>.5、评价等级</w:t>
      </w:r>
      <w:bookmarkEnd w:id="818"/>
      <w:bookmarkEnd w:id="819"/>
    </w:p>
    <w:p>
      <w:pPr>
        <w:ind w:firstLine="480"/>
        <w:rPr>
          <w:bCs/>
          <w:szCs w:val="32"/>
        </w:rPr>
      </w:pPr>
      <w:r>
        <w:rPr>
          <w:szCs w:val="32"/>
        </w:rPr>
        <w:t>本项目所涉及的风险物质Q</w:t>
      </w:r>
      <w:r>
        <w:rPr>
          <w:rFonts w:hint="eastAsia"/>
          <w:szCs w:val="32"/>
        </w:rPr>
        <w:t>=0.1500212</w:t>
      </w:r>
      <w:r>
        <w:rPr>
          <w:szCs w:val="32"/>
        </w:rPr>
        <w:t>&lt;1，</w:t>
      </w:r>
      <w:r>
        <w:rPr>
          <w:bCs/>
          <w:szCs w:val="32"/>
        </w:rPr>
        <w:t>根据《建设项目环境风险评价技术导则》（HJ169-2018）中环境风险评价工作等级的划分依据，</w:t>
      </w:r>
      <w:r>
        <w:rPr>
          <w:rFonts w:hint="eastAsia"/>
          <w:bCs/>
          <w:szCs w:val="32"/>
        </w:rPr>
        <w:t>确定</w:t>
      </w:r>
      <w:r>
        <w:rPr>
          <w:szCs w:val="32"/>
        </w:rPr>
        <w:t>本项目环境风险潜势为Ⅰ</w:t>
      </w:r>
      <w:r>
        <w:rPr>
          <w:rFonts w:hint="eastAsia"/>
          <w:szCs w:val="32"/>
        </w:rPr>
        <w:t>，</w:t>
      </w:r>
      <w:r>
        <w:rPr>
          <w:bCs/>
          <w:szCs w:val="32"/>
        </w:rPr>
        <w:t>本项目环境风险评价工作等级为简单分析。评价工作等级划分依据表见表</w:t>
      </w:r>
      <w:r>
        <w:rPr>
          <w:rFonts w:hint="eastAsia"/>
          <w:bCs/>
          <w:szCs w:val="32"/>
          <w:lang w:val="en-US" w:eastAsia="zh-CN"/>
        </w:rPr>
        <w:t>7</w:t>
      </w:r>
      <w:r>
        <w:rPr>
          <w:rFonts w:hint="eastAsia"/>
          <w:bCs/>
          <w:szCs w:val="32"/>
        </w:rPr>
        <w:t>.2</w:t>
      </w:r>
      <w:r>
        <w:rPr>
          <w:bCs/>
          <w:szCs w:val="32"/>
        </w:rPr>
        <w:t>。</w:t>
      </w:r>
    </w:p>
    <w:p>
      <w:pPr>
        <w:pStyle w:val="95"/>
        <w:spacing w:beforeLines="0" w:line="240" w:lineRule="auto"/>
        <w:ind w:firstLine="482"/>
        <w:rPr>
          <w:szCs w:val="24"/>
        </w:rPr>
      </w:pPr>
      <w:r>
        <w:rPr>
          <w:szCs w:val="24"/>
        </w:rPr>
        <w:t>表</w:t>
      </w:r>
      <w:r>
        <w:rPr>
          <w:rFonts w:hint="eastAsia"/>
          <w:szCs w:val="24"/>
          <w:lang w:val="en-US" w:eastAsia="zh-CN"/>
        </w:rPr>
        <w:t>7</w:t>
      </w:r>
      <w:r>
        <w:rPr>
          <w:rFonts w:hint="eastAsia"/>
          <w:szCs w:val="24"/>
        </w:rPr>
        <w:t xml:space="preserve">.2  </w:t>
      </w:r>
      <w:r>
        <w:rPr>
          <w:szCs w:val="24"/>
        </w:rPr>
        <w:t xml:space="preserve">  评价工作等级划分依据表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0"/>
        <w:gridCol w:w="1962"/>
        <w:gridCol w:w="1962"/>
        <w:gridCol w:w="1964"/>
        <w:gridCol w:w="1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60" w:type="pct"/>
            <w:vAlign w:val="center"/>
          </w:tcPr>
          <w:p>
            <w:pPr>
              <w:spacing w:line="240" w:lineRule="auto"/>
              <w:ind w:firstLine="0" w:firstLineChars="0"/>
              <w:jc w:val="center"/>
              <w:rPr>
                <w:b/>
                <w:bCs/>
                <w:sz w:val="21"/>
                <w:szCs w:val="21"/>
              </w:rPr>
            </w:pPr>
            <w:r>
              <w:rPr>
                <w:b/>
                <w:bCs/>
                <w:sz w:val="21"/>
                <w:szCs w:val="21"/>
              </w:rPr>
              <w:t>环境风险潜势</w:t>
            </w:r>
          </w:p>
        </w:tc>
        <w:tc>
          <w:tcPr>
            <w:tcW w:w="985" w:type="pct"/>
            <w:vAlign w:val="center"/>
          </w:tcPr>
          <w:p>
            <w:pPr>
              <w:spacing w:line="240" w:lineRule="auto"/>
              <w:ind w:firstLine="0" w:firstLineChars="0"/>
              <w:jc w:val="center"/>
              <w:rPr>
                <w:b/>
                <w:bCs/>
                <w:sz w:val="21"/>
                <w:szCs w:val="21"/>
              </w:rPr>
            </w:pPr>
            <w:r>
              <w:rPr>
                <w:b/>
                <w:bCs/>
                <w:sz w:val="21"/>
                <w:szCs w:val="21"/>
              </w:rPr>
              <w:t>Ⅳ、Ⅳ+</w:t>
            </w:r>
          </w:p>
        </w:tc>
        <w:tc>
          <w:tcPr>
            <w:tcW w:w="985" w:type="pct"/>
            <w:vAlign w:val="center"/>
          </w:tcPr>
          <w:p>
            <w:pPr>
              <w:spacing w:line="240" w:lineRule="auto"/>
              <w:ind w:firstLine="0" w:firstLineChars="0"/>
              <w:jc w:val="center"/>
              <w:rPr>
                <w:b/>
                <w:bCs/>
                <w:sz w:val="21"/>
                <w:szCs w:val="21"/>
              </w:rPr>
            </w:pPr>
            <w:r>
              <w:rPr>
                <w:b/>
                <w:bCs/>
                <w:sz w:val="21"/>
                <w:szCs w:val="21"/>
              </w:rPr>
              <w:t>Ⅲ</w:t>
            </w:r>
          </w:p>
        </w:tc>
        <w:tc>
          <w:tcPr>
            <w:tcW w:w="986" w:type="pct"/>
            <w:vAlign w:val="center"/>
          </w:tcPr>
          <w:p>
            <w:pPr>
              <w:spacing w:line="240" w:lineRule="auto"/>
              <w:ind w:firstLine="0" w:firstLineChars="0"/>
              <w:jc w:val="center"/>
              <w:rPr>
                <w:b/>
                <w:bCs/>
                <w:sz w:val="21"/>
                <w:szCs w:val="21"/>
              </w:rPr>
            </w:pPr>
            <w:r>
              <w:rPr>
                <w:b/>
                <w:bCs/>
                <w:sz w:val="21"/>
                <w:szCs w:val="21"/>
              </w:rPr>
              <w:t>Ⅱ</w:t>
            </w:r>
          </w:p>
        </w:tc>
        <w:tc>
          <w:tcPr>
            <w:tcW w:w="982" w:type="pct"/>
            <w:vAlign w:val="center"/>
          </w:tcPr>
          <w:p>
            <w:pPr>
              <w:spacing w:line="240" w:lineRule="auto"/>
              <w:ind w:firstLine="0" w:firstLineChars="0"/>
              <w:jc w:val="center"/>
              <w:rPr>
                <w:b/>
                <w:bCs/>
                <w:sz w:val="21"/>
                <w:szCs w:val="21"/>
              </w:rPr>
            </w:pPr>
            <w:r>
              <w:rPr>
                <w:b/>
                <w:bCs/>
                <w:sz w:val="21"/>
                <w:szCs w:val="21"/>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60" w:type="pct"/>
            <w:vAlign w:val="center"/>
          </w:tcPr>
          <w:p>
            <w:pPr>
              <w:spacing w:line="240" w:lineRule="auto"/>
              <w:ind w:firstLine="0" w:firstLineChars="0"/>
              <w:jc w:val="center"/>
              <w:rPr>
                <w:sz w:val="21"/>
                <w:szCs w:val="21"/>
              </w:rPr>
            </w:pPr>
            <w:r>
              <w:rPr>
                <w:sz w:val="21"/>
                <w:szCs w:val="21"/>
              </w:rPr>
              <w:t>评价工作等级</w:t>
            </w:r>
          </w:p>
        </w:tc>
        <w:tc>
          <w:tcPr>
            <w:tcW w:w="985" w:type="pct"/>
            <w:vAlign w:val="center"/>
          </w:tcPr>
          <w:p>
            <w:pPr>
              <w:spacing w:line="240" w:lineRule="auto"/>
              <w:ind w:firstLine="0" w:firstLineChars="0"/>
              <w:jc w:val="center"/>
              <w:rPr>
                <w:sz w:val="21"/>
                <w:szCs w:val="21"/>
              </w:rPr>
            </w:pPr>
            <w:r>
              <w:rPr>
                <w:sz w:val="21"/>
                <w:szCs w:val="21"/>
              </w:rPr>
              <w:t>一</w:t>
            </w:r>
          </w:p>
        </w:tc>
        <w:tc>
          <w:tcPr>
            <w:tcW w:w="985" w:type="pct"/>
            <w:vAlign w:val="center"/>
          </w:tcPr>
          <w:p>
            <w:pPr>
              <w:spacing w:line="240" w:lineRule="auto"/>
              <w:ind w:firstLine="0" w:firstLineChars="0"/>
              <w:jc w:val="center"/>
              <w:rPr>
                <w:sz w:val="21"/>
                <w:szCs w:val="21"/>
              </w:rPr>
            </w:pPr>
            <w:r>
              <w:rPr>
                <w:sz w:val="21"/>
                <w:szCs w:val="21"/>
              </w:rPr>
              <w:t>二</w:t>
            </w:r>
          </w:p>
        </w:tc>
        <w:tc>
          <w:tcPr>
            <w:tcW w:w="986" w:type="pct"/>
            <w:vAlign w:val="center"/>
          </w:tcPr>
          <w:p>
            <w:pPr>
              <w:spacing w:line="240" w:lineRule="auto"/>
              <w:ind w:firstLine="0" w:firstLineChars="0"/>
              <w:jc w:val="center"/>
              <w:rPr>
                <w:sz w:val="21"/>
                <w:szCs w:val="21"/>
              </w:rPr>
            </w:pPr>
            <w:r>
              <w:rPr>
                <w:sz w:val="21"/>
                <w:szCs w:val="21"/>
              </w:rPr>
              <w:t>三</w:t>
            </w:r>
          </w:p>
        </w:tc>
        <w:tc>
          <w:tcPr>
            <w:tcW w:w="982" w:type="pct"/>
            <w:vAlign w:val="center"/>
          </w:tcPr>
          <w:p>
            <w:pPr>
              <w:spacing w:line="240" w:lineRule="auto"/>
              <w:ind w:firstLine="0" w:firstLineChars="0"/>
              <w:jc w:val="center"/>
              <w:rPr>
                <w:sz w:val="21"/>
                <w:szCs w:val="21"/>
              </w:rPr>
            </w:pPr>
            <w:r>
              <w:rPr>
                <w:sz w:val="21"/>
                <w:szCs w:val="21"/>
              </w:rPr>
              <w:t>简单分析a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5000" w:type="pct"/>
            <w:gridSpan w:val="5"/>
            <w:vAlign w:val="center"/>
          </w:tcPr>
          <w:p>
            <w:pPr>
              <w:spacing w:line="240" w:lineRule="auto"/>
              <w:ind w:firstLine="0" w:firstLineChars="0"/>
              <w:rPr>
                <w:sz w:val="21"/>
                <w:szCs w:val="21"/>
              </w:rPr>
            </w:pPr>
            <w:r>
              <w:rPr>
                <w:sz w:val="21"/>
                <w:szCs w:val="21"/>
              </w:rPr>
              <w:t>a是相对于详细评价工作内容而言，在描述危险物质、环境影响途径、环境危害后果、风险防范措施等方面给出定性的说明。</w:t>
            </w:r>
          </w:p>
        </w:tc>
      </w:tr>
    </w:tbl>
    <w:p>
      <w:pPr>
        <w:pStyle w:val="5"/>
        <w:spacing w:before="78" w:after="78"/>
        <w:ind w:firstLine="562"/>
      </w:pPr>
      <w:bookmarkStart w:id="820" w:name="_Toc7078_WPSOffice_Level1"/>
      <w:bookmarkStart w:id="821" w:name="_Toc11539"/>
      <w:bookmarkStart w:id="822" w:name="_Toc21911"/>
      <w:r>
        <w:rPr>
          <w:rFonts w:hint="eastAsia"/>
          <w:lang w:val="en-US" w:eastAsia="zh-CN"/>
        </w:rPr>
        <w:t>7</w:t>
      </w:r>
      <w:r>
        <w:t>.</w:t>
      </w:r>
      <w:r>
        <w:rPr>
          <w:rFonts w:hint="eastAsia"/>
        </w:rPr>
        <w:t>6、环境</w:t>
      </w:r>
      <w:r>
        <w:t>风险识别</w:t>
      </w:r>
      <w:bookmarkEnd w:id="820"/>
      <w:bookmarkEnd w:id="821"/>
      <w:bookmarkEnd w:id="822"/>
    </w:p>
    <w:p>
      <w:pPr>
        <w:ind w:firstLine="480"/>
      </w:pPr>
      <w:r>
        <w:t>建设项目的风险识别准确与否，直接关系到能够发现工程主要风险源，关系到最终风险防范措施是否科学完备，因此有必要按照《建设项目风险评价技术导则》（HJ</w:t>
      </w:r>
      <w:r>
        <w:rPr>
          <w:rFonts w:hint="eastAsia"/>
        </w:rPr>
        <w:t>169</w:t>
      </w:r>
      <w:r>
        <w:t>-20</w:t>
      </w:r>
      <w:r>
        <w:rPr>
          <w:rFonts w:hint="eastAsia"/>
        </w:rPr>
        <w:t>18</w:t>
      </w:r>
      <w:r>
        <w:t>）进行细致的识别。</w:t>
      </w:r>
    </w:p>
    <w:p>
      <w:pPr>
        <w:pStyle w:val="6"/>
        <w:ind w:firstLine="482"/>
      </w:pPr>
      <w:bookmarkStart w:id="823" w:name="_Toc10396_WPSOffice_Level2"/>
      <w:bookmarkStart w:id="824" w:name="_Toc29135_WPSOffice_Level2"/>
      <w:bookmarkStart w:id="825" w:name="_Toc11680"/>
      <w:r>
        <w:rPr>
          <w:rFonts w:hint="eastAsia"/>
          <w:lang w:val="en-US" w:eastAsia="zh-CN"/>
        </w:rPr>
        <w:t>7</w:t>
      </w:r>
      <w:r>
        <w:t>.</w:t>
      </w:r>
      <w:r>
        <w:rPr>
          <w:rFonts w:hint="eastAsia"/>
        </w:rPr>
        <w:t>6</w:t>
      </w:r>
      <w:r>
        <w:t>.1</w:t>
      </w:r>
      <w:r>
        <w:rPr>
          <w:rFonts w:hint="eastAsia"/>
        </w:rPr>
        <w:t>、</w:t>
      </w:r>
      <w:r>
        <w:t>风险识别</w:t>
      </w:r>
      <w:bookmarkEnd w:id="823"/>
      <w:bookmarkEnd w:id="824"/>
      <w:r>
        <w:rPr>
          <w:rFonts w:hint="eastAsia"/>
        </w:rPr>
        <w:t>内容</w:t>
      </w:r>
      <w:bookmarkEnd w:id="825"/>
    </w:p>
    <w:p>
      <w:pPr>
        <w:ind w:firstLine="482"/>
        <w:rPr>
          <w:b/>
          <w:bCs/>
        </w:rPr>
      </w:pPr>
      <w:r>
        <w:rPr>
          <w:rFonts w:hint="eastAsia"/>
          <w:b/>
          <w:bCs/>
        </w:rPr>
        <w:t>1、</w:t>
      </w:r>
      <w:r>
        <w:rPr>
          <w:b/>
          <w:bCs/>
        </w:rPr>
        <w:t>物质风险识别</w:t>
      </w:r>
    </w:p>
    <w:p>
      <w:pPr>
        <w:ind w:firstLine="480"/>
      </w:pPr>
      <w:r>
        <w:t>本项目的物质识别范围主要</w:t>
      </w:r>
      <w:r>
        <w:rPr>
          <w:rFonts w:hint="eastAsia"/>
        </w:rPr>
        <w:t>为废活性炭、硫化氢、氨，主要识别分析危险物质特性及可能存在的环境风险类型</w:t>
      </w:r>
      <w:r>
        <w:t>。</w:t>
      </w:r>
    </w:p>
    <w:p>
      <w:pPr>
        <w:ind w:firstLine="482"/>
        <w:rPr>
          <w:b/>
          <w:bCs/>
        </w:rPr>
      </w:pPr>
      <w:r>
        <w:rPr>
          <w:rFonts w:hint="eastAsia"/>
          <w:b/>
          <w:bCs/>
        </w:rPr>
        <w:t>2、生产系统危险性识别</w:t>
      </w:r>
    </w:p>
    <w:p>
      <w:pPr>
        <w:ind w:firstLine="480"/>
      </w:pPr>
      <w:r>
        <w:rPr>
          <w:rFonts w:hint="eastAsia"/>
        </w:rPr>
        <w:t>生产系统危险性识别主要是指对生产过程中使用的生产装置、储运设施、公用工程和辅助生产设施，以及环境保护设施等。结合本项目实际情况，本项目生产过程中可能存在的风险系统主要有：</w:t>
      </w:r>
    </w:p>
    <w:p>
      <w:pPr>
        <w:ind w:firstLine="480"/>
      </w:pPr>
      <w:r>
        <w:rPr>
          <w:rFonts w:hint="eastAsia"/>
        </w:rPr>
        <w:t>（1）活性炭吸附装置：活性炭吸附装置失灵造成废气超标，对周边环境造成影响；</w:t>
      </w:r>
    </w:p>
    <w:p>
      <w:pPr>
        <w:ind w:firstLine="480"/>
      </w:pPr>
      <w:r>
        <w:rPr>
          <w:rFonts w:hint="eastAsia"/>
        </w:rPr>
        <w:t>（2）危废暂存间：危废暂存间危废泄漏对周边环境造成影响。</w:t>
      </w:r>
    </w:p>
    <w:p>
      <w:pPr>
        <w:ind w:firstLine="482"/>
      </w:pPr>
      <w:r>
        <w:rPr>
          <w:rFonts w:hint="eastAsia"/>
          <w:b/>
          <w:bCs/>
        </w:rPr>
        <w:t>3、风险物质向环境转移的途径识别</w:t>
      </w:r>
    </w:p>
    <w:p>
      <w:pPr>
        <w:ind w:firstLine="480"/>
      </w:pPr>
      <w:r>
        <w:rPr>
          <w:rFonts w:hint="eastAsia"/>
        </w:rPr>
        <w:t>风险物质向环境转移的途径识别主要包括分析危险物质特性及可能的环境风险类型，识别危险物质影响环境的途径，分析可能影响的环境敏感目标。</w:t>
      </w:r>
    </w:p>
    <w:p>
      <w:pPr>
        <w:pStyle w:val="6"/>
        <w:ind w:firstLine="482"/>
      </w:pPr>
      <w:bookmarkStart w:id="826" w:name="_Toc32504_WPSOffice_Level2"/>
      <w:bookmarkStart w:id="827" w:name="_Toc13059_WPSOffice_Level2"/>
      <w:bookmarkStart w:id="828" w:name="_Toc2970"/>
      <w:r>
        <w:rPr>
          <w:rFonts w:hint="eastAsia"/>
          <w:lang w:val="en-US" w:eastAsia="zh-CN"/>
        </w:rPr>
        <w:t>7</w:t>
      </w:r>
      <w:r>
        <w:rPr>
          <w:rFonts w:hint="eastAsia"/>
        </w:rPr>
        <w:t>.6</w:t>
      </w:r>
      <w:r>
        <w:t>.2</w:t>
      </w:r>
      <w:r>
        <w:rPr>
          <w:rFonts w:hint="eastAsia"/>
        </w:rPr>
        <w:t>、</w:t>
      </w:r>
      <w:r>
        <w:t>物质危险性识别</w:t>
      </w:r>
      <w:bookmarkEnd w:id="826"/>
      <w:bookmarkEnd w:id="827"/>
      <w:bookmarkEnd w:id="828"/>
    </w:p>
    <w:p>
      <w:pPr>
        <w:ind w:firstLine="480"/>
        <w:rPr>
          <w:b/>
          <w:bCs/>
        </w:rPr>
      </w:pPr>
      <w:r>
        <w:rPr>
          <w:rFonts w:hint="eastAsia"/>
        </w:rPr>
        <w:t>经识别，本项目运营期主要的风险物质为废活性炭、硫化氢、氨。</w:t>
      </w:r>
    </w:p>
    <w:p>
      <w:pPr>
        <w:ind w:firstLine="482"/>
        <w:rPr>
          <w:b/>
          <w:bCs/>
        </w:rPr>
      </w:pPr>
      <w:r>
        <w:rPr>
          <w:rFonts w:hint="eastAsia"/>
          <w:b/>
          <w:bCs/>
        </w:rPr>
        <w:t>（1）废活性炭</w:t>
      </w:r>
    </w:p>
    <w:p>
      <w:pPr>
        <w:ind w:firstLine="480"/>
      </w:pPr>
      <w:r>
        <w:rPr>
          <w:rFonts w:hint="eastAsia"/>
        </w:rPr>
        <w:t>根据《国家危险废物名录（2021年版）》（部令第15号）可知，本项目产生的废活性炭属于“HW49其他废物/非特定行业/烟气、VOCs治理过程产生的废活性炭/T”。</w:t>
      </w:r>
    </w:p>
    <w:p>
      <w:pPr>
        <w:ind w:firstLine="480"/>
      </w:pPr>
      <w:r>
        <w:t>活性炭是一种黑色多孔的固体炭质，由煤通过</w:t>
      </w:r>
      <w:r>
        <w:fldChar w:fldCharType="begin"/>
      </w:r>
      <w:r>
        <w:instrText xml:space="preserve"> HYPERLINK "https://baike.so.com/doc/6049555.html" \t "https://baike.so.com/doc/_blank" </w:instrText>
      </w:r>
      <w:r>
        <w:fldChar w:fldCharType="separate"/>
      </w:r>
      <w:r>
        <w:t>粉碎</w:t>
      </w:r>
      <w:r>
        <w:fldChar w:fldCharType="end"/>
      </w:r>
      <w:r>
        <w:t>、成型或用均匀的煤粒经炭化、活化</w:t>
      </w:r>
      <w:r>
        <w:rPr>
          <w:rFonts w:hint="eastAsia"/>
        </w:rPr>
        <w:t>加工而成</w:t>
      </w:r>
      <w:r>
        <w:t>。主要成分为碳，并含少量氧、氢、硫、氮、氯等元素。</w:t>
      </w:r>
      <w:r>
        <w:rPr>
          <w:rFonts w:hint="eastAsia"/>
        </w:rPr>
        <w:t>活性炭本身低毒低害，基本不会对人体健康、生态环境造成影响，但是随着吸附时间的推移，活性炭的比表面积会逐步降低，吸附能力也会逐步减弱，此时就需要对活性炭进行更换，更换后的活性炭就称之为废活性炭，同时活性炭对有毒有害气体的吸附只是一个收集暂存的过程，该过程并未将有毒有害气体降解，因此废活性炭在储存过程中由于活性炭失活将会导致吸附在活性炭中的有毒有害气体重新逸散出来。</w:t>
      </w:r>
    </w:p>
    <w:p>
      <w:pPr>
        <w:ind w:firstLine="482"/>
        <w:rPr>
          <w:b/>
          <w:bCs/>
        </w:rPr>
      </w:pPr>
      <w:r>
        <w:rPr>
          <w:rFonts w:hint="eastAsia"/>
          <w:b/>
          <w:bCs/>
        </w:rPr>
        <w:t>（2）硫化氢</w:t>
      </w:r>
    </w:p>
    <w:p>
      <w:pPr>
        <w:ind w:firstLine="480"/>
      </w:pPr>
      <w:r>
        <w:rPr>
          <w:rFonts w:hint="eastAsia"/>
        </w:rPr>
        <w:t>H</w:t>
      </w:r>
      <w:r>
        <w:rPr>
          <w:rFonts w:hint="eastAsia"/>
          <w:vertAlign w:val="subscript"/>
        </w:rPr>
        <w:t>2</w:t>
      </w:r>
      <w:r>
        <w:rPr>
          <w:rFonts w:hint="eastAsia"/>
        </w:rPr>
        <w:t>S理化性质及危险特性详见下表。</w:t>
      </w:r>
    </w:p>
    <w:p>
      <w:pPr>
        <w:spacing w:line="240" w:lineRule="auto"/>
        <w:ind w:firstLine="482"/>
        <w:jc w:val="center"/>
        <w:rPr>
          <w:b/>
          <w:bCs/>
        </w:rPr>
      </w:pPr>
      <w:r>
        <w:rPr>
          <w:b/>
          <w:bCs/>
        </w:rPr>
        <w:t>表</w:t>
      </w:r>
      <w:r>
        <w:rPr>
          <w:rFonts w:hint="eastAsia"/>
          <w:b/>
          <w:bCs/>
          <w:lang w:val="en-US" w:eastAsia="zh-CN"/>
        </w:rPr>
        <w:t>7</w:t>
      </w:r>
      <w:r>
        <w:rPr>
          <w:rFonts w:hint="eastAsia"/>
          <w:b/>
          <w:bCs/>
        </w:rPr>
        <w:t>.3</w:t>
      </w:r>
      <w:r>
        <w:rPr>
          <w:b/>
          <w:bCs/>
        </w:rPr>
        <w:t xml:space="preserve">    </w:t>
      </w:r>
      <w:r>
        <w:rPr>
          <w:rFonts w:hint="eastAsia"/>
          <w:b/>
          <w:bCs/>
        </w:rPr>
        <w:t>H</w:t>
      </w:r>
      <w:r>
        <w:rPr>
          <w:rFonts w:hint="eastAsia"/>
          <w:b/>
          <w:bCs/>
          <w:vertAlign w:val="subscript"/>
        </w:rPr>
        <w:t>2</w:t>
      </w:r>
      <w:r>
        <w:rPr>
          <w:rFonts w:hint="eastAsia"/>
          <w:b/>
          <w:bCs/>
        </w:rPr>
        <w:t>S理化性质及危险特性</w:t>
      </w:r>
      <w:r>
        <w:rPr>
          <w:b/>
          <w:bCs/>
        </w:rPr>
        <w:t>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2057"/>
        <w:gridCol w:w="984"/>
        <w:gridCol w:w="1072"/>
        <w:gridCol w:w="554"/>
        <w:gridCol w:w="843"/>
        <w:gridCol w:w="1437"/>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tcBorders>
              <w:tl2br w:val="nil"/>
              <w:tr2bl w:val="nil"/>
            </w:tcBorders>
            <w:vAlign w:val="center"/>
          </w:tcPr>
          <w:p>
            <w:pPr>
              <w:spacing w:line="240" w:lineRule="auto"/>
              <w:ind w:firstLine="0" w:firstLineChars="0"/>
              <w:jc w:val="center"/>
              <w:rPr>
                <w:b/>
                <w:bCs/>
                <w:sz w:val="21"/>
                <w:szCs w:val="21"/>
              </w:rPr>
            </w:pPr>
            <w:r>
              <w:rPr>
                <w:b/>
                <w:bCs/>
                <w:sz w:val="21"/>
                <w:szCs w:val="21"/>
              </w:rPr>
              <w:t>中文名称</w:t>
            </w:r>
          </w:p>
        </w:tc>
        <w:tc>
          <w:tcPr>
            <w:tcW w:w="2342" w:type="pct"/>
            <w:gridSpan w:val="4"/>
            <w:tcBorders>
              <w:tl2br w:val="nil"/>
              <w:tr2bl w:val="nil"/>
            </w:tcBorders>
            <w:vAlign w:val="center"/>
          </w:tcPr>
          <w:p>
            <w:pPr>
              <w:spacing w:line="240" w:lineRule="auto"/>
              <w:ind w:firstLine="0" w:firstLineChars="0"/>
              <w:jc w:val="center"/>
              <w:rPr>
                <w:sz w:val="21"/>
                <w:szCs w:val="21"/>
              </w:rPr>
            </w:pPr>
            <w:r>
              <w:rPr>
                <w:sz w:val="21"/>
                <w:szCs w:val="21"/>
              </w:rPr>
              <w:t>硫化氢</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化学品俗名</w:t>
            </w:r>
          </w:p>
        </w:tc>
        <w:tc>
          <w:tcPr>
            <w:tcW w:w="963" w:type="pct"/>
            <w:tcBorders>
              <w:tl2br w:val="nil"/>
              <w:tr2bl w:val="nil"/>
            </w:tcBorders>
            <w:vAlign w:val="center"/>
          </w:tcPr>
          <w:p>
            <w:pPr>
              <w:spacing w:line="240" w:lineRule="auto"/>
              <w:ind w:left="0" w:leftChars="0" w:firstLine="0" w:firstLineChars="0"/>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tcBorders>
              <w:tl2br w:val="nil"/>
              <w:tr2bl w:val="nil"/>
            </w:tcBorders>
            <w:vAlign w:val="center"/>
          </w:tcPr>
          <w:p>
            <w:pPr>
              <w:spacing w:line="240" w:lineRule="auto"/>
              <w:ind w:firstLine="0" w:firstLineChars="0"/>
              <w:jc w:val="center"/>
              <w:rPr>
                <w:b/>
                <w:bCs/>
                <w:sz w:val="21"/>
                <w:szCs w:val="21"/>
              </w:rPr>
            </w:pPr>
            <w:r>
              <w:rPr>
                <w:b/>
                <w:bCs/>
                <w:sz w:val="21"/>
                <w:szCs w:val="21"/>
              </w:rPr>
              <w:t>CAS号</w:t>
            </w:r>
          </w:p>
        </w:tc>
        <w:tc>
          <w:tcPr>
            <w:tcW w:w="2342" w:type="pct"/>
            <w:gridSpan w:val="4"/>
            <w:tcBorders>
              <w:tl2br w:val="nil"/>
              <w:tr2bl w:val="nil"/>
            </w:tcBorders>
            <w:vAlign w:val="center"/>
          </w:tcPr>
          <w:p>
            <w:pPr>
              <w:spacing w:line="240" w:lineRule="auto"/>
              <w:ind w:firstLine="0" w:firstLineChars="0"/>
              <w:jc w:val="center"/>
              <w:rPr>
                <w:sz w:val="21"/>
                <w:szCs w:val="21"/>
              </w:rPr>
            </w:pPr>
            <w:r>
              <w:fldChar w:fldCharType="begin"/>
            </w:r>
            <w:r>
              <w:instrText xml:space="preserve"> HYPERLINK "http://www.ichemistry.cn/chemistry/7783-06-4.htm" \t "http://www.ichemistry.cn/msds/_blank" </w:instrText>
            </w:r>
            <w:r>
              <w:fldChar w:fldCharType="separate"/>
            </w:r>
            <w:r>
              <w:rPr>
                <w:sz w:val="21"/>
                <w:szCs w:val="21"/>
              </w:rPr>
              <w:t>7783-06-4</w:t>
            </w:r>
            <w:r>
              <w:rPr>
                <w:sz w:val="21"/>
                <w:szCs w:val="21"/>
              </w:rPr>
              <w:fldChar w:fldCharType="end"/>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英文名称</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hydrogen sulfide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理化</w:t>
            </w:r>
          </w:p>
          <w:p>
            <w:pPr>
              <w:spacing w:line="240" w:lineRule="auto"/>
              <w:ind w:firstLine="0" w:firstLineChars="0"/>
              <w:jc w:val="center"/>
              <w:rPr>
                <w:b/>
                <w:bCs/>
                <w:sz w:val="21"/>
                <w:szCs w:val="21"/>
              </w:rPr>
            </w:pPr>
            <w:r>
              <w:rPr>
                <w:b/>
                <w:bCs/>
                <w:sz w:val="21"/>
                <w:szCs w:val="21"/>
              </w:rPr>
              <w:t>性质</w:t>
            </w: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pH</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无资料</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熔点（℃）</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沸点（℃）</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-60.4</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分子式</w:t>
            </w:r>
          </w:p>
        </w:tc>
        <w:tc>
          <w:tcPr>
            <w:tcW w:w="963" w:type="pct"/>
            <w:tcBorders>
              <w:tl2br w:val="nil"/>
              <w:tr2bl w:val="nil"/>
            </w:tcBorders>
            <w:vAlign w:val="center"/>
          </w:tcPr>
          <w:p>
            <w:pPr>
              <w:spacing w:line="240" w:lineRule="auto"/>
              <w:ind w:firstLine="0" w:firstLineChars="0"/>
              <w:jc w:val="center"/>
              <w:rPr>
                <w:sz w:val="21"/>
                <w:szCs w:val="21"/>
              </w:rPr>
            </w:pPr>
            <w:r>
              <w:rPr>
                <w:color w:val="000000"/>
                <w:sz w:val="21"/>
                <w:szCs w:val="21"/>
              </w:rPr>
              <w:t>H</w:t>
            </w:r>
            <w:r>
              <w:rPr>
                <w:color w:val="000000"/>
                <w:sz w:val="21"/>
                <w:szCs w:val="21"/>
                <w:vertAlign w:val="subscript"/>
              </w:rPr>
              <w:t>2</w:t>
            </w:r>
            <w:r>
              <w:rPr>
                <w:color w:val="000000"/>
                <w:sz w:val="21"/>
                <w:szCs w:val="21"/>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主要成分</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硫化氢</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饱和蒸气压（kPa）</w:t>
            </w:r>
          </w:p>
        </w:tc>
        <w:tc>
          <w:tcPr>
            <w:tcW w:w="963" w:type="pct"/>
            <w:tcBorders>
              <w:tl2br w:val="nil"/>
              <w:tr2bl w:val="nil"/>
            </w:tcBorders>
            <w:vAlign w:val="center"/>
          </w:tcPr>
          <w:p>
            <w:pPr>
              <w:spacing w:line="240" w:lineRule="auto"/>
              <w:ind w:firstLine="0" w:firstLineChars="0"/>
              <w:jc w:val="center"/>
              <w:rPr>
                <w:sz w:val="21"/>
                <w:szCs w:val="21"/>
              </w:rPr>
            </w:pPr>
            <w:r>
              <w:rPr>
                <w:color w:val="000000"/>
                <w:sz w:val="21"/>
                <w:szCs w:val="21"/>
              </w:rPr>
              <w:t>2026.5(25.5℃)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辛醇/水分配系数的对数值</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无资料</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临界温度（℃）</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闪点（℃）</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无意义</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引燃温度（℃）</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自燃温度（℃）</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260</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燃烧性</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溶解性</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溶于水、乙醇</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相对密度（水=1）</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相对蒸汽密度（空气=1）</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1.19</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分子量</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34.08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燃烧热（kJ/mol）</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无资料</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临界压力（MPa）</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爆炸上限%(V/V)</w:t>
            </w:r>
          </w:p>
        </w:tc>
        <w:tc>
          <w:tcPr>
            <w:tcW w:w="816" w:type="pct"/>
            <w:gridSpan w:val="2"/>
            <w:tcBorders>
              <w:tl2br w:val="nil"/>
              <w:tr2bl w:val="nil"/>
            </w:tcBorders>
            <w:vAlign w:val="center"/>
          </w:tcPr>
          <w:p>
            <w:pPr>
              <w:spacing w:line="240" w:lineRule="auto"/>
              <w:ind w:firstLine="0" w:firstLineChars="0"/>
              <w:jc w:val="center"/>
              <w:rPr>
                <w:sz w:val="21"/>
                <w:szCs w:val="21"/>
              </w:rPr>
            </w:pPr>
            <w:r>
              <w:rPr>
                <w:sz w:val="21"/>
                <w:szCs w:val="21"/>
              </w:rPr>
              <w:t>46.0</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爆炸下限%(V/V)</w:t>
            </w:r>
          </w:p>
        </w:tc>
        <w:tc>
          <w:tcPr>
            <w:tcW w:w="963" w:type="pct"/>
            <w:tcBorders>
              <w:tl2br w:val="nil"/>
              <w:tr2bl w:val="nil"/>
            </w:tcBorders>
            <w:vAlign w:val="center"/>
          </w:tcPr>
          <w:p>
            <w:pPr>
              <w:spacing w:line="240" w:lineRule="auto"/>
              <w:ind w:firstLine="0" w:firstLineChars="0"/>
              <w:jc w:val="center"/>
              <w:rPr>
                <w:sz w:val="21"/>
                <w:szCs w:val="21"/>
              </w:rPr>
            </w:pPr>
            <w:r>
              <w:rPr>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外观与性状</w:t>
            </w:r>
          </w:p>
        </w:tc>
        <w:tc>
          <w:tcPr>
            <w:tcW w:w="2923" w:type="pct"/>
            <w:gridSpan w:val="5"/>
            <w:tcBorders>
              <w:tl2br w:val="nil"/>
              <w:tr2bl w:val="nil"/>
            </w:tcBorders>
            <w:vAlign w:val="center"/>
          </w:tcPr>
          <w:p>
            <w:pPr>
              <w:spacing w:line="240" w:lineRule="auto"/>
              <w:ind w:firstLine="0" w:firstLineChars="0"/>
              <w:jc w:val="center"/>
              <w:rPr>
                <w:sz w:val="21"/>
                <w:szCs w:val="21"/>
              </w:rPr>
            </w:pPr>
            <w:r>
              <w:rPr>
                <w:color w:val="000000"/>
                <w:sz w:val="21"/>
                <w:szCs w:val="21"/>
              </w:rPr>
              <w:t>无色、有恶臭的气体。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主要用途</w:t>
            </w:r>
          </w:p>
        </w:tc>
        <w:tc>
          <w:tcPr>
            <w:tcW w:w="2923" w:type="pct"/>
            <w:gridSpan w:val="5"/>
            <w:tcBorders>
              <w:tl2br w:val="nil"/>
              <w:tr2bl w:val="nil"/>
            </w:tcBorders>
            <w:vAlign w:val="center"/>
          </w:tcPr>
          <w:p>
            <w:pPr>
              <w:spacing w:line="240" w:lineRule="auto"/>
              <w:ind w:firstLine="0" w:firstLineChars="0"/>
              <w:jc w:val="center"/>
              <w:rPr>
                <w:sz w:val="21"/>
                <w:szCs w:val="21"/>
              </w:rPr>
            </w:pPr>
            <w:r>
              <w:rPr>
                <w:sz w:val="21"/>
                <w:szCs w:val="21"/>
              </w:rPr>
              <w:t>用于化学分析如鉴定金属离子。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危险性</w:t>
            </w:r>
          </w:p>
          <w:p>
            <w:pPr>
              <w:spacing w:line="240" w:lineRule="auto"/>
              <w:ind w:firstLine="0" w:firstLineChars="0"/>
              <w:jc w:val="center"/>
              <w:rPr>
                <w:b/>
                <w:bCs/>
                <w:sz w:val="21"/>
                <w:szCs w:val="21"/>
              </w:rPr>
            </w:pPr>
            <w:r>
              <w:rPr>
                <w:b/>
                <w:bCs/>
                <w:sz w:val="21"/>
                <w:szCs w:val="21"/>
              </w:rPr>
              <w:t>概述</w:t>
            </w:r>
          </w:p>
        </w:tc>
        <w:tc>
          <w:tcPr>
            <w:tcW w:w="1526" w:type="pct"/>
            <w:gridSpan w:val="2"/>
            <w:tcBorders>
              <w:tl2br w:val="nil"/>
              <w:tr2bl w:val="nil"/>
            </w:tcBorders>
            <w:vAlign w:val="center"/>
          </w:tcPr>
          <w:p>
            <w:pPr>
              <w:spacing w:line="240" w:lineRule="auto"/>
              <w:ind w:firstLine="0" w:firstLineChars="0"/>
              <w:jc w:val="center"/>
              <w:rPr>
                <w:sz w:val="21"/>
                <w:szCs w:val="21"/>
              </w:rPr>
            </w:pPr>
            <w:r>
              <w:rPr>
                <w:b/>
                <w:bCs/>
                <w:sz w:val="21"/>
                <w:szCs w:val="21"/>
              </w:rPr>
              <w:t>危险性类别</w:t>
            </w:r>
          </w:p>
        </w:tc>
        <w:tc>
          <w:tcPr>
            <w:tcW w:w="2923" w:type="pct"/>
            <w:gridSpan w:val="5"/>
            <w:tcBorders>
              <w:tl2br w:val="nil"/>
              <w:tr2bl w:val="nil"/>
            </w:tcBorders>
            <w:vAlign w:val="center"/>
          </w:tcPr>
          <w:p>
            <w:pPr>
              <w:spacing w:line="240" w:lineRule="auto"/>
              <w:ind w:firstLine="0" w:firstLineChars="0"/>
              <w:jc w:val="center"/>
              <w:rPr>
                <w:sz w:val="21"/>
                <w:szCs w:val="21"/>
              </w:rPr>
            </w:pPr>
            <w:r>
              <w:rPr>
                <w:color w:val="000000"/>
                <w:sz w:val="21"/>
                <w:szCs w:val="21"/>
              </w:rPr>
              <w:t>第2.1类易燃气体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sz w:val="21"/>
                <w:szCs w:val="21"/>
              </w:rPr>
            </w:pPr>
            <w:r>
              <w:rPr>
                <w:b/>
                <w:bCs/>
                <w:sz w:val="21"/>
                <w:szCs w:val="21"/>
              </w:rPr>
              <w:t>侵入途径</w:t>
            </w:r>
          </w:p>
        </w:tc>
        <w:tc>
          <w:tcPr>
            <w:tcW w:w="2923" w:type="pct"/>
            <w:gridSpan w:val="5"/>
            <w:tcBorders>
              <w:tl2br w:val="nil"/>
              <w:tr2bl w:val="nil"/>
            </w:tcBorders>
            <w:vAlign w:val="center"/>
          </w:tcPr>
          <w:p>
            <w:pPr>
              <w:spacing w:line="240" w:lineRule="auto"/>
              <w:ind w:firstLine="0" w:firstLineChars="0"/>
              <w:jc w:val="center"/>
              <w:rPr>
                <w:color w:val="000000"/>
                <w:sz w:val="21"/>
                <w:szCs w:val="21"/>
              </w:rPr>
            </w:pPr>
            <w:r>
              <w:rPr>
                <w:color w:val="000000"/>
                <w:sz w:val="21"/>
                <w:szCs w:val="21"/>
              </w:rPr>
              <w:t>吸入，经皮吸收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健康危害：</w:t>
            </w:r>
            <w:r>
              <w:rPr>
                <w:color w:val="000000"/>
                <w:sz w:val="21"/>
                <w:szCs w:val="21"/>
              </w:rPr>
              <w:t>本品是强烈的神经毒物，对粘膜有强烈刺激作用。急性中毒：短期内吸入高浓度硫化氢后出现流泪、眼痛、眼内异物感、畏光、视物模糊、流涕、咽喉部灼热感、咳嗽、胸闷、头痛、头晕、乏力、意识模糊等。部分患者可有心肌损害。重者可出现脑水肿、肺水肿。极高浓度(1000mg/m3 以上)时可在数秒钟内突然昏迷，呼吸和心跳骤停，发生闪电型死亡。高浓度接触眼结膜发生水肿和角膜溃疡。长期低浓度接触，引起神经衰弱综合征和植物神经功能紊乱。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b/>
                <w:bCs/>
                <w:sz w:val="21"/>
                <w:szCs w:val="21"/>
              </w:rPr>
              <w:t>环境危害：</w:t>
            </w:r>
            <w:r>
              <w:rPr>
                <w:color w:val="000000"/>
                <w:sz w:val="21"/>
                <w:szCs w:val="21"/>
              </w:rPr>
              <w:t>对环境有危害，对水体和大气可造成污染。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燃爆危险：</w:t>
            </w:r>
            <w:r>
              <w:rPr>
                <w:color w:val="000000"/>
                <w:sz w:val="21"/>
                <w:szCs w:val="21"/>
              </w:rPr>
              <w:t>易燃，</w:t>
            </w:r>
            <w:r>
              <w:rPr>
                <w:rFonts w:hint="eastAsia"/>
                <w:sz w:val="21"/>
                <w:szCs w:val="21"/>
              </w:rPr>
              <w:t>与空气混合能形成爆炸性混合物</w:t>
            </w:r>
            <w:r>
              <w:rPr>
                <w:color w:val="00000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急救</w:t>
            </w:r>
          </w:p>
          <w:p>
            <w:pPr>
              <w:spacing w:line="240" w:lineRule="auto"/>
              <w:ind w:firstLine="0" w:firstLineChars="0"/>
              <w:jc w:val="center"/>
              <w:rPr>
                <w:b/>
                <w:bCs/>
                <w:sz w:val="21"/>
                <w:szCs w:val="21"/>
              </w:rPr>
            </w:pPr>
            <w:r>
              <w:rPr>
                <w:b/>
                <w:bCs/>
                <w:sz w:val="21"/>
                <w:szCs w:val="21"/>
              </w:rPr>
              <w:t>措施</w:t>
            </w:r>
          </w:p>
        </w:tc>
        <w:tc>
          <w:tcPr>
            <w:tcW w:w="4449" w:type="pct"/>
            <w:gridSpan w:val="7"/>
            <w:tcBorders>
              <w:tl2br w:val="nil"/>
              <w:tr2bl w:val="nil"/>
            </w:tcBorders>
            <w:vAlign w:val="center"/>
          </w:tcPr>
          <w:p>
            <w:pPr>
              <w:spacing w:line="240" w:lineRule="auto"/>
              <w:ind w:firstLine="0" w:firstLineChars="0"/>
              <w:rPr>
                <w:b/>
                <w:bCs/>
                <w:sz w:val="21"/>
                <w:szCs w:val="21"/>
              </w:rPr>
            </w:pPr>
            <w:r>
              <w:rPr>
                <w:b/>
                <w:bCs/>
                <w:sz w:val="21"/>
                <w:szCs w:val="21"/>
              </w:rPr>
              <w:t>皮肤接触：</w:t>
            </w:r>
            <w:r>
              <w:rPr>
                <w:color w:val="000000"/>
                <w:sz w:val="21"/>
                <w:szCs w:val="21"/>
              </w:rPr>
              <w:t>脱去污染的衣着，立即用流动清水彻底冲洗。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b/>
                <w:bCs/>
                <w:sz w:val="21"/>
                <w:szCs w:val="21"/>
              </w:rPr>
              <w:t>眼睛接触：</w:t>
            </w:r>
            <w:r>
              <w:rPr>
                <w:color w:val="000000"/>
                <w:sz w:val="21"/>
                <w:szCs w:val="21"/>
              </w:rPr>
              <w:t>立即提起眼睑，用大量清水或生理盐水彻底冲洗至少15分钟。就医。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b/>
                <w:bCs/>
                <w:sz w:val="21"/>
                <w:szCs w:val="21"/>
              </w:rPr>
              <w:t>吸入：</w:t>
            </w:r>
            <w:r>
              <w:rPr>
                <w:color w:val="000000"/>
                <w:sz w:val="21"/>
                <w:szCs w:val="21"/>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b/>
                <w:bCs/>
                <w:sz w:val="21"/>
                <w:szCs w:val="21"/>
              </w:rPr>
              <w:t>食入：</w:t>
            </w:r>
            <w:r>
              <w:rPr>
                <w:color w:val="00000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消防</w:t>
            </w:r>
          </w:p>
          <w:p>
            <w:pPr>
              <w:spacing w:line="240" w:lineRule="auto"/>
              <w:ind w:firstLine="0" w:firstLineChars="0"/>
              <w:jc w:val="center"/>
              <w:rPr>
                <w:b/>
                <w:bCs/>
                <w:sz w:val="21"/>
                <w:szCs w:val="21"/>
              </w:rPr>
            </w:pPr>
            <w:r>
              <w:rPr>
                <w:b/>
                <w:bCs/>
                <w:sz w:val="21"/>
                <w:szCs w:val="21"/>
              </w:rPr>
              <w:t>措施</w:t>
            </w: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危险特性：</w:t>
            </w:r>
            <w:r>
              <w:rPr>
                <w:sz w:val="21"/>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建规火险等级：</w:t>
            </w:r>
            <w:r>
              <w:rPr>
                <w:sz w:val="21"/>
                <w:szCs w:val="21"/>
              </w:rPr>
              <w:t>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有害燃烧物质：</w:t>
            </w:r>
            <w:r>
              <w:rPr>
                <w:sz w:val="21"/>
                <w:szCs w:val="21"/>
              </w:rPr>
              <w:t>二氧化硫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pStyle w:val="2"/>
              <w:jc w:val="both"/>
              <w:rPr>
                <w:sz w:val="21"/>
                <w:szCs w:val="21"/>
              </w:rPr>
            </w:pPr>
            <w:r>
              <w:rPr>
                <w:b/>
                <w:bCs/>
                <w:color w:val="auto"/>
                <w:sz w:val="21"/>
                <w:szCs w:val="21"/>
              </w:rPr>
              <w:t>灭火方法：</w:t>
            </w:r>
            <w:r>
              <w:rPr>
                <w:sz w:val="21"/>
                <w:szCs w:val="21"/>
              </w:rPr>
              <w:t>消防人员必须穿全身防火防毒服，在上风向灭火。切断气源。若不能切断气源，则不允许熄灭泄漏处的火焰。喷水冷却容器，可能的话将容器从火场移至空旷处。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灭火剂：</w:t>
            </w:r>
            <w:r>
              <w:rPr>
                <w:color w:val="000000"/>
                <w:sz w:val="21"/>
                <w:szCs w:val="21"/>
              </w:rPr>
              <w:t>雾状水、抗溶性泡沫、干粉。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tcBorders>
              <w:tl2br w:val="nil"/>
              <w:tr2bl w:val="nil"/>
            </w:tcBorders>
            <w:vAlign w:val="center"/>
          </w:tcPr>
          <w:p>
            <w:pPr>
              <w:spacing w:line="240" w:lineRule="auto"/>
              <w:ind w:firstLine="0" w:firstLineChars="0"/>
              <w:jc w:val="center"/>
              <w:rPr>
                <w:sz w:val="21"/>
                <w:szCs w:val="21"/>
              </w:rPr>
            </w:pPr>
            <w:r>
              <w:rPr>
                <w:b/>
                <w:bCs/>
                <w:sz w:val="21"/>
                <w:szCs w:val="21"/>
              </w:rPr>
              <w:t>泄漏应急处理</w:t>
            </w:r>
          </w:p>
        </w:tc>
        <w:tc>
          <w:tcPr>
            <w:tcW w:w="4449" w:type="pct"/>
            <w:gridSpan w:val="7"/>
            <w:tcBorders>
              <w:tl2br w:val="nil"/>
              <w:tr2bl w:val="nil"/>
            </w:tcBorders>
            <w:vAlign w:val="center"/>
          </w:tcPr>
          <w:p>
            <w:pPr>
              <w:spacing w:line="240" w:lineRule="auto"/>
              <w:ind w:firstLine="0" w:firstLineChars="0"/>
              <w:rPr>
                <w:sz w:val="21"/>
                <w:szCs w:val="21"/>
              </w:rPr>
            </w:pPr>
            <w:r>
              <w:rPr>
                <w:color w:val="000000"/>
                <w:sz w:val="21"/>
                <w:szCs w:val="21"/>
              </w:rPr>
              <w:t>迅速撤离泄漏污染区人员至上风处，并立即进行隔离，小泄漏时隔离150m，大泄漏时隔离300m，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操作处置与储存</w:t>
            </w: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操作注意事项：</w:t>
            </w:r>
            <w:r>
              <w:rPr>
                <w:sz w:val="21"/>
                <w:szCs w:val="21"/>
              </w:rPr>
              <w:t>严加密闭，提供充分的局部排风和全面通风。操作人员必须经过专门培训，严格遵守操作规程。建议操作人员佩戴过滤式防毒面具（半面罩），戴化学安全防护眼镜，穿防静电工作服，戴防化学品手套。远离火种、热源，工作场所严禁吸烟。使用防爆型的通风系统和设备。防止气体泄漏到工作场所空气中。避免与氧化剂、碱类接触。在传送过程中，钢瓶和容器必须接地和跨接，防止产生静电。搬运时轻装轻卸，防止钢瓶及附件破损。配备相应品种和数量的消防器材及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jc w:val="center"/>
              <w:rPr>
                <w:sz w:val="21"/>
                <w:szCs w:val="21"/>
              </w:rPr>
            </w:pPr>
            <w:r>
              <w:rPr>
                <w:b/>
                <w:bCs/>
                <w:sz w:val="21"/>
                <w:szCs w:val="21"/>
              </w:rPr>
              <w:t>储存注意事项：</w:t>
            </w:r>
            <w:r>
              <w:rPr>
                <w:color w:val="000000"/>
                <w:sz w:val="21"/>
                <w:szCs w:val="21"/>
              </w:rPr>
              <w:t>储存于阴凉、通风的库房。远离火种、热源。库温不宜超过30℃。保持容器密封。应与氧化剂、碱类分开存放，切忌混储。采用防爆型照明、通风设施。禁止使用易产生火花的机械设备和工具。储区应备有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防护</w:t>
            </w:r>
          </w:p>
          <w:p>
            <w:pPr>
              <w:spacing w:line="240" w:lineRule="auto"/>
              <w:ind w:firstLine="0" w:firstLineChars="0"/>
              <w:jc w:val="center"/>
              <w:rPr>
                <w:sz w:val="21"/>
                <w:szCs w:val="21"/>
              </w:rPr>
            </w:pPr>
            <w:r>
              <w:rPr>
                <w:b/>
                <w:bCs/>
                <w:sz w:val="21"/>
                <w:szCs w:val="21"/>
              </w:rPr>
              <w:t>措施</w:t>
            </w: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工程控制：</w:t>
            </w:r>
            <w:r>
              <w:rPr>
                <w:color w:val="000000"/>
                <w:sz w:val="21"/>
                <w:szCs w:val="21"/>
              </w:rPr>
              <w:t>严加密闭，提供充分的局部排风和全面通风。提供淋浴和洗眼设备。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呼吸系统防护：</w:t>
            </w:r>
            <w:r>
              <w:rPr>
                <w:color w:val="000000"/>
                <w:sz w:val="21"/>
                <w:szCs w:val="21"/>
              </w:rPr>
              <w:t>空气中浓度超标时，佩戴过滤式防毒面具（半面罩）。紧急事态抢救或撤离时，建议佩戴氧气呼吸器或空气呼吸器。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眼睛防护：</w:t>
            </w:r>
            <w:r>
              <w:rPr>
                <w:color w:val="000000"/>
                <w:sz w:val="21"/>
                <w:szCs w:val="21"/>
              </w:rPr>
              <w:t>戴化学安全防护眼镜。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身体防护：</w:t>
            </w:r>
            <w:r>
              <w:rPr>
                <w:color w:val="000000"/>
                <w:sz w:val="21"/>
                <w:szCs w:val="21"/>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手防护：</w:t>
            </w:r>
            <w:r>
              <w:rPr>
                <w:color w:val="000000"/>
                <w:sz w:val="21"/>
                <w:szCs w:val="21"/>
              </w:rPr>
              <w:t>戴防化学品手套。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其他防护：</w:t>
            </w:r>
            <w:r>
              <w:rPr>
                <w:color w:val="000000"/>
                <w:sz w:val="21"/>
                <w:szCs w:val="21"/>
              </w:rPr>
              <w:t>工作现场禁止吸烟、进食和饮水。工作完毕，淋浴更衣。及时换洗工作服。作业人员应学会自救互救。进入罐、限制性空间或其它高浓度区作业，须有人监护。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稳定性和反应活性</w:t>
            </w:r>
          </w:p>
        </w:tc>
        <w:tc>
          <w:tcPr>
            <w:tcW w:w="1032" w:type="pct"/>
            <w:tcBorders>
              <w:tl2br w:val="nil"/>
              <w:tr2bl w:val="nil"/>
            </w:tcBorders>
            <w:vAlign w:val="center"/>
          </w:tcPr>
          <w:p>
            <w:pPr>
              <w:spacing w:line="240" w:lineRule="auto"/>
              <w:ind w:firstLine="0" w:firstLineChars="0"/>
              <w:jc w:val="center"/>
              <w:rPr>
                <w:b/>
                <w:bCs/>
                <w:sz w:val="21"/>
                <w:szCs w:val="21"/>
              </w:rPr>
            </w:pPr>
            <w:r>
              <w:rPr>
                <w:b/>
                <w:bCs/>
                <w:sz w:val="21"/>
                <w:szCs w:val="21"/>
              </w:rPr>
              <w:t>稳定性</w:t>
            </w:r>
          </w:p>
        </w:tc>
        <w:tc>
          <w:tcPr>
            <w:tcW w:w="1032" w:type="pct"/>
            <w:gridSpan w:val="2"/>
            <w:tcBorders>
              <w:tl2br w:val="nil"/>
              <w:tr2bl w:val="nil"/>
            </w:tcBorders>
            <w:vAlign w:val="center"/>
          </w:tcPr>
          <w:p>
            <w:pPr>
              <w:spacing w:line="240" w:lineRule="auto"/>
              <w:ind w:firstLine="0" w:firstLineChars="0"/>
              <w:jc w:val="center"/>
              <w:rPr>
                <w:sz w:val="21"/>
                <w:szCs w:val="21"/>
              </w:rPr>
            </w:pPr>
            <w:r>
              <w:rPr>
                <w:sz w:val="21"/>
                <w:szCs w:val="21"/>
              </w:rPr>
              <w:t>稳定</w:t>
            </w:r>
          </w:p>
        </w:tc>
        <w:tc>
          <w:tcPr>
            <w:tcW w:w="701"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禁配物</w:t>
            </w:r>
          </w:p>
        </w:tc>
        <w:tc>
          <w:tcPr>
            <w:tcW w:w="1684" w:type="pct"/>
            <w:gridSpan w:val="2"/>
            <w:tcBorders>
              <w:tl2br w:val="nil"/>
              <w:tr2bl w:val="nil"/>
            </w:tcBorders>
            <w:vAlign w:val="center"/>
          </w:tcPr>
          <w:p>
            <w:pPr>
              <w:spacing w:line="240" w:lineRule="auto"/>
              <w:ind w:firstLine="0" w:firstLineChars="0"/>
              <w:jc w:val="center"/>
              <w:rPr>
                <w:sz w:val="21"/>
                <w:szCs w:val="21"/>
              </w:rPr>
            </w:pPr>
            <w:r>
              <w:rPr>
                <w:color w:val="000000"/>
                <w:sz w:val="21"/>
                <w:szCs w:val="21"/>
              </w:rPr>
              <w:t>强氧化剂、碱类。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032" w:type="pct"/>
            <w:tcBorders>
              <w:tl2br w:val="nil"/>
              <w:tr2bl w:val="nil"/>
            </w:tcBorders>
            <w:vAlign w:val="center"/>
          </w:tcPr>
          <w:p>
            <w:pPr>
              <w:spacing w:line="240" w:lineRule="auto"/>
              <w:ind w:firstLine="0" w:firstLineChars="0"/>
              <w:jc w:val="center"/>
              <w:rPr>
                <w:b/>
                <w:bCs/>
                <w:sz w:val="21"/>
                <w:szCs w:val="21"/>
              </w:rPr>
            </w:pPr>
            <w:r>
              <w:rPr>
                <w:b/>
                <w:bCs/>
                <w:sz w:val="21"/>
                <w:szCs w:val="21"/>
              </w:rPr>
              <w:t>避免接触条件</w:t>
            </w:r>
          </w:p>
        </w:tc>
        <w:tc>
          <w:tcPr>
            <w:tcW w:w="1032" w:type="pct"/>
            <w:gridSpan w:val="2"/>
            <w:tcBorders>
              <w:tl2br w:val="nil"/>
              <w:tr2bl w:val="nil"/>
            </w:tcBorders>
            <w:vAlign w:val="center"/>
          </w:tcPr>
          <w:p>
            <w:pPr>
              <w:spacing w:line="240" w:lineRule="auto"/>
              <w:ind w:firstLine="0" w:firstLineChars="0"/>
              <w:jc w:val="center"/>
              <w:rPr>
                <w:sz w:val="21"/>
                <w:szCs w:val="21"/>
              </w:rPr>
            </w:pPr>
            <w:r>
              <w:rPr>
                <w:sz w:val="21"/>
                <w:szCs w:val="21"/>
              </w:rPr>
              <w:t>无资料</w:t>
            </w:r>
          </w:p>
        </w:tc>
        <w:tc>
          <w:tcPr>
            <w:tcW w:w="701"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聚合危害</w:t>
            </w:r>
          </w:p>
        </w:tc>
        <w:tc>
          <w:tcPr>
            <w:tcW w:w="1684" w:type="pct"/>
            <w:gridSpan w:val="2"/>
            <w:tcBorders>
              <w:tl2br w:val="nil"/>
              <w:tr2bl w:val="nil"/>
            </w:tcBorders>
            <w:vAlign w:val="center"/>
          </w:tcPr>
          <w:p>
            <w:pPr>
              <w:spacing w:line="240" w:lineRule="auto"/>
              <w:ind w:firstLine="0" w:firstLineChars="0"/>
              <w:jc w:val="center"/>
              <w:rPr>
                <w:sz w:val="21"/>
                <w:szCs w:val="21"/>
              </w:rPr>
            </w:pPr>
            <w:r>
              <w:rPr>
                <w:sz w:val="21"/>
                <w:szCs w:val="21"/>
              </w:rPr>
              <w:t>不能出现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032" w:type="pct"/>
            <w:tcBorders>
              <w:tl2br w:val="nil"/>
              <w:tr2bl w:val="nil"/>
            </w:tcBorders>
            <w:vAlign w:val="center"/>
          </w:tcPr>
          <w:p>
            <w:pPr>
              <w:spacing w:line="240" w:lineRule="auto"/>
              <w:ind w:firstLine="0" w:firstLineChars="0"/>
              <w:jc w:val="center"/>
              <w:rPr>
                <w:b/>
                <w:bCs/>
                <w:sz w:val="21"/>
                <w:szCs w:val="21"/>
              </w:rPr>
            </w:pPr>
            <w:r>
              <w:rPr>
                <w:b/>
                <w:bCs/>
                <w:sz w:val="21"/>
                <w:szCs w:val="21"/>
              </w:rPr>
              <w:t>分解产物</w:t>
            </w:r>
          </w:p>
        </w:tc>
        <w:tc>
          <w:tcPr>
            <w:tcW w:w="3417" w:type="pct"/>
            <w:gridSpan w:val="6"/>
            <w:tcBorders>
              <w:tl2br w:val="nil"/>
              <w:tr2bl w:val="nil"/>
            </w:tcBorders>
            <w:vAlign w:val="center"/>
          </w:tcPr>
          <w:p>
            <w:pPr>
              <w:spacing w:line="240" w:lineRule="auto"/>
              <w:ind w:firstLine="0" w:firstLineChars="0"/>
              <w:jc w:val="center"/>
              <w:rPr>
                <w:sz w:val="21"/>
                <w:szCs w:val="21"/>
              </w:rPr>
            </w:pPr>
            <w:r>
              <w:rPr>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550" w:type="pct"/>
            <w:tcBorders>
              <w:tl2br w:val="nil"/>
              <w:tr2bl w:val="nil"/>
            </w:tcBorders>
            <w:vAlign w:val="center"/>
          </w:tcPr>
          <w:p>
            <w:pPr>
              <w:spacing w:line="240" w:lineRule="auto"/>
              <w:ind w:firstLine="0" w:firstLineChars="0"/>
              <w:jc w:val="center"/>
              <w:rPr>
                <w:b/>
                <w:bCs/>
                <w:sz w:val="21"/>
                <w:szCs w:val="21"/>
              </w:rPr>
            </w:pPr>
            <w:r>
              <w:rPr>
                <w:b/>
                <w:bCs/>
                <w:sz w:val="21"/>
                <w:szCs w:val="21"/>
              </w:rPr>
              <w:t>毒理学</w:t>
            </w:r>
          </w:p>
          <w:p>
            <w:pPr>
              <w:spacing w:line="240" w:lineRule="auto"/>
              <w:ind w:firstLine="0" w:firstLineChars="0"/>
              <w:jc w:val="center"/>
              <w:rPr>
                <w:b/>
                <w:bCs/>
                <w:sz w:val="21"/>
                <w:szCs w:val="21"/>
              </w:rPr>
            </w:pPr>
            <w:r>
              <w:rPr>
                <w:b/>
                <w:bCs/>
                <w:sz w:val="21"/>
                <w:szCs w:val="21"/>
              </w:rPr>
              <w:t>信息</w:t>
            </w:r>
          </w:p>
        </w:tc>
        <w:tc>
          <w:tcPr>
            <w:tcW w:w="2064" w:type="pct"/>
            <w:gridSpan w:val="3"/>
            <w:tcBorders>
              <w:tl2br w:val="nil"/>
              <w:tr2bl w:val="nil"/>
            </w:tcBorders>
            <w:vAlign w:val="center"/>
          </w:tcPr>
          <w:p>
            <w:pPr>
              <w:spacing w:line="240" w:lineRule="auto"/>
              <w:ind w:firstLine="0" w:firstLineChars="0"/>
              <w:jc w:val="center"/>
              <w:rPr>
                <w:sz w:val="21"/>
                <w:szCs w:val="21"/>
              </w:rPr>
            </w:pPr>
            <w:r>
              <w:rPr>
                <w:sz w:val="21"/>
                <w:szCs w:val="21"/>
              </w:rPr>
              <w:t>急性毒性LD50</w:t>
            </w:r>
            <w:r>
              <w:rPr>
                <w:rFonts w:hint="eastAsia"/>
                <w:sz w:val="21"/>
                <w:szCs w:val="21"/>
              </w:rPr>
              <w:t>：</w:t>
            </w:r>
            <w:r>
              <w:rPr>
                <w:sz w:val="21"/>
                <w:szCs w:val="21"/>
              </w:rPr>
              <w:t>LC50</w:t>
            </w:r>
          </w:p>
        </w:tc>
        <w:tc>
          <w:tcPr>
            <w:tcW w:w="2385" w:type="pct"/>
            <w:gridSpan w:val="4"/>
            <w:tcBorders>
              <w:tl2br w:val="nil"/>
              <w:tr2bl w:val="nil"/>
            </w:tcBorders>
            <w:vAlign w:val="center"/>
          </w:tcPr>
          <w:p>
            <w:pPr>
              <w:spacing w:line="240" w:lineRule="auto"/>
              <w:ind w:firstLine="0" w:firstLineChars="0"/>
              <w:jc w:val="center"/>
              <w:rPr>
                <w:sz w:val="21"/>
                <w:szCs w:val="21"/>
              </w:rPr>
            </w:pPr>
            <w:r>
              <w:rPr>
                <w:sz w:val="21"/>
                <w:szCs w:val="21"/>
              </w:rPr>
              <w:t>444ppm（大鼠吸入）</w:t>
            </w:r>
          </w:p>
        </w:tc>
      </w:tr>
    </w:tbl>
    <w:p>
      <w:pPr>
        <w:ind w:firstLine="482"/>
        <w:rPr>
          <w:b/>
          <w:bCs/>
        </w:rPr>
      </w:pPr>
      <w:r>
        <w:rPr>
          <w:rFonts w:hint="eastAsia"/>
          <w:b/>
          <w:bCs/>
        </w:rPr>
        <w:t>（3）氨气</w:t>
      </w:r>
    </w:p>
    <w:p>
      <w:pPr>
        <w:ind w:firstLine="480"/>
      </w:pPr>
      <w:r>
        <w:rPr>
          <w:rFonts w:hint="eastAsia"/>
        </w:rPr>
        <w:t>氨气的理化性质及危险特性详见下表。</w:t>
      </w:r>
    </w:p>
    <w:p>
      <w:pPr>
        <w:spacing w:line="240" w:lineRule="auto"/>
        <w:ind w:firstLine="482"/>
        <w:jc w:val="center"/>
        <w:rPr>
          <w:b/>
          <w:bCs/>
        </w:rPr>
      </w:pPr>
      <w:r>
        <w:rPr>
          <w:b/>
          <w:bCs/>
        </w:rPr>
        <w:t>表</w:t>
      </w:r>
      <w:r>
        <w:rPr>
          <w:rFonts w:hint="eastAsia"/>
          <w:b/>
          <w:bCs/>
          <w:lang w:val="en-US" w:eastAsia="zh-CN"/>
        </w:rPr>
        <w:t>7</w:t>
      </w:r>
      <w:r>
        <w:rPr>
          <w:rFonts w:hint="eastAsia"/>
          <w:b/>
          <w:bCs/>
        </w:rPr>
        <w:t>.4</w:t>
      </w:r>
      <w:r>
        <w:rPr>
          <w:b/>
          <w:bCs/>
        </w:rPr>
        <w:t xml:space="preserve">    </w:t>
      </w:r>
      <w:r>
        <w:rPr>
          <w:rFonts w:hint="eastAsia"/>
          <w:b/>
          <w:bCs/>
        </w:rPr>
        <w:t>NH</w:t>
      </w:r>
      <w:r>
        <w:rPr>
          <w:rFonts w:hint="eastAsia"/>
          <w:b/>
          <w:bCs/>
          <w:vertAlign w:val="subscript"/>
        </w:rPr>
        <w:t>3</w:t>
      </w:r>
      <w:r>
        <w:rPr>
          <w:rFonts w:hint="eastAsia"/>
          <w:b/>
          <w:bCs/>
        </w:rPr>
        <w:t>理化性质及危险特性</w:t>
      </w:r>
      <w:r>
        <w:rPr>
          <w:b/>
          <w:bCs/>
        </w:rPr>
        <w:t>一览表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2057"/>
        <w:gridCol w:w="984"/>
        <w:gridCol w:w="1072"/>
        <w:gridCol w:w="554"/>
        <w:gridCol w:w="843"/>
        <w:gridCol w:w="1437"/>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50" w:type="pct"/>
            <w:tcBorders>
              <w:tl2br w:val="nil"/>
              <w:tr2bl w:val="nil"/>
            </w:tcBorders>
            <w:vAlign w:val="center"/>
          </w:tcPr>
          <w:p>
            <w:pPr>
              <w:spacing w:line="240" w:lineRule="auto"/>
              <w:ind w:firstLine="0" w:firstLineChars="0"/>
              <w:jc w:val="center"/>
              <w:rPr>
                <w:b/>
                <w:bCs/>
                <w:sz w:val="21"/>
                <w:szCs w:val="21"/>
              </w:rPr>
            </w:pPr>
            <w:r>
              <w:rPr>
                <w:b/>
                <w:bCs/>
                <w:sz w:val="21"/>
                <w:szCs w:val="21"/>
              </w:rPr>
              <w:t>中文名称</w:t>
            </w:r>
          </w:p>
        </w:tc>
        <w:tc>
          <w:tcPr>
            <w:tcW w:w="2342" w:type="pct"/>
            <w:gridSpan w:val="4"/>
            <w:tcBorders>
              <w:tl2br w:val="nil"/>
              <w:tr2bl w:val="nil"/>
            </w:tcBorders>
            <w:vAlign w:val="center"/>
          </w:tcPr>
          <w:p>
            <w:pPr>
              <w:spacing w:line="240" w:lineRule="auto"/>
              <w:ind w:firstLine="0" w:firstLineChars="0"/>
              <w:jc w:val="center"/>
              <w:rPr>
                <w:sz w:val="21"/>
                <w:szCs w:val="21"/>
              </w:rPr>
            </w:pPr>
            <w:r>
              <w:rPr>
                <w:sz w:val="21"/>
                <w:szCs w:val="21"/>
              </w:rPr>
              <w:t>氨</w:t>
            </w:r>
            <w:r>
              <w:rPr>
                <w:rFonts w:hint="eastAsia"/>
                <w:sz w:val="21"/>
                <w:szCs w:val="21"/>
              </w:rPr>
              <w:t>、</w:t>
            </w:r>
            <w:r>
              <w:rPr>
                <w:sz w:val="21"/>
                <w:szCs w:val="21"/>
              </w:rPr>
              <w:t>液氨</w:t>
            </w:r>
            <w:r>
              <w:rPr>
                <w:rFonts w:hint="eastAsia"/>
                <w:sz w:val="21"/>
                <w:szCs w:val="21"/>
              </w:rPr>
              <w:t>、</w:t>
            </w:r>
            <w:r>
              <w:rPr>
                <w:sz w:val="21"/>
                <w:szCs w:val="21"/>
              </w:rPr>
              <w:t>氨气</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化学品俗名</w:t>
            </w:r>
          </w:p>
        </w:tc>
        <w:tc>
          <w:tcPr>
            <w:tcW w:w="962" w:type="pct"/>
            <w:tcBorders>
              <w:tl2br w:val="nil"/>
              <w:tr2bl w:val="nil"/>
            </w:tcBorders>
            <w:vAlign w:val="center"/>
          </w:tcPr>
          <w:p>
            <w:pPr>
              <w:spacing w:line="240" w:lineRule="auto"/>
              <w:ind w:firstLine="0" w:firstLineChars="0"/>
              <w:jc w:val="center"/>
              <w:rPr>
                <w:sz w:val="21"/>
                <w:szCs w:val="21"/>
              </w:rPr>
            </w:pPr>
            <w:r>
              <w:rPr>
                <w:sz w:val="21"/>
                <w:szCs w:val="21"/>
              </w:rPr>
              <w:t>R717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CAS号</w:t>
            </w:r>
          </w:p>
        </w:tc>
        <w:tc>
          <w:tcPr>
            <w:tcW w:w="2342" w:type="pct"/>
            <w:gridSpan w:val="4"/>
            <w:tcBorders>
              <w:tl2br w:val="nil"/>
              <w:tr2bl w:val="nil"/>
            </w:tcBorders>
            <w:vAlign w:val="center"/>
          </w:tcPr>
          <w:p>
            <w:pPr>
              <w:spacing w:line="240" w:lineRule="auto"/>
              <w:ind w:firstLine="0" w:firstLineChars="0"/>
              <w:jc w:val="center"/>
              <w:rPr>
                <w:sz w:val="21"/>
                <w:szCs w:val="21"/>
              </w:rPr>
            </w:pPr>
            <w:r>
              <w:rPr>
                <w:sz w:val="21"/>
                <w:szCs w:val="21"/>
              </w:rPr>
              <w:t>7664-41-7</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英文名称</w:t>
            </w:r>
          </w:p>
        </w:tc>
        <w:tc>
          <w:tcPr>
            <w:tcW w:w="962" w:type="pct"/>
            <w:tcBorders>
              <w:tl2br w:val="nil"/>
              <w:tr2bl w:val="nil"/>
            </w:tcBorders>
            <w:vAlign w:val="center"/>
          </w:tcPr>
          <w:p>
            <w:pPr>
              <w:spacing w:line="240" w:lineRule="auto"/>
              <w:ind w:firstLine="0" w:firstLineChars="0"/>
              <w:jc w:val="center"/>
              <w:rPr>
                <w:sz w:val="21"/>
                <w:szCs w:val="21"/>
              </w:rPr>
            </w:pPr>
            <w:r>
              <w:rPr>
                <w:sz w:val="21"/>
                <w:szCs w:val="21"/>
              </w:rPr>
              <w:t>Ammonia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理化</w:t>
            </w:r>
          </w:p>
          <w:p>
            <w:pPr>
              <w:spacing w:line="240" w:lineRule="auto"/>
              <w:ind w:firstLine="0" w:firstLineChars="0"/>
              <w:jc w:val="center"/>
              <w:rPr>
                <w:b/>
                <w:bCs/>
                <w:sz w:val="21"/>
                <w:szCs w:val="21"/>
              </w:rPr>
            </w:pPr>
            <w:r>
              <w:rPr>
                <w:b/>
                <w:bCs/>
                <w:sz w:val="21"/>
                <w:szCs w:val="21"/>
              </w:rPr>
              <w:t>性质</w:t>
            </w: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pH</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无资料</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熔点</w:t>
            </w:r>
            <w:r>
              <w:rPr>
                <w:b/>
                <w:bCs/>
                <w:sz w:val="21"/>
                <w:szCs w:val="21"/>
              </w:rPr>
              <w:t>（℃）</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-77.7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沸点</w:t>
            </w:r>
            <w:r>
              <w:rPr>
                <w:b/>
                <w:bCs/>
                <w:sz w:val="21"/>
                <w:szCs w:val="21"/>
              </w:rPr>
              <w:t>（℃）</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-33.5</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分子式</w:t>
            </w:r>
          </w:p>
        </w:tc>
        <w:tc>
          <w:tcPr>
            <w:tcW w:w="962"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主要成分</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氨</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饱和蒸气压（kPa）</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506.62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辛醇/水分配系数的对数值</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无资料</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临界温度</w:t>
            </w:r>
            <w:r>
              <w:rPr>
                <w:b/>
                <w:bCs/>
                <w:sz w:val="21"/>
                <w:szCs w:val="21"/>
              </w:rPr>
              <w:t>（℃）</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132.5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闪点</w:t>
            </w:r>
            <w:r>
              <w:rPr>
                <w:b/>
                <w:bCs/>
                <w:sz w:val="21"/>
                <w:szCs w:val="21"/>
              </w:rPr>
              <w:t>（℃）</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无意义</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引燃温度</w:t>
            </w:r>
            <w:r>
              <w:rPr>
                <w:b/>
                <w:bCs/>
                <w:sz w:val="21"/>
                <w:szCs w:val="21"/>
              </w:rPr>
              <w:t>（℃）</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651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自燃温度</w:t>
            </w:r>
            <w:r>
              <w:rPr>
                <w:b/>
                <w:bCs/>
                <w:sz w:val="21"/>
                <w:szCs w:val="21"/>
              </w:rPr>
              <w:t>（℃）</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651.1</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燃烧性</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溶解性</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易溶于水、乙醇、乙醚</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相对密度（水=1）</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相对蒸汽密度（空气=1）</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0.6</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分子量</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17.03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燃烧热（kJ/kg）</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无资料</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临界压力</w:t>
            </w:r>
            <w:r>
              <w:rPr>
                <w:rFonts w:hint="eastAsia"/>
                <w:b/>
                <w:bCs/>
                <w:sz w:val="21"/>
                <w:szCs w:val="21"/>
              </w:rPr>
              <w:t>（</w:t>
            </w:r>
            <w:r>
              <w:rPr>
                <w:b/>
                <w:bCs/>
                <w:sz w:val="21"/>
                <w:szCs w:val="21"/>
              </w:rPr>
              <w:t>MPa</w:t>
            </w:r>
            <w:r>
              <w:rPr>
                <w:rFonts w:hint="eastAsia"/>
                <w:b/>
                <w:bCs/>
                <w:sz w:val="21"/>
                <w:szCs w:val="21"/>
              </w:rPr>
              <w:t>）</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11.40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爆炸上限%(V/V)</w:t>
            </w:r>
          </w:p>
        </w:tc>
        <w:tc>
          <w:tcPr>
            <w:tcW w:w="816"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27.4</w:t>
            </w:r>
          </w:p>
        </w:tc>
        <w:tc>
          <w:tcPr>
            <w:tcW w:w="1144"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爆炸下限%(V/V)</w:t>
            </w:r>
          </w:p>
        </w:tc>
        <w:tc>
          <w:tcPr>
            <w:tcW w:w="962" w:type="pct"/>
            <w:tcBorders>
              <w:tl2br w:val="nil"/>
              <w:tr2bl w:val="nil"/>
            </w:tcBorders>
            <w:vAlign w:val="center"/>
          </w:tcPr>
          <w:p>
            <w:pPr>
              <w:spacing w:line="240" w:lineRule="auto"/>
              <w:ind w:firstLine="0" w:firstLineChars="0"/>
              <w:jc w:val="center"/>
              <w:rPr>
                <w:sz w:val="21"/>
                <w:szCs w:val="21"/>
              </w:rPr>
            </w:pPr>
            <w:r>
              <w:rPr>
                <w:rFonts w:hint="eastAsia"/>
                <w:sz w:val="21"/>
                <w:szCs w:val="21"/>
              </w:rPr>
              <w:t>15.7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外观与性状</w:t>
            </w:r>
          </w:p>
        </w:tc>
        <w:tc>
          <w:tcPr>
            <w:tcW w:w="2923" w:type="pct"/>
            <w:gridSpan w:val="5"/>
            <w:tcBorders>
              <w:tl2br w:val="nil"/>
              <w:tr2bl w:val="nil"/>
            </w:tcBorders>
            <w:vAlign w:val="center"/>
          </w:tcPr>
          <w:p>
            <w:pPr>
              <w:spacing w:line="240" w:lineRule="auto"/>
              <w:ind w:firstLine="0" w:firstLineChars="0"/>
              <w:jc w:val="center"/>
              <w:rPr>
                <w:sz w:val="21"/>
                <w:szCs w:val="21"/>
              </w:rPr>
            </w:pPr>
            <w:r>
              <w:rPr>
                <w:rFonts w:hint="eastAsia" w:ascii="Tahoma" w:hAnsi="Tahoma" w:eastAsia="Tahoma" w:cs="Tahoma"/>
                <w:color w:val="000000"/>
                <w:sz w:val="21"/>
                <w:szCs w:val="21"/>
              </w:rPr>
              <w:t>无色、有</w:t>
            </w:r>
            <w:r>
              <w:rPr>
                <w:rFonts w:hint="eastAsia" w:ascii="Tahoma" w:hAnsi="Tahoma" w:cs="Tahoma"/>
                <w:color w:val="000000"/>
                <w:sz w:val="21"/>
                <w:szCs w:val="21"/>
              </w:rPr>
              <w:t>有刺激性</w:t>
            </w:r>
            <w:r>
              <w:rPr>
                <w:rFonts w:hint="eastAsia" w:ascii="Tahoma" w:hAnsi="Tahoma" w:eastAsia="Tahoma" w:cs="Tahoma"/>
                <w:color w:val="000000"/>
                <w:sz w:val="21"/>
                <w:szCs w:val="21"/>
              </w:rPr>
              <w:t>恶臭气体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主要用途</w:t>
            </w:r>
          </w:p>
        </w:tc>
        <w:tc>
          <w:tcPr>
            <w:tcW w:w="2923" w:type="pct"/>
            <w:gridSpan w:val="5"/>
            <w:tcBorders>
              <w:tl2br w:val="nil"/>
              <w:tr2bl w:val="nil"/>
            </w:tcBorders>
            <w:vAlign w:val="center"/>
          </w:tcPr>
          <w:p>
            <w:pPr>
              <w:spacing w:line="240" w:lineRule="auto"/>
              <w:ind w:firstLine="0" w:firstLineChars="0"/>
              <w:jc w:val="center"/>
              <w:rPr>
                <w:sz w:val="21"/>
                <w:szCs w:val="21"/>
              </w:rPr>
            </w:pPr>
            <w:r>
              <w:rPr>
                <w:rFonts w:hint="eastAsia"/>
                <w:sz w:val="21"/>
                <w:szCs w:val="21"/>
              </w:rPr>
              <w:t>用作制冷剂及制取铵盐和氮肥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危险性</w:t>
            </w:r>
          </w:p>
          <w:p>
            <w:pPr>
              <w:spacing w:line="240" w:lineRule="auto"/>
              <w:ind w:firstLine="0" w:firstLineChars="0"/>
              <w:jc w:val="center"/>
              <w:rPr>
                <w:b/>
                <w:bCs/>
                <w:sz w:val="21"/>
                <w:szCs w:val="21"/>
              </w:rPr>
            </w:pPr>
            <w:r>
              <w:rPr>
                <w:b/>
                <w:bCs/>
                <w:sz w:val="21"/>
                <w:szCs w:val="21"/>
              </w:rPr>
              <w:t>概述</w:t>
            </w:r>
          </w:p>
        </w:tc>
        <w:tc>
          <w:tcPr>
            <w:tcW w:w="1526" w:type="pct"/>
            <w:gridSpan w:val="2"/>
            <w:tcBorders>
              <w:tl2br w:val="nil"/>
              <w:tr2bl w:val="nil"/>
            </w:tcBorders>
            <w:vAlign w:val="center"/>
          </w:tcPr>
          <w:p>
            <w:pPr>
              <w:spacing w:line="240" w:lineRule="auto"/>
              <w:ind w:firstLine="0" w:firstLineChars="0"/>
              <w:jc w:val="center"/>
              <w:rPr>
                <w:sz w:val="21"/>
                <w:szCs w:val="21"/>
              </w:rPr>
            </w:pPr>
            <w:r>
              <w:rPr>
                <w:rFonts w:hint="eastAsia"/>
                <w:b/>
                <w:bCs/>
                <w:sz w:val="21"/>
                <w:szCs w:val="21"/>
              </w:rPr>
              <w:t>危险性类别</w:t>
            </w:r>
          </w:p>
        </w:tc>
        <w:tc>
          <w:tcPr>
            <w:tcW w:w="2923" w:type="pct"/>
            <w:gridSpan w:val="5"/>
            <w:tcBorders>
              <w:tl2br w:val="nil"/>
              <w:tr2bl w:val="nil"/>
            </w:tcBorders>
            <w:vAlign w:val="center"/>
          </w:tcPr>
          <w:p>
            <w:pPr>
              <w:spacing w:line="240" w:lineRule="auto"/>
              <w:ind w:firstLine="0" w:firstLineChars="0"/>
              <w:jc w:val="center"/>
              <w:rPr>
                <w:sz w:val="21"/>
                <w:szCs w:val="21"/>
              </w:rPr>
            </w:pPr>
            <w:r>
              <w:rPr>
                <w:rFonts w:eastAsia="Tahoma"/>
                <w:color w:val="000000"/>
                <w:sz w:val="21"/>
                <w:szCs w:val="21"/>
              </w:rPr>
              <w:t>第2.</w:t>
            </w:r>
            <w:r>
              <w:rPr>
                <w:color w:val="000000"/>
                <w:sz w:val="21"/>
                <w:szCs w:val="21"/>
              </w:rPr>
              <w:t>3</w:t>
            </w:r>
            <w:r>
              <w:rPr>
                <w:rFonts w:eastAsia="Tahoma"/>
                <w:color w:val="000000"/>
                <w:sz w:val="21"/>
                <w:szCs w:val="21"/>
              </w:rPr>
              <w:t>类</w:t>
            </w:r>
            <w:r>
              <w:rPr>
                <w:color w:val="000000"/>
                <w:sz w:val="21"/>
                <w:szCs w:val="21"/>
              </w:rPr>
              <w:t>有毒</w:t>
            </w:r>
            <w:r>
              <w:rPr>
                <w:rFonts w:eastAsia="Tahoma"/>
                <w:color w:val="000000"/>
                <w:sz w:val="21"/>
                <w:szCs w:val="21"/>
              </w:rPr>
              <w:t>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526" w:type="pct"/>
            <w:gridSpan w:val="2"/>
            <w:tcBorders>
              <w:tl2br w:val="nil"/>
              <w:tr2bl w:val="nil"/>
            </w:tcBorders>
            <w:vAlign w:val="center"/>
          </w:tcPr>
          <w:p>
            <w:pPr>
              <w:spacing w:line="240" w:lineRule="auto"/>
              <w:ind w:firstLine="0" w:firstLineChars="0"/>
              <w:jc w:val="center"/>
              <w:rPr>
                <w:sz w:val="21"/>
                <w:szCs w:val="21"/>
              </w:rPr>
            </w:pPr>
            <w:r>
              <w:rPr>
                <w:rFonts w:hint="eastAsia"/>
                <w:b/>
                <w:bCs/>
                <w:sz w:val="21"/>
                <w:szCs w:val="21"/>
              </w:rPr>
              <w:t>侵入途径</w:t>
            </w:r>
          </w:p>
        </w:tc>
        <w:tc>
          <w:tcPr>
            <w:tcW w:w="2923" w:type="pct"/>
            <w:gridSpan w:val="5"/>
            <w:tcBorders>
              <w:tl2br w:val="nil"/>
              <w:tr2bl w:val="nil"/>
            </w:tcBorders>
            <w:vAlign w:val="center"/>
          </w:tcPr>
          <w:p>
            <w:pPr>
              <w:spacing w:line="240" w:lineRule="auto"/>
              <w:ind w:firstLine="0" w:firstLineChars="0"/>
              <w:jc w:val="center"/>
              <w:rPr>
                <w:rFonts w:ascii="Tahoma" w:hAnsi="Tahoma" w:eastAsia="Tahoma" w:cs="Tahoma"/>
                <w:color w:val="000000"/>
                <w:sz w:val="21"/>
                <w:szCs w:val="21"/>
              </w:rPr>
            </w:pPr>
            <w:r>
              <w:rPr>
                <w:rFonts w:hint="eastAsia" w:ascii="Tahoma" w:hAnsi="Tahoma" w:eastAsia="Tahoma" w:cs="Tahoma"/>
                <w:color w:val="000000"/>
                <w:sz w:val="21"/>
                <w:szCs w:val="21"/>
              </w:rPr>
              <w:t>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健康危害：</w:t>
            </w:r>
            <w:r>
              <w:rPr>
                <w:sz w:val="21"/>
                <w:szCs w:val="21"/>
              </w:rPr>
              <w:t>低浓度氨对粘膜有刺激作用，高浓度可造成组织溶解坏死。急性中毒：轻度者出现流泪、咽痛、声音嘶哑、咳嗽、咯痰等；眼结膜、鼻粘膜、咽部充血、水肿；胸部X线征象符合支气管炎或支气管周围炎。中度中毒上述症状加剧，出现呼吸困难、紫绀；胸部X线征象符合肺炎或间质性肺炎。严重者可发生中毒性肺水肿，或有呼吸窘迫综合征，患者剧烈咳嗽、咯大量粉红色泡沫痰、呼吸窘迫、谵妄、昏迷、休克等。可发生喉头水肿或支气管粘膜坏死脱落窒息。高浓度氨可引起反射性呼吸停止。液氨或高浓度氨可致眼灼伤；液氨可致皮肤灼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rFonts w:hint="eastAsia"/>
                <w:b/>
                <w:bCs/>
                <w:sz w:val="21"/>
                <w:szCs w:val="21"/>
              </w:rPr>
              <w:t>环境危害：</w:t>
            </w:r>
            <w:r>
              <w:rPr>
                <w:rFonts w:hint="eastAsia" w:ascii="Tahoma" w:hAnsi="Tahoma" w:eastAsia="Tahoma" w:cs="Tahoma"/>
                <w:color w:val="000000"/>
                <w:sz w:val="21"/>
                <w:szCs w:val="21"/>
              </w:rPr>
              <w:t>对环境有</w:t>
            </w:r>
            <w:r>
              <w:rPr>
                <w:rFonts w:hint="eastAsia" w:ascii="Tahoma" w:hAnsi="Tahoma" w:cs="Tahoma"/>
                <w:color w:val="000000"/>
                <w:sz w:val="21"/>
                <w:szCs w:val="21"/>
              </w:rPr>
              <w:t>严重</w:t>
            </w:r>
            <w:r>
              <w:rPr>
                <w:rFonts w:hint="eastAsia" w:ascii="Tahoma" w:hAnsi="Tahoma" w:eastAsia="Tahoma" w:cs="Tahoma"/>
                <w:color w:val="000000"/>
                <w:sz w:val="21"/>
                <w:szCs w:val="21"/>
              </w:rPr>
              <w:t>危害，对水体和大气可造成污染。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燃爆危险：</w:t>
            </w:r>
            <w:r>
              <w:rPr>
                <w:sz w:val="21"/>
                <w:szCs w:val="21"/>
              </w:rPr>
              <w:t>易燃，有毒，具刺激性</w:t>
            </w:r>
            <w:r>
              <w:rPr>
                <w:rFonts w:hint="eastAsia"/>
                <w:sz w:val="21"/>
                <w:szCs w:val="21"/>
              </w:rPr>
              <w:t>，与空气混合能形成爆炸性混合物。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急救</w:t>
            </w:r>
          </w:p>
          <w:p>
            <w:pPr>
              <w:spacing w:line="240" w:lineRule="auto"/>
              <w:ind w:firstLine="0" w:firstLineChars="0"/>
              <w:jc w:val="center"/>
              <w:rPr>
                <w:b/>
                <w:bCs/>
                <w:sz w:val="21"/>
                <w:szCs w:val="21"/>
              </w:rPr>
            </w:pPr>
            <w:r>
              <w:rPr>
                <w:b/>
                <w:bCs/>
                <w:sz w:val="21"/>
                <w:szCs w:val="21"/>
              </w:rPr>
              <w:t>措施</w:t>
            </w:r>
          </w:p>
        </w:tc>
        <w:tc>
          <w:tcPr>
            <w:tcW w:w="4449" w:type="pct"/>
            <w:gridSpan w:val="7"/>
            <w:tcBorders>
              <w:tl2br w:val="nil"/>
              <w:tr2bl w:val="nil"/>
            </w:tcBorders>
            <w:vAlign w:val="center"/>
          </w:tcPr>
          <w:p>
            <w:pPr>
              <w:spacing w:line="240" w:lineRule="auto"/>
              <w:ind w:firstLine="0" w:firstLineChars="0"/>
              <w:rPr>
                <w:b/>
                <w:bCs/>
                <w:sz w:val="21"/>
                <w:szCs w:val="21"/>
              </w:rPr>
            </w:pPr>
            <w:r>
              <w:rPr>
                <w:b/>
                <w:bCs/>
                <w:sz w:val="21"/>
                <w:szCs w:val="21"/>
              </w:rPr>
              <w:t>皮肤接触：</w:t>
            </w:r>
            <w:r>
              <w:rPr>
                <w:sz w:val="21"/>
                <w:szCs w:val="21"/>
              </w:rPr>
              <w:t>立即脱去污染的衣着，应用2%硼酸液或大量清水彻底冲洗。就医。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rFonts w:hint="eastAsia"/>
                <w:b/>
                <w:bCs/>
                <w:sz w:val="21"/>
                <w:szCs w:val="21"/>
              </w:rPr>
              <w:t>眼睛接触：</w:t>
            </w:r>
            <w:r>
              <w:rPr>
                <w:rFonts w:hint="eastAsia"/>
                <w:sz w:val="21"/>
                <w:szCs w:val="21"/>
              </w:rPr>
              <w:t>立即提起眼睑，用大量清水或生理盐水彻底冲洗至少15分钟。就医。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rFonts w:hint="eastAsia"/>
                <w:b/>
                <w:bCs/>
                <w:sz w:val="21"/>
                <w:szCs w:val="21"/>
              </w:rPr>
              <w:t>吸入：</w:t>
            </w:r>
            <w:r>
              <w:rPr>
                <w:rFonts w:hint="eastAsia" w:ascii="Tahoma" w:hAnsi="Tahoma" w:eastAsia="Tahoma" w:cs="Tahoma"/>
                <w:color w:val="000000"/>
                <w:sz w:val="21"/>
                <w:szCs w:val="21"/>
              </w:rPr>
              <w:t>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b/>
                <w:bCs/>
                <w:sz w:val="21"/>
                <w:szCs w:val="21"/>
              </w:rPr>
            </w:pPr>
            <w:r>
              <w:rPr>
                <w:rFonts w:hint="eastAsia"/>
                <w:b/>
                <w:bCs/>
                <w:sz w:val="21"/>
                <w:szCs w:val="21"/>
              </w:rPr>
              <w:t>食入：</w:t>
            </w:r>
            <w:r>
              <w:rPr>
                <w:rFonts w:hint="eastAsia" w:ascii="Tahoma" w:hAnsi="Tahoma" w:eastAsia="Tahoma" w:cs="Tahoma"/>
                <w:color w:val="000000"/>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消防</w:t>
            </w:r>
          </w:p>
          <w:p>
            <w:pPr>
              <w:spacing w:line="240" w:lineRule="auto"/>
              <w:ind w:firstLine="0" w:firstLineChars="0"/>
              <w:jc w:val="center"/>
              <w:rPr>
                <w:b/>
                <w:bCs/>
                <w:sz w:val="21"/>
                <w:szCs w:val="21"/>
              </w:rPr>
            </w:pPr>
            <w:r>
              <w:rPr>
                <w:b/>
                <w:bCs/>
                <w:sz w:val="21"/>
                <w:szCs w:val="21"/>
              </w:rPr>
              <w:t>措施</w:t>
            </w: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危险特性：</w:t>
            </w:r>
            <w:r>
              <w:rPr>
                <w:rFonts w:hint="eastAsia" w:ascii="Tahoma" w:hAnsi="Tahoma" w:eastAsia="Tahoma" w:cs="Tahoma"/>
                <w:color w:val="000000"/>
                <w:sz w:val="21"/>
                <w:szCs w:val="21"/>
              </w:rPr>
              <w:t>与空气混合能形成爆炸性混合物。遇明火、高热能引起燃烧爆炸。与氟、氯等接触会发生剧烈的化学反应。若遇高热，容器内压增大，有开裂和爆炸的危险。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建规火险等级：乙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有害燃烧物质：</w:t>
            </w:r>
            <w:r>
              <w:rPr>
                <w:rFonts w:hint="eastAsia"/>
                <w:sz w:val="21"/>
                <w:szCs w:val="21"/>
              </w:rPr>
              <w:t>二氧化氮。氨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pStyle w:val="2"/>
              <w:jc w:val="both"/>
              <w:rPr>
                <w:sz w:val="21"/>
                <w:szCs w:val="21"/>
              </w:rPr>
            </w:pPr>
            <w:r>
              <w:rPr>
                <w:b/>
                <w:bCs/>
                <w:color w:val="auto"/>
                <w:sz w:val="21"/>
                <w:szCs w:val="21"/>
              </w:rPr>
              <w:t>灭火方法：</w:t>
            </w:r>
            <w:r>
              <w:rPr>
                <w:color w:val="auto"/>
                <w:sz w:val="21"/>
                <w:szCs w:val="21"/>
              </w:rPr>
              <w:t>消防人员必须穿全身防火防毒服，在上风向灭火。切断气源。若不能切断气源，则不允许熄灭泄漏处的火焰。喷水冷却容器，可能的话将容器从火场移至空旷处。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422"/>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灭火剂：</w:t>
            </w:r>
            <w:r>
              <w:rPr>
                <w:sz w:val="21"/>
                <w:szCs w:val="21"/>
              </w:rPr>
              <w:t>雾状水、抗溶性泡沫、二氧化碳、砂土。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tcBorders>
              <w:tl2br w:val="nil"/>
              <w:tr2bl w:val="nil"/>
            </w:tcBorders>
            <w:vAlign w:val="center"/>
          </w:tcPr>
          <w:p>
            <w:pPr>
              <w:spacing w:line="240" w:lineRule="auto"/>
              <w:ind w:firstLine="0" w:firstLineChars="0"/>
              <w:jc w:val="center"/>
              <w:rPr>
                <w:sz w:val="21"/>
                <w:szCs w:val="21"/>
              </w:rPr>
            </w:pPr>
            <w:r>
              <w:rPr>
                <w:b/>
                <w:bCs/>
                <w:sz w:val="21"/>
                <w:szCs w:val="21"/>
              </w:rPr>
              <w:t>泄漏应急处理</w:t>
            </w:r>
          </w:p>
        </w:tc>
        <w:tc>
          <w:tcPr>
            <w:tcW w:w="4449" w:type="pct"/>
            <w:gridSpan w:val="7"/>
            <w:tcBorders>
              <w:tl2br w:val="nil"/>
              <w:tr2bl w:val="nil"/>
            </w:tcBorders>
            <w:vAlign w:val="center"/>
          </w:tcPr>
          <w:p>
            <w:pPr>
              <w:spacing w:line="240" w:lineRule="auto"/>
              <w:ind w:firstLine="0" w:firstLineChars="0"/>
              <w:rPr>
                <w:sz w:val="21"/>
                <w:szCs w:val="21"/>
              </w:rPr>
            </w:pPr>
            <w:r>
              <w:rPr>
                <w:sz w:val="21"/>
                <w:szCs w:val="21"/>
              </w:rPr>
              <w:t>迅速撤离泄漏污染区人员至上风处，并立即隔离150m，严格限制出入。切断火源。建议应急处理人员戴自给正压式呼吸器，穿防静电工作服。尽可能切断泄漏源。合理通风，加速扩散。高浓度泄漏区，喷含盐酸的雾状水中和、稀释、溶解。构筑围堤或挖坑收容产生的大量废水。如有可能，将残余气或漏出气用排风机送至水洗塔或与塔相连的通风橱内。储罐区最好设稀酸喷洒设施。漏气容器要妥善处理，修复、检验后再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操作处置与储存</w:t>
            </w:r>
          </w:p>
        </w:tc>
        <w:tc>
          <w:tcPr>
            <w:tcW w:w="4449" w:type="pct"/>
            <w:gridSpan w:val="7"/>
            <w:tcBorders>
              <w:tl2br w:val="nil"/>
              <w:tr2bl w:val="nil"/>
            </w:tcBorders>
            <w:vAlign w:val="center"/>
          </w:tcPr>
          <w:p>
            <w:pPr>
              <w:spacing w:line="240" w:lineRule="auto"/>
              <w:ind w:firstLine="0" w:firstLineChars="0"/>
              <w:rPr>
                <w:sz w:val="21"/>
                <w:szCs w:val="21"/>
              </w:rPr>
            </w:pPr>
            <w:r>
              <w:rPr>
                <w:b/>
                <w:bCs/>
                <w:sz w:val="21"/>
                <w:szCs w:val="21"/>
              </w:rPr>
              <w:t>操作注意事项：</w:t>
            </w:r>
            <w:r>
              <w:rPr>
                <w:sz w:val="21"/>
                <w:szCs w:val="21"/>
              </w:rPr>
              <w:t>严加密闭，提供充分的局部排风和全面通风。操作人员必须经过专门培训，严格遵守操作规程。建议操作人员佩戴过滤式防毒面具（半面罩），戴化学安全防护眼镜，穿防静电工作服，戴橡胶手套。远离火种、热源，工作场所严禁吸烟。使用防爆型的通风系统和设备。防止气体泄漏到工作场所空气中。避免与氧化剂、酸类、卤素接触。搬运时轻装轻卸，防止钢瓶及附件破损。配备相应品种和数量的消防器材及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储存注意事项</w:t>
            </w:r>
            <w:r>
              <w:rPr>
                <w:rFonts w:hint="eastAsia"/>
                <w:sz w:val="21"/>
                <w:szCs w:val="21"/>
              </w:rPr>
              <w:t>：储存于阴凉、通风的库房。远离火种、热源。库温不宜超过30℃。应与氧化剂、酸类、卤素、食用化学品分开存放，切忌混储。采用防爆型照明、通风设施。禁止使用易产生火花的机械设备和工具。储区应备泄漏应急处理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防护</w:t>
            </w:r>
          </w:p>
          <w:p>
            <w:pPr>
              <w:spacing w:line="240" w:lineRule="auto"/>
              <w:ind w:firstLine="0" w:firstLineChars="0"/>
              <w:jc w:val="center"/>
              <w:rPr>
                <w:sz w:val="21"/>
                <w:szCs w:val="21"/>
              </w:rPr>
            </w:pPr>
            <w:r>
              <w:rPr>
                <w:b/>
                <w:bCs/>
                <w:sz w:val="21"/>
                <w:szCs w:val="21"/>
              </w:rPr>
              <w:t>措施</w:t>
            </w: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工程控制：</w:t>
            </w:r>
            <w:r>
              <w:rPr>
                <w:rFonts w:hint="eastAsia" w:ascii="Tahoma" w:hAnsi="Tahoma" w:eastAsia="Tahoma" w:cs="Tahoma"/>
                <w:color w:val="000000"/>
                <w:sz w:val="21"/>
                <w:szCs w:val="21"/>
              </w:rPr>
              <w:t>严加密闭，提供充分的局部排风和全面通风。提供淋浴和洗眼设备。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呼吸系统防护：</w:t>
            </w:r>
            <w:r>
              <w:rPr>
                <w:rFonts w:hint="eastAsia" w:ascii="Tahoma" w:hAnsi="Tahoma" w:eastAsia="Tahoma" w:cs="Tahoma"/>
                <w:color w:val="000000"/>
                <w:sz w:val="21"/>
                <w:szCs w:val="21"/>
              </w:rPr>
              <w:t>空气中浓度超标时，佩戴过滤式防毒面具（半面罩）。紧急事态抢救或撤离时，建议佩戴氧气呼吸器或空气呼吸器。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眼睛防护：</w:t>
            </w:r>
            <w:r>
              <w:rPr>
                <w:rFonts w:hint="eastAsia" w:ascii="Tahoma" w:hAnsi="Tahoma" w:eastAsia="Tahoma" w:cs="Tahoma"/>
                <w:color w:val="000000"/>
                <w:sz w:val="21"/>
                <w:szCs w:val="21"/>
              </w:rPr>
              <w:t>戴化学安全防护眼镜。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身体防护：</w:t>
            </w:r>
            <w:r>
              <w:rPr>
                <w:rFonts w:hint="eastAsia" w:ascii="Tahoma" w:hAnsi="Tahoma" w:eastAsia="Tahoma" w:cs="Tahoma"/>
                <w:color w:val="000000"/>
                <w:sz w:val="21"/>
                <w:szCs w:val="21"/>
              </w:rPr>
              <w:t>穿防静电工作服。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手防护：</w:t>
            </w:r>
            <w:r>
              <w:rPr>
                <w:rFonts w:hint="eastAsia" w:ascii="Tahoma" w:hAnsi="Tahoma" w:eastAsia="Tahoma" w:cs="Tahoma"/>
                <w:color w:val="000000"/>
                <w:sz w:val="21"/>
                <w:szCs w:val="21"/>
              </w:rPr>
              <w:t>戴防化学品手套。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4449" w:type="pct"/>
            <w:gridSpan w:val="7"/>
            <w:tcBorders>
              <w:tl2br w:val="nil"/>
              <w:tr2bl w:val="nil"/>
            </w:tcBorders>
            <w:vAlign w:val="center"/>
          </w:tcPr>
          <w:p>
            <w:pPr>
              <w:spacing w:line="240" w:lineRule="auto"/>
              <w:ind w:firstLine="0" w:firstLineChars="0"/>
              <w:rPr>
                <w:sz w:val="21"/>
                <w:szCs w:val="21"/>
              </w:rPr>
            </w:pPr>
            <w:r>
              <w:rPr>
                <w:rFonts w:hint="eastAsia"/>
                <w:b/>
                <w:bCs/>
                <w:sz w:val="21"/>
                <w:szCs w:val="21"/>
              </w:rPr>
              <w:t>其他防护：</w:t>
            </w:r>
            <w:r>
              <w:rPr>
                <w:rFonts w:hint="eastAsia"/>
                <w:sz w:val="21"/>
                <w:szCs w:val="21"/>
              </w:rPr>
              <w:t>工作现场禁止吸烟、进食和饮水。工作完毕，淋浴更衣。保持良好的卫生习惯。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稳定性和反应活性</w:t>
            </w:r>
          </w:p>
        </w:tc>
        <w:tc>
          <w:tcPr>
            <w:tcW w:w="1032"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稳定性</w:t>
            </w:r>
          </w:p>
        </w:tc>
        <w:tc>
          <w:tcPr>
            <w:tcW w:w="1032"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稳定</w:t>
            </w:r>
          </w:p>
        </w:tc>
        <w:tc>
          <w:tcPr>
            <w:tcW w:w="701"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分解产物</w:t>
            </w:r>
          </w:p>
        </w:tc>
        <w:tc>
          <w:tcPr>
            <w:tcW w:w="1683"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无资料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032"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避免接触条件</w:t>
            </w:r>
          </w:p>
        </w:tc>
        <w:tc>
          <w:tcPr>
            <w:tcW w:w="1032"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无资料</w:t>
            </w:r>
          </w:p>
        </w:tc>
        <w:tc>
          <w:tcPr>
            <w:tcW w:w="701" w:type="pct"/>
            <w:gridSpan w:val="2"/>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聚合危害</w:t>
            </w:r>
          </w:p>
        </w:tc>
        <w:tc>
          <w:tcPr>
            <w:tcW w:w="1683"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不能出现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1032"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禁配物</w:t>
            </w:r>
          </w:p>
        </w:tc>
        <w:tc>
          <w:tcPr>
            <w:tcW w:w="3417" w:type="pct"/>
            <w:gridSpan w:val="6"/>
            <w:tcBorders>
              <w:tl2br w:val="nil"/>
              <w:tr2bl w:val="nil"/>
            </w:tcBorders>
            <w:vAlign w:val="center"/>
          </w:tcPr>
          <w:p>
            <w:pPr>
              <w:spacing w:line="240" w:lineRule="auto"/>
              <w:ind w:firstLine="0" w:firstLineChars="0"/>
              <w:jc w:val="center"/>
              <w:rPr>
                <w:sz w:val="21"/>
                <w:szCs w:val="21"/>
              </w:rPr>
            </w:pPr>
            <w:r>
              <w:rPr>
                <w:rFonts w:hint="eastAsia"/>
                <w:sz w:val="21"/>
                <w:szCs w:val="21"/>
              </w:rPr>
              <w:t>卤素、酰基氯、酸类、氯仿、强氧化剂。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restart"/>
            <w:tcBorders>
              <w:tl2br w:val="nil"/>
              <w:tr2bl w:val="nil"/>
            </w:tcBorders>
            <w:vAlign w:val="center"/>
          </w:tcPr>
          <w:p>
            <w:pPr>
              <w:spacing w:line="240" w:lineRule="auto"/>
              <w:ind w:firstLine="0" w:firstLineChars="0"/>
              <w:jc w:val="center"/>
              <w:rPr>
                <w:b/>
                <w:bCs/>
                <w:sz w:val="21"/>
                <w:szCs w:val="21"/>
              </w:rPr>
            </w:pPr>
            <w:r>
              <w:rPr>
                <w:b/>
                <w:bCs/>
                <w:sz w:val="21"/>
                <w:szCs w:val="21"/>
              </w:rPr>
              <w:t>毒理学</w:t>
            </w:r>
          </w:p>
          <w:p>
            <w:pPr>
              <w:spacing w:line="240" w:lineRule="auto"/>
              <w:ind w:firstLine="0" w:firstLineChars="0"/>
              <w:jc w:val="center"/>
              <w:rPr>
                <w:b/>
                <w:bCs/>
                <w:sz w:val="21"/>
                <w:szCs w:val="21"/>
              </w:rPr>
            </w:pPr>
            <w:r>
              <w:rPr>
                <w:b/>
                <w:bCs/>
                <w:sz w:val="21"/>
                <w:szCs w:val="21"/>
              </w:rPr>
              <w:t>信息</w:t>
            </w:r>
          </w:p>
        </w:tc>
        <w:tc>
          <w:tcPr>
            <w:tcW w:w="2064" w:type="pct"/>
            <w:gridSpan w:val="3"/>
            <w:tcBorders>
              <w:tl2br w:val="nil"/>
              <w:tr2bl w:val="nil"/>
            </w:tcBorders>
            <w:vAlign w:val="center"/>
          </w:tcPr>
          <w:p>
            <w:pPr>
              <w:spacing w:line="240" w:lineRule="auto"/>
              <w:ind w:firstLine="0" w:firstLineChars="0"/>
              <w:jc w:val="center"/>
              <w:rPr>
                <w:sz w:val="21"/>
                <w:szCs w:val="21"/>
              </w:rPr>
            </w:pPr>
            <w:r>
              <w:rPr>
                <w:rFonts w:hint="eastAsia"/>
                <w:sz w:val="21"/>
                <w:szCs w:val="21"/>
              </w:rPr>
              <w:t>急性毒性LD50</w:t>
            </w:r>
          </w:p>
        </w:tc>
        <w:tc>
          <w:tcPr>
            <w:tcW w:w="2385" w:type="pct"/>
            <w:gridSpan w:val="4"/>
            <w:tcBorders>
              <w:tl2br w:val="nil"/>
              <w:tr2bl w:val="nil"/>
            </w:tcBorders>
            <w:vAlign w:val="center"/>
          </w:tcPr>
          <w:p>
            <w:pPr>
              <w:spacing w:line="240" w:lineRule="auto"/>
              <w:ind w:firstLine="0" w:firstLineChars="0"/>
              <w:jc w:val="center"/>
              <w:rPr>
                <w:sz w:val="21"/>
                <w:szCs w:val="21"/>
              </w:rPr>
            </w:pPr>
            <w:r>
              <w:rPr>
                <w:rFonts w:hint="eastAsia"/>
                <w:sz w:val="21"/>
                <w:szCs w:val="21"/>
              </w:rPr>
              <w:t>350mg/kg（大鼠经口）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pct"/>
            <w:vMerge w:val="continue"/>
            <w:tcBorders>
              <w:tl2br w:val="nil"/>
              <w:tr2bl w:val="nil"/>
            </w:tcBorders>
            <w:vAlign w:val="center"/>
          </w:tcPr>
          <w:p>
            <w:pPr>
              <w:spacing w:line="240" w:lineRule="auto"/>
              <w:ind w:firstLine="0" w:firstLineChars="0"/>
              <w:jc w:val="center"/>
              <w:rPr>
                <w:b/>
                <w:bCs/>
                <w:sz w:val="21"/>
                <w:szCs w:val="21"/>
              </w:rPr>
            </w:pPr>
          </w:p>
        </w:tc>
        <w:tc>
          <w:tcPr>
            <w:tcW w:w="2064" w:type="pct"/>
            <w:gridSpan w:val="3"/>
            <w:tcBorders>
              <w:tl2br w:val="nil"/>
              <w:tr2bl w:val="nil"/>
            </w:tcBorders>
            <w:vAlign w:val="center"/>
          </w:tcPr>
          <w:p>
            <w:pPr>
              <w:spacing w:line="240" w:lineRule="auto"/>
              <w:ind w:firstLine="0" w:firstLineChars="0"/>
              <w:jc w:val="center"/>
              <w:rPr>
                <w:sz w:val="21"/>
                <w:szCs w:val="21"/>
              </w:rPr>
            </w:pPr>
            <w:r>
              <w:rPr>
                <w:rFonts w:hint="eastAsia"/>
                <w:sz w:val="21"/>
                <w:szCs w:val="21"/>
              </w:rPr>
              <w:t>急性毒性LC50</w:t>
            </w:r>
          </w:p>
        </w:tc>
        <w:tc>
          <w:tcPr>
            <w:tcW w:w="2385" w:type="pct"/>
            <w:gridSpan w:val="4"/>
            <w:tcBorders>
              <w:tl2br w:val="nil"/>
              <w:tr2bl w:val="nil"/>
            </w:tcBorders>
            <w:vAlign w:val="center"/>
          </w:tcPr>
          <w:p>
            <w:pPr>
              <w:spacing w:line="240" w:lineRule="auto"/>
              <w:ind w:firstLine="0" w:firstLineChars="0"/>
              <w:jc w:val="center"/>
              <w:rPr>
                <w:sz w:val="21"/>
                <w:szCs w:val="21"/>
              </w:rPr>
            </w:pPr>
            <w:r>
              <w:rPr>
                <w:rFonts w:hint="eastAsia"/>
                <w:sz w:val="21"/>
                <w:szCs w:val="21"/>
              </w:rPr>
              <w:t>1390mg/m</w:t>
            </w:r>
            <w:r>
              <w:rPr>
                <w:rFonts w:hint="eastAsia"/>
                <w:sz w:val="21"/>
                <w:szCs w:val="21"/>
                <w:vertAlign w:val="superscript"/>
              </w:rPr>
              <w:t>3</w:t>
            </w:r>
            <w:r>
              <w:rPr>
                <w:rFonts w:hint="eastAsia"/>
                <w:sz w:val="21"/>
                <w:szCs w:val="21"/>
              </w:rPr>
              <w:t>，4小时（大鼠吸入）</w:t>
            </w:r>
          </w:p>
        </w:tc>
      </w:tr>
    </w:tbl>
    <w:p>
      <w:pPr>
        <w:pStyle w:val="6"/>
        <w:ind w:firstLine="482"/>
      </w:pPr>
      <w:bookmarkStart w:id="829" w:name="_Toc27898"/>
      <w:r>
        <w:rPr>
          <w:rFonts w:hint="eastAsia"/>
          <w:lang w:val="en-US" w:eastAsia="zh-CN"/>
        </w:rPr>
        <w:t>7</w:t>
      </w:r>
      <w:r>
        <w:rPr>
          <w:rFonts w:hint="eastAsia"/>
        </w:rPr>
        <w:t>.6.3、储存及</w:t>
      </w:r>
      <w:r>
        <w:t>生产设施风险识别</w:t>
      </w:r>
      <w:bookmarkEnd w:id="829"/>
    </w:p>
    <w:p>
      <w:pPr>
        <w:ind w:firstLine="482"/>
        <w:rPr>
          <w:b/>
          <w:bCs/>
        </w:rPr>
      </w:pPr>
      <w:r>
        <w:rPr>
          <w:rFonts w:hint="eastAsia"/>
          <w:b/>
          <w:bCs/>
        </w:rPr>
        <w:t>1、</w:t>
      </w:r>
      <w:r>
        <w:rPr>
          <w:b/>
          <w:bCs/>
        </w:rPr>
        <w:t>贮运系统风险识别</w:t>
      </w:r>
    </w:p>
    <w:p>
      <w:pPr>
        <w:ind w:firstLine="482"/>
        <w:rPr>
          <w:b/>
          <w:bCs/>
        </w:rPr>
      </w:pPr>
      <w:r>
        <w:rPr>
          <w:rFonts w:hint="eastAsia"/>
          <w:b/>
          <w:bCs/>
        </w:rPr>
        <w:t>（1）</w:t>
      </w:r>
      <w:r>
        <w:rPr>
          <w:b/>
          <w:bCs/>
        </w:rPr>
        <w:t>危险废物暂存间</w:t>
      </w:r>
    </w:p>
    <w:p>
      <w:pPr>
        <w:ind w:firstLine="480"/>
      </w:pPr>
      <w:r>
        <w:t>本项目废</w:t>
      </w:r>
      <w:r>
        <w:rPr>
          <w:rFonts w:hint="eastAsia"/>
        </w:rPr>
        <w:t>活性炭</w:t>
      </w:r>
      <w:r>
        <w:t>在</w:t>
      </w:r>
      <w:r>
        <w:rPr>
          <w:rFonts w:hint="eastAsia"/>
        </w:rPr>
        <w:t>危废暂存间</w:t>
      </w:r>
      <w:r>
        <w:t>暂存过程存在的潜在风险主要有：</w:t>
      </w:r>
    </w:p>
    <w:p>
      <w:pPr>
        <w:ind w:firstLine="480"/>
      </w:pPr>
      <w:r>
        <w:t>①因库管人员玩忽职守，不熟悉物料特性</w:t>
      </w:r>
      <w:r>
        <w:rPr>
          <w:rFonts w:hint="eastAsia"/>
        </w:rPr>
        <w:t>，</w:t>
      </w:r>
      <w:r>
        <w:t>未对</w:t>
      </w:r>
      <w:r>
        <w:rPr>
          <w:rFonts w:hint="eastAsia"/>
        </w:rPr>
        <w:t>废活性炭收集</w:t>
      </w:r>
      <w:r>
        <w:t>容器采取有效</w:t>
      </w:r>
      <w:r>
        <w:rPr>
          <w:rFonts w:hint="eastAsia"/>
        </w:rPr>
        <w:t>的密闭措施，造成硫化氢、氨气泄漏事故，致使周边环境空气中硫化氢、氨气的浓度迅速升高，对周边人群、水环境、大气环境、土壤环境造成影响；</w:t>
      </w:r>
    </w:p>
    <w:p>
      <w:pPr>
        <w:ind w:firstLine="480"/>
      </w:pPr>
      <w:r>
        <w:t>②</w:t>
      </w:r>
      <w:r>
        <w:rPr>
          <w:rFonts w:hint="eastAsia"/>
        </w:rPr>
        <w:t>危废暂存间通风不良或未采取</w:t>
      </w:r>
      <w:r>
        <w:t>防晒、防火</w:t>
      </w:r>
      <w:r>
        <w:rPr>
          <w:rFonts w:hint="eastAsia"/>
        </w:rPr>
        <w:t>措施，在遇明火时发生火灾爆炸及</w:t>
      </w:r>
      <w:r>
        <w:rPr>
          <w:rFonts w:hint="eastAsia"/>
          <w:lang w:val="en-US" w:eastAsia="zh-CN"/>
        </w:rPr>
        <w:t>衍生</w:t>
      </w:r>
      <w:r>
        <w:rPr>
          <w:rFonts w:hint="eastAsia"/>
        </w:rPr>
        <w:t>事故，对周边人群、水环境、大气环境、土壤环境造成影响，同时若消防废水处置不当，还会对周边水环境、土壤环境造成影响</w:t>
      </w:r>
      <w:r>
        <w:t>。</w:t>
      </w:r>
    </w:p>
    <w:p>
      <w:pPr>
        <w:ind w:firstLine="480"/>
      </w:pPr>
      <w:r>
        <w:t>③</w:t>
      </w:r>
      <w:r>
        <w:rPr>
          <w:rFonts w:hint="eastAsia"/>
        </w:rPr>
        <w:t>废活性炭在储存、搬运过程中由于操作不当造成废活性炭泄漏，泄漏的废活性炭对周边土壤环境、大气环境造成影响。</w:t>
      </w:r>
    </w:p>
    <w:p>
      <w:pPr>
        <w:ind w:firstLine="482"/>
        <w:rPr>
          <w:b/>
          <w:bCs/>
        </w:rPr>
      </w:pPr>
      <w:r>
        <w:rPr>
          <w:rFonts w:hint="eastAsia"/>
          <w:b/>
          <w:bCs/>
        </w:rPr>
        <w:t>2、</w:t>
      </w:r>
      <w:r>
        <w:rPr>
          <w:b/>
          <w:bCs/>
        </w:rPr>
        <w:t>生产装置风险识别</w:t>
      </w:r>
    </w:p>
    <w:p>
      <w:pPr>
        <w:ind w:firstLine="480"/>
      </w:pPr>
      <w:r>
        <w:t>本项目生产过程中的可能发生的环境风险有</w:t>
      </w:r>
      <w:r>
        <w:rPr>
          <w:rFonts w:hint="eastAsia"/>
        </w:rPr>
        <w:t>：</w:t>
      </w:r>
    </w:p>
    <w:p>
      <w:pPr>
        <w:ind w:firstLine="480"/>
      </w:pPr>
      <w:r>
        <w:t>①</w:t>
      </w:r>
      <w:r>
        <w:rPr>
          <w:rFonts w:hint="eastAsia"/>
        </w:rPr>
        <w:t>废气治理设施（活性炭吸附装置、静电油烟处理装置）失灵，致使周边环境空气中硫化氢、氨气的浓度迅速升高，对周边环境空气造成影响；</w:t>
      </w:r>
    </w:p>
    <w:p>
      <w:pPr>
        <w:ind w:firstLine="480"/>
      </w:pPr>
      <w:r>
        <w:t>②</w:t>
      </w:r>
      <w:r>
        <w:rPr>
          <w:rFonts w:hint="eastAsia"/>
        </w:rPr>
        <w:t>厂区防火措</w:t>
      </w:r>
      <w:r>
        <w:rPr>
          <w:rFonts w:hint="eastAsia"/>
          <w:szCs w:val="32"/>
        </w:rPr>
        <w:t>施不到位，发生火灾事故，</w:t>
      </w:r>
      <w:r>
        <w:rPr>
          <w:rFonts w:hint="eastAsia"/>
        </w:rPr>
        <w:t>对周边人群、水环境、大气环境造成影响，同时若消防废水处置不当，还会对周边</w:t>
      </w:r>
      <w:r>
        <w:rPr>
          <w:rFonts w:hint="eastAsia"/>
          <w:szCs w:val="32"/>
        </w:rPr>
        <w:t>水环境、</w:t>
      </w:r>
      <w:r>
        <w:rPr>
          <w:rFonts w:hint="eastAsia"/>
        </w:rPr>
        <w:t>土壤环境造成影响</w:t>
      </w:r>
      <w:r>
        <w:t>。</w:t>
      </w:r>
    </w:p>
    <w:p>
      <w:pPr>
        <w:pStyle w:val="6"/>
        <w:ind w:firstLine="482"/>
      </w:pPr>
      <w:bookmarkStart w:id="830" w:name="_Toc18529"/>
      <w:r>
        <w:rPr>
          <w:rFonts w:hint="eastAsia"/>
          <w:lang w:val="en-US" w:eastAsia="zh-CN"/>
        </w:rPr>
        <w:t>7</w:t>
      </w:r>
      <w:r>
        <w:rPr>
          <w:rFonts w:hint="eastAsia"/>
        </w:rPr>
        <w:t>.6.4、风险物质向环境转移的途径识别</w:t>
      </w:r>
      <w:bookmarkEnd w:id="830"/>
    </w:p>
    <w:p>
      <w:pPr>
        <w:ind w:firstLine="480"/>
      </w:pPr>
      <w:r>
        <w:rPr>
          <w:rFonts w:hint="eastAsia"/>
        </w:rPr>
        <w:t>结合上文分析可知，本项目运用期可能存在的风险事故可以大致归纳为以下几类，具体情况详见下表。</w:t>
      </w:r>
    </w:p>
    <w:p>
      <w:pPr>
        <w:spacing w:line="240" w:lineRule="auto"/>
        <w:ind w:firstLine="482"/>
        <w:jc w:val="center"/>
        <w:rPr>
          <w:b/>
          <w:bCs/>
        </w:rPr>
      </w:pPr>
      <w:r>
        <w:rPr>
          <w:rFonts w:hint="eastAsia"/>
          <w:b/>
          <w:bCs/>
        </w:rPr>
        <w:t>表</w:t>
      </w:r>
      <w:r>
        <w:rPr>
          <w:rFonts w:hint="eastAsia"/>
          <w:b/>
          <w:bCs/>
          <w:lang w:val="en-US" w:eastAsia="zh-CN"/>
        </w:rPr>
        <w:t>7</w:t>
      </w:r>
      <w:r>
        <w:rPr>
          <w:rFonts w:hint="eastAsia"/>
          <w:b/>
          <w:bCs/>
        </w:rPr>
        <w:t>.5    运用期可能存在的风险事故及转移途径一览表</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2"/>
        <w:gridCol w:w="3019"/>
        <w:gridCol w:w="5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tl2br w:val="nil"/>
              <w:tr2bl w:val="nil"/>
            </w:tcBorders>
            <w:vAlign w:val="center"/>
          </w:tcPr>
          <w:p>
            <w:pPr>
              <w:spacing w:line="240" w:lineRule="auto"/>
              <w:ind w:firstLine="0" w:firstLineChars="0"/>
              <w:jc w:val="center"/>
              <w:rPr>
                <w:b/>
                <w:bCs/>
                <w:sz w:val="21"/>
                <w:szCs w:val="21"/>
              </w:rPr>
            </w:pPr>
            <w:r>
              <w:rPr>
                <w:b/>
                <w:bCs/>
                <w:sz w:val="21"/>
                <w:szCs w:val="21"/>
              </w:rPr>
              <w:t>类型</w:t>
            </w:r>
          </w:p>
        </w:tc>
        <w:tc>
          <w:tcPr>
            <w:tcW w:w="1516" w:type="pct"/>
            <w:tcBorders>
              <w:tl2br w:val="nil"/>
              <w:tr2bl w:val="nil"/>
            </w:tcBorders>
            <w:vAlign w:val="center"/>
          </w:tcPr>
          <w:p>
            <w:pPr>
              <w:spacing w:line="240" w:lineRule="auto"/>
              <w:ind w:firstLine="0" w:firstLineChars="0"/>
              <w:jc w:val="center"/>
              <w:rPr>
                <w:b/>
                <w:bCs/>
                <w:sz w:val="21"/>
                <w:szCs w:val="21"/>
              </w:rPr>
            </w:pPr>
            <w:r>
              <w:rPr>
                <w:b/>
                <w:bCs/>
                <w:sz w:val="21"/>
                <w:szCs w:val="21"/>
              </w:rPr>
              <w:t>主要情形</w:t>
            </w:r>
          </w:p>
        </w:tc>
        <w:tc>
          <w:tcPr>
            <w:tcW w:w="2848" w:type="pct"/>
            <w:tcBorders>
              <w:tl2br w:val="nil"/>
              <w:tr2bl w:val="nil"/>
            </w:tcBorders>
            <w:vAlign w:val="center"/>
          </w:tcPr>
          <w:p>
            <w:pPr>
              <w:spacing w:line="240" w:lineRule="auto"/>
              <w:ind w:firstLine="0" w:firstLineChars="0"/>
              <w:jc w:val="center"/>
              <w:rPr>
                <w:b/>
                <w:bCs/>
                <w:sz w:val="21"/>
                <w:szCs w:val="21"/>
              </w:rPr>
            </w:pPr>
            <w:r>
              <w:rPr>
                <w:b/>
                <w:bCs/>
                <w:sz w:val="21"/>
                <w:szCs w:val="21"/>
              </w:rPr>
              <w:t>可能影响的环境敏感目标及转移途径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tl2br w:val="nil"/>
              <w:tr2bl w:val="nil"/>
            </w:tcBorders>
            <w:vAlign w:val="center"/>
          </w:tcPr>
          <w:p>
            <w:pPr>
              <w:spacing w:line="240" w:lineRule="auto"/>
              <w:ind w:firstLine="0" w:firstLineChars="0"/>
              <w:jc w:val="center"/>
              <w:rPr>
                <w:sz w:val="21"/>
                <w:szCs w:val="21"/>
              </w:rPr>
            </w:pPr>
            <w:r>
              <w:rPr>
                <w:sz w:val="21"/>
                <w:szCs w:val="21"/>
              </w:rPr>
              <w:t>废气超标排放事件</w:t>
            </w:r>
          </w:p>
        </w:tc>
        <w:tc>
          <w:tcPr>
            <w:tcW w:w="1516" w:type="pct"/>
            <w:tcBorders>
              <w:tl2br w:val="nil"/>
              <w:tr2bl w:val="nil"/>
            </w:tcBorders>
            <w:vAlign w:val="center"/>
          </w:tcPr>
          <w:p>
            <w:pPr>
              <w:spacing w:line="240" w:lineRule="auto"/>
              <w:ind w:firstLine="0" w:firstLineChars="0"/>
              <w:jc w:val="center"/>
              <w:rPr>
                <w:sz w:val="21"/>
                <w:szCs w:val="21"/>
              </w:rPr>
            </w:pPr>
            <w:r>
              <w:rPr>
                <w:sz w:val="21"/>
                <w:szCs w:val="21"/>
              </w:rPr>
              <w:t>吸附在活性炭中的有毒有害气体大量逸散、废气处理（活性炭吸附装置、静电油烟处理</w:t>
            </w:r>
            <w:r>
              <w:rPr>
                <w:rFonts w:hint="eastAsia"/>
                <w:sz w:val="21"/>
                <w:szCs w:val="21"/>
              </w:rPr>
              <w:t>装置</w:t>
            </w:r>
            <w:r>
              <w:rPr>
                <w:sz w:val="21"/>
                <w:szCs w:val="21"/>
              </w:rPr>
              <w:t>）失灵造成废气超标排放</w:t>
            </w:r>
          </w:p>
        </w:tc>
        <w:tc>
          <w:tcPr>
            <w:tcW w:w="2848" w:type="pct"/>
            <w:tcBorders>
              <w:tl2br w:val="nil"/>
              <w:tr2bl w:val="nil"/>
            </w:tcBorders>
            <w:vAlign w:val="center"/>
          </w:tcPr>
          <w:p>
            <w:pPr>
              <w:spacing w:line="240" w:lineRule="auto"/>
              <w:ind w:firstLine="0" w:firstLineChars="0"/>
              <w:rPr>
                <w:sz w:val="21"/>
                <w:szCs w:val="21"/>
              </w:rPr>
            </w:pPr>
            <w:r>
              <w:rPr>
                <w:sz w:val="21"/>
                <w:szCs w:val="21"/>
              </w:rPr>
              <w:t>废气逸散至周边人群处对周边人群健康造成威胁；逸散至周边环境空气中影响周边环境空气质量；硫化氢和氨都可以溶于水，逸散至周边地表水体处，对地表水环境造成不利影响；硫化氢和氨降尘至周边土壤环境中，污染周边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4" w:type="pct"/>
            <w:tcBorders>
              <w:tl2br w:val="nil"/>
              <w:tr2bl w:val="nil"/>
            </w:tcBorders>
            <w:vAlign w:val="center"/>
          </w:tcPr>
          <w:p>
            <w:pPr>
              <w:spacing w:line="240" w:lineRule="auto"/>
              <w:ind w:firstLine="0" w:firstLineChars="0"/>
              <w:jc w:val="center"/>
              <w:rPr>
                <w:sz w:val="21"/>
                <w:szCs w:val="21"/>
              </w:rPr>
            </w:pPr>
            <w:r>
              <w:rPr>
                <w:sz w:val="21"/>
                <w:szCs w:val="21"/>
              </w:rPr>
              <w:t>火灾及爆炸事故</w:t>
            </w:r>
          </w:p>
        </w:tc>
        <w:tc>
          <w:tcPr>
            <w:tcW w:w="1516" w:type="pct"/>
            <w:tcBorders>
              <w:tl2br w:val="nil"/>
              <w:tr2bl w:val="nil"/>
            </w:tcBorders>
            <w:vAlign w:val="center"/>
          </w:tcPr>
          <w:p>
            <w:pPr>
              <w:spacing w:line="240" w:lineRule="auto"/>
              <w:ind w:firstLine="0" w:firstLineChars="0"/>
              <w:jc w:val="center"/>
              <w:rPr>
                <w:sz w:val="21"/>
                <w:szCs w:val="21"/>
              </w:rPr>
            </w:pPr>
            <w:r>
              <w:rPr>
                <w:sz w:val="21"/>
                <w:szCs w:val="21"/>
              </w:rPr>
              <w:t>厂区内可燃物质遇明火或者可燃物质防火措施不到位发生火灾爆炸事故</w:t>
            </w:r>
          </w:p>
        </w:tc>
        <w:tc>
          <w:tcPr>
            <w:tcW w:w="2848" w:type="pct"/>
            <w:tcBorders>
              <w:tl2br w:val="nil"/>
              <w:tr2bl w:val="nil"/>
            </w:tcBorders>
            <w:vAlign w:val="center"/>
          </w:tcPr>
          <w:p>
            <w:pPr>
              <w:spacing w:line="240" w:lineRule="auto"/>
              <w:ind w:firstLine="0" w:firstLineChars="0"/>
              <w:rPr>
                <w:sz w:val="21"/>
                <w:szCs w:val="21"/>
              </w:rPr>
            </w:pPr>
            <w:r>
              <w:rPr>
                <w:sz w:val="21"/>
                <w:szCs w:val="21"/>
              </w:rPr>
              <w:t>发生火灾及爆炸事故时对周边人群生命安全造成威胁；发生火灾事故时燃烧废气逸散至周边环境空气中对周边人群的健康和环境空气质量造成不利影响；燃烧废气逸散至至周边地表水体处，对地表水环境造成不利影响，同时若消防废水处置不当，还会对土壤环境造成影响</w:t>
            </w:r>
            <w:r>
              <w:rPr>
                <w:rFonts w:hint="eastAsia"/>
                <w:sz w:val="21"/>
                <w:szCs w:val="21"/>
              </w:rPr>
              <w:t>。</w:t>
            </w:r>
          </w:p>
        </w:tc>
      </w:tr>
    </w:tbl>
    <w:p>
      <w:pPr>
        <w:pStyle w:val="5"/>
        <w:spacing w:before="78" w:after="78"/>
        <w:ind w:firstLine="562"/>
      </w:pPr>
      <w:bookmarkStart w:id="831" w:name="_Toc15772"/>
      <w:bookmarkStart w:id="832" w:name="_Toc9030"/>
      <w:r>
        <w:rPr>
          <w:rFonts w:hint="eastAsia"/>
          <w:lang w:val="en-US" w:eastAsia="zh-CN"/>
        </w:rPr>
        <w:t>7</w:t>
      </w:r>
      <w:r>
        <w:rPr>
          <w:rFonts w:hint="eastAsia"/>
        </w:rPr>
        <w:t>.7、环境风险分析</w:t>
      </w:r>
      <w:bookmarkEnd w:id="831"/>
      <w:bookmarkEnd w:id="832"/>
    </w:p>
    <w:p>
      <w:pPr>
        <w:pStyle w:val="6"/>
        <w:ind w:firstLine="482"/>
      </w:pPr>
      <w:bookmarkStart w:id="833" w:name="_Toc18488"/>
      <w:r>
        <w:rPr>
          <w:rFonts w:hint="eastAsia"/>
          <w:lang w:val="en-US" w:eastAsia="zh-CN"/>
        </w:rPr>
        <w:t>7</w:t>
      </w:r>
      <w:r>
        <w:rPr>
          <w:rFonts w:hint="eastAsia"/>
        </w:rPr>
        <w:t>.7.1、废气超标排放事件</w:t>
      </w:r>
      <w:r>
        <w:t>后果分析</w:t>
      </w:r>
      <w:bookmarkEnd w:id="833"/>
    </w:p>
    <w:p>
      <w:pPr>
        <w:ind w:firstLine="480"/>
      </w:pPr>
      <w:r>
        <w:rPr>
          <w:rFonts w:hint="eastAsia"/>
        </w:rPr>
        <w:t>拟建项目在运用期</w:t>
      </w:r>
      <w:r>
        <w:t>由于管理不当及其他因素造成</w:t>
      </w:r>
      <w:r>
        <w:rPr>
          <w:rFonts w:hint="eastAsia"/>
        </w:rPr>
        <w:t>废气超标排放事故后会对周边的人群、大气环境、水环境、土壤环境造成不利影响。</w:t>
      </w:r>
    </w:p>
    <w:p>
      <w:pPr>
        <w:ind w:firstLine="480"/>
      </w:pPr>
      <w:r>
        <w:rPr>
          <w:rFonts w:hint="eastAsia"/>
        </w:rPr>
        <w:t>对周边人群的不利影响主要表现为：逸散的部分废气会被周边人员及下风向人员吸入，</w:t>
      </w:r>
      <w:r>
        <w:t>轻者头痛、头晕、胸闷、恶心、呕吐、乏力，重者昏迷、咳嗽、胸痛、呼吸急促、心肌炎、肺炎等并发症。因此一旦发生中毒</w:t>
      </w:r>
      <w:r>
        <w:rPr>
          <w:rFonts w:hint="eastAsia"/>
        </w:rPr>
        <w:t>情况</w:t>
      </w:r>
      <w:r>
        <w:t>，应立即以最快的速度将中毒者搬离现场，对中毒者进行吸高压氧和长时间吸氧的抢救，以保证其身体的氧供应，然后在检查了中毒者大脑、心脏、肝脏等器官损害情况后，对患者进行有针对性的对应治疗，若呼吸困难，应进行人工呼吸，最后通过为中毒者补充营养、提供休养等方式帮助其身体尽快复原。</w:t>
      </w:r>
    </w:p>
    <w:p>
      <w:pPr>
        <w:ind w:firstLine="480"/>
      </w:pPr>
      <w:r>
        <w:rPr>
          <w:rFonts w:hint="eastAsia"/>
        </w:rPr>
        <w:t>对周边大气环境、水环境、土壤环境的不利影响主要变现为：发生大气污染事故时污染物会随着空气的流动，在一定单位内事件内可以将会周边环境空气质量恢复到原有的大气环境状态。但发生水污染和土壤污染时，由于现有的治理技术限制，会加大恢复难度，同时由于水环境的流动性会进一步加大污染范围，给周边水环境和土壤环境造成不可逆转的破坏。</w:t>
      </w:r>
    </w:p>
    <w:p>
      <w:pPr>
        <w:pStyle w:val="6"/>
        <w:ind w:firstLine="482"/>
      </w:pPr>
      <w:bookmarkStart w:id="834" w:name="_Toc433"/>
      <w:r>
        <w:rPr>
          <w:rFonts w:hint="eastAsia"/>
          <w:lang w:val="en-US" w:eastAsia="zh-CN"/>
        </w:rPr>
        <w:t>7</w:t>
      </w:r>
      <w:r>
        <w:rPr>
          <w:rFonts w:hint="eastAsia"/>
        </w:rPr>
        <w:t>.7.2、火灾及爆炸事故</w:t>
      </w:r>
      <w:r>
        <w:t>后果分析</w:t>
      </w:r>
      <w:bookmarkEnd w:id="834"/>
    </w:p>
    <w:p>
      <w:pPr>
        <w:ind w:firstLine="480"/>
      </w:pPr>
      <w:r>
        <w:rPr>
          <w:rFonts w:hint="eastAsia"/>
        </w:rPr>
        <w:t>厂区发生火灾事故时，一般的小范围着火事故在及时扑救的情况下火势就会得到控制，基本不会对厂区财产、周边人群造成影响。但是在发生大面积着火的情况下，不仅会对周边大气环境空气质量造成不利影响，还会对公司财产、周边人群生命安全造成威胁，且发生火灾事件时由于可燃物质燃烧热值高、扑救难度大、持续时间长，且燃烧烟气中成分复杂，其造成的后果难以定量的进行估算；同时若消防废水处置不当就会流入周边土壤环境，会造成污染物下渗，对周边土壤环境造不可逆转的损害。若在发生火灾时发生爆炸事故，爆炸产生的冲击波还会对周边建构筑物造成变形、扭曲等破坏，经济损失不可估量。</w:t>
      </w:r>
    </w:p>
    <w:p>
      <w:pPr>
        <w:pStyle w:val="5"/>
        <w:spacing w:before="78" w:after="78"/>
        <w:ind w:firstLine="562"/>
      </w:pPr>
      <w:bookmarkStart w:id="835" w:name="_Toc28080_WPSOffice_Level1"/>
      <w:bookmarkStart w:id="836" w:name="_Toc29020"/>
      <w:bookmarkStart w:id="837" w:name="_Toc16586"/>
      <w:r>
        <w:rPr>
          <w:rFonts w:hint="eastAsia"/>
          <w:lang w:val="en-US" w:eastAsia="zh-CN"/>
        </w:rPr>
        <w:t>7</w:t>
      </w:r>
      <w:r>
        <w:rPr>
          <w:rFonts w:hint="eastAsia"/>
        </w:rPr>
        <w:t>.8、环境</w:t>
      </w:r>
      <w:r>
        <w:t>风险防范</w:t>
      </w:r>
      <w:bookmarkEnd w:id="835"/>
      <w:r>
        <w:rPr>
          <w:rFonts w:hint="eastAsia"/>
        </w:rPr>
        <w:t>措施</w:t>
      </w:r>
      <w:bookmarkEnd w:id="836"/>
      <w:bookmarkEnd w:id="837"/>
    </w:p>
    <w:p>
      <w:pPr>
        <w:pStyle w:val="6"/>
        <w:ind w:firstLine="482"/>
      </w:pPr>
      <w:bookmarkStart w:id="838" w:name="_Toc15756_WPSOffice_Level2"/>
      <w:bookmarkStart w:id="839" w:name="_Toc7985_WPSOffice_Level2"/>
      <w:bookmarkStart w:id="840" w:name="_Toc21409"/>
      <w:r>
        <w:rPr>
          <w:rFonts w:hint="eastAsia"/>
          <w:lang w:val="en-US" w:eastAsia="zh-CN"/>
        </w:rPr>
        <w:t>7</w:t>
      </w:r>
      <w:r>
        <w:rPr>
          <w:rFonts w:hint="eastAsia"/>
        </w:rPr>
        <w:t>.8.1、废气超标排放事件防范</w:t>
      </w:r>
      <w:r>
        <w:t>措施</w:t>
      </w:r>
      <w:bookmarkEnd w:id="838"/>
      <w:bookmarkEnd w:id="839"/>
      <w:bookmarkEnd w:id="840"/>
    </w:p>
    <w:p>
      <w:pPr>
        <w:ind w:firstLine="480"/>
      </w:pPr>
      <w:r>
        <w:rPr>
          <w:rFonts w:hint="eastAsia"/>
        </w:rPr>
        <w:t>①加强环保设备（活性炭吸附装置、</w:t>
      </w:r>
      <w:r>
        <w:t>静电油烟处理</w:t>
      </w:r>
      <w:r>
        <w:rPr>
          <w:rFonts w:hint="eastAsia"/>
        </w:rPr>
        <w:t>装置）的维护与保养，并指派专人做好记录工作；</w:t>
      </w:r>
    </w:p>
    <w:p>
      <w:pPr>
        <w:ind w:firstLine="480"/>
      </w:pPr>
      <w:r>
        <w:rPr>
          <w:rFonts w:hint="eastAsia"/>
        </w:rPr>
        <w:t>②及时更换环保设备易损件，确保环保设备能够稳定、高效的运行；</w:t>
      </w:r>
    </w:p>
    <w:p>
      <w:pPr>
        <w:ind w:firstLine="480"/>
      </w:pPr>
      <w:r>
        <w:rPr>
          <w:rFonts w:hint="eastAsia"/>
        </w:rPr>
        <w:t>③制订生产操作规章制度，严禁违规操作，严禁生产设备超负荷运作；</w:t>
      </w:r>
    </w:p>
    <w:p>
      <w:pPr>
        <w:ind w:firstLine="480"/>
      </w:pPr>
      <w:r>
        <w:t>④</w:t>
      </w:r>
      <w:r>
        <w:rPr>
          <w:rFonts w:hint="eastAsia"/>
        </w:rPr>
        <w:t>加强教育，增强员工的环保意识，做到清洁生产。</w:t>
      </w:r>
    </w:p>
    <w:p>
      <w:pPr>
        <w:pStyle w:val="6"/>
        <w:ind w:firstLine="482"/>
      </w:pPr>
      <w:bookmarkStart w:id="841" w:name="_Toc12968"/>
      <w:r>
        <w:rPr>
          <w:rFonts w:hint="eastAsia"/>
          <w:lang w:val="en-US" w:eastAsia="zh-CN"/>
        </w:rPr>
        <w:t>7</w:t>
      </w:r>
      <w:r>
        <w:rPr>
          <w:rFonts w:hint="eastAsia"/>
        </w:rPr>
        <w:t>.8.2、火灾及爆炸事故</w:t>
      </w:r>
      <w:r>
        <w:t>防范措施</w:t>
      </w:r>
      <w:bookmarkEnd w:id="841"/>
    </w:p>
    <w:p>
      <w:pPr>
        <w:ind w:firstLine="480"/>
      </w:pPr>
      <w:r>
        <w:t>①厂区建筑物所有结构件应采用耐火材料支撑。</w:t>
      </w:r>
    </w:p>
    <w:p>
      <w:pPr>
        <w:ind w:firstLine="480"/>
      </w:pPr>
      <w:r>
        <w:t>②危废暂存间全部进行防渗、防漏处理，修筑防火墙，确保事故状态下，不会有污染物向外泄漏，对外界环境造成污染。</w:t>
      </w:r>
    </w:p>
    <w:p>
      <w:pPr>
        <w:ind w:firstLine="480"/>
      </w:pPr>
      <w:r>
        <w:t>③生产车间、原料库、成品库及危险废物暂存间内严禁烟火，电器与设备采用防爆设备。</w:t>
      </w:r>
    </w:p>
    <w:p>
      <w:pPr>
        <w:ind w:firstLine="480"/>
      </w:pPr>
      <w:r>
        <w:t>④按规范在车间、仓库等易燃区安装火灾报警装置及灭火装置。</w:t>
      </w:r>
    </w:p>
    <w:p>
      <w:pPr>
        <w:ind w:firstLine="480"/>
      </w:pPr>
      <w:r>
        <w:t>⑤设置专职安全生产管理人员，定期对危废暂存间</w:t>
      </w:r>
      <w:r>
        <w:rPr>
          <w:rFonts w:hint="eastAsia"/>
        </w:rPr>
        <w:t>、生产车间</w:t>
      </w:r>
      <w:r>
        <w:t>进行安全生产的自我检查和专业检验。发现潜在问题，及时解决。</w:t>
      </w:r>
    </w:p>
    <w:p>
      <w:pPr>
        <w:ind w:firstLine="480"/>
      </w:pPr>
      <w:r>
        <w:t>⑥</w:t>
      </w:r>
      <w:r>
        <w:rPr>
          <w:rFonts w:hint="eastAsia"/>
        </w:rPr>
        <w:t>按照本环评“5.2.1、废水污染防治措施及其可行性分析”章节中的要求。对全厂进行分区防渗，同时按照本环评要求建设事故应急池，确保事故状态下事故废水、生产废水、消防废水全部引流至事故应急池，严禁事故废水随意排放。</w:t>
      </w:r>
    </w:p>
    <w:p>
      <w:pPr>
        <w:pStyle w:val="5"/>
        <w:spacing w:before="78" w:after="78"/>
        <w:ind w:firstLine="562"/>
      </w:pPr>
      <w:bookmarkStart w:id="842" w:name="_Toc30493"/>
      <w:bookmarkStart w:id="843" w:name="_Toc9119"/>
      <w:bookmarkStart w:id="844" w:name="_Toc23810_WPSOffice_Level1"/>
      <w:r>
        <w:rPr>
          <w:rFonts w:hint="eastAsia"/>
          <w:lang w:val="en-US" w:eastAsia="zh-CN"/>
        </w:rPr>
        <w:t>7</w:t>
      </w:r>
      <w:r>
        <w:rPr>
          <w:rFonts w:hint="eastAsia"/>
        </w:rPr>
        <w:t>.9、环境风险应急措施</w:t>
      </w:r>
      <w:bookmarkEnd w:id="842"/>
      <w:bookmarkEnd w:id="843"/>
    </w:p>
    <w:p>
      <w:pPr>
        <w:pStyle w:val="6"/>
        <w:ind w:firstLine="482"/>
      </w:pPr>
      <w:bookmarkStart w:id="845" w:name="_Toc19597"/>
      <w:r>
        <w:rPr>
          <w:rFonts w:hint="eastAsia"/>
          <w:lang w:val="en-US" w:eastAsia="zh-CN"/>
        </w:rPr>
        <w:t>7</w:t>
      </w:r>
      <w:r>
        <w:rPr>
          <w:rFonts w:hint="eastAsia"/>
        </w:rPr>
        <w:t>.9.1、废气超标排放事件应急措施</w:t>
      </w:r>
      <w:bookmarkEnd w:id="845"/>
    </w:p>
    <w:p>
      <w:pPr>
        <w:ind w:firstLine="480"/>
      </w:pPr>
      <w:r>
        <w:t>废气超标排放事件应急措施</w:t>
      </w:r>
      <w:r>
        <w:rPr>
          <w:rFonts w:hint="eastAsia"/>
        </w:rPr>
        <w:t>根据上文“H</w:t>
      </w:r>
      <w:r>
        <w:rPr>
          <w:rFonts w:hint="eastAsia"/>
          <w:vertAlign w:val="subscript"/>
        </w:rPr>
        <w:t>2</w:t>
      </w:r>
      <w:r>
        <w:rPr>
          <w:rFonts w:hint="eastAsia"/>
        </w:rPr>
        <w:t>S、NN</w:t>
      </w:r>
      <w:r>
        <w:rPr>
          <w:rFonts w:hint="eastAsia"/>
          <w:vertAlign w:val="subscript"/>
        </w:rPr>
        <w:t>3</w:t>
      </w:r>
      <w:r>
        <w:rPr>
          <w:rFonts w:hint="eastAsia"/>
        </w:rPr>
        <w:t>理化性质及危险特性</w:t>
      </w:r>
      <w:r>
        <w:t>一览表</w:t>
      </w:r>
      <w:r>
        <w:rPr>
          <w:rFonts w:hint="eastAsia"/>
        </w:rPr>
        <w:t>”中的要求，在发生环境风险事故时采取相应的应急措施。</w:t>
      </w:r>
    </w:p>
    <w:p>
      <w:pPr>
        <w:pStyle w:val="6"/>
        <w:ind w:firstLine="482"/>
      </w:pPr>
      <w:bookmarkStart w:id="846" w:name="_Toc19843"/>
      <w:r>
        <w:rPr>
          <w:rFonts w:hint="eastAsia"/>
          <w:lang w:val="en-US" w:eastAsia="zh-CN"/>
        </w:rPr>
        <w:t>7</w:t>
      </w:r>
      <w:r>
        <w:rPr>
          <w:rFonts w:hint="eastAsia"/>
        </w:rPr>
        <w:t>.9.2、火灾及爆炸事故应急措施</w:t>
      </w:r>
      <w:bookmarkEnd w:id="846"/>
    </w:p>
    <w:p>
      <w:pPr>
        <w:ind w:firstLine="480"/>
      </w:pPr>
      <w:r>
        <w:rPr>
          <w:rFonts w:hint="eastAsia"/>
        </w:rPr>
        <w:t>1、当工作人员发现着火时立即向应急办公室汇报情况，并关停生产设备；</w:t>
      </w:r>
    </w:p>
    <w:p>
      <w:pPr>
        <w:ind w:firstLine="480"/>
      </w:pPr>
      <w:r>
        <w:rPr>
          <w:rFonts w:hint="eastAsia"/>
        </w:rPr>
        <w:t>2、立即组织厂区职工撤离，并组织应急抢险组对事故现场附近易燃、易爆物质进行移除，防止火灾事故进一步扩大；</w:t>
      </w:r>
    </w:p>
    <w:p>
      <w:pPr>
        <w:ind w:firstLine="480"/>
      </w:pPr>
      <w:r>
        <w:rPr>
          <w:rFonts w:hint="eastAsia"/>
        </w:rPr>
        <w:t>3、组织应急抢险组人员立即采用消防沙、灭火器、喷水等方式对着火点进行灭火，灭火时要做好消防废水的引流工作，确保消防废水全部排入事故池，严禁排放到外环境以及城市下水道；</w:t>
      </w:r>
    </w:p>
    <w:p>
      <w:pPr>
        <w:ind w:firstLine="480"/>
      </w:pPr>
      <w:r>
        <w:t>4</w:t>
      </w:r>
      <w:r>
        <w:rPr>
          <w:rFonts w:hint="eastAsia"/>
        </w:rPr>
        <w:t>、应急办公室</w:t>
      </w:r>
      <w:r>
        <w:t>立即通知下风向人群做好和周边企事业单位做好应急准备和防护措施；</w:t>
      </w:r>
    </w:p>
    <w:p>
      <w:pPr>
        <w:ind w:firstLine="480"/>
      </w:pPr>
      <w:r>
        <w:t>5</w:t>
      </w:r>
      <w:r>
        <w:rPr>
          <w:rFonts w:hint="eastAsia"/>
        </w:rPr>
        <w:t>、</w:t>
      </w:r>
      <w:r>
        <w:t>若火势进一步扩大应急办公室应立即联系当地的消防部门，请求援助，同时也可向周边企事业单位请求援助；</w:t>
      </w:r>
    </w:p>
    <w:p>
      <w:pPr>
        <w:ind w:firstLine="480"/>
      </w:pPr>
      <w:r>
        <w:t>6</w:t>
      </w:r>
      <w:r>
        <w:rPr>
          <w:rFonts w:hint="eastAsia"/>
        </w:rPr>
        <w:t>、应急办公室</w:t>
      </w:r>
      <w:r>
        <w:t>联系有资质的检测机构，对周边大气环境进行监测，待监测人员到达现场后，应迅速对事故现场的污染程度进行监测分析，</w:t>
      </w:r>
      <w:r>
        <w:rPr>
          <w:rFonts w:hint="eastAsia"/>
        </w:rPr>
        <w:t>同时</w:t>
      </w:r>
      <w:r>
        <w:t>将监测情况报告</w:t>
      </w:r>
      <w:r>
        <w:rPr>
          <w:rFonts w:hint="eastAsia"/>
        </w:rPr>
        <w:t>应急办公室</w:t>
      </w:r>
      <w:r>
        <w:t>，直到污染解除</w:t>
      </w:r>
      <w:r>
        <w:rPr>
          <w:rFonts w:hint="eastAsia"/>
        </w:rPr>
        <w:t>，</w:t>
      </w:r>
      <w:r>
        <w:t>并对污染情况做出评估；</w:t>
      </w:r>
    </w:p>
    <w:p>
      <w:pPr>
        <w:ind w:firstLine="480"/>
        <w:rPr>
          <w:spacing w:val="-2"/>
          <w:kern w:val="11"/>
        </w:rPr>
      </w:pPr>
      <w:r>
        <w:rPr>
          <w:rFonts w:hint="eastAsia"/>
        </w:rPr>
        <w:t>7、</w:t>
      </w:r>
      <w:r>
        <w:t>当事故得</w:t>
      </w:r>
      <w:r>
        <w:rPr>
          <w:spacing w:val="-2"/>
          <w:kern w:val="11"/>
        </w:rPr>
        <w:t>到控制，由</w:t>
      </w:r>
      <w:r>
        <w:rPr>
          <w:rFonts w:hint="eastAsia"/>
        </w:rPr>
        <w:t>应急办公室</w:t>
      </w:r>
      <w:r>
        <w:rPr>
          <w:spacing w:val="-2"/>
          <w:kern w:val="11"/>
        </w:rPr>
        <w:t>负责</w:t>
      </w:r>
      <w:r>
        <w:rPr>
          <w:rFonts w:hint="eastAsia"/>
          <w:spacing w:val="-2"/>
          <w:kern w:val="11"/>
        </w:rPr>
        <w:t>清理现场，</w:t>
      </w:r>
      <w:r>
        <w:rPr>
          <w:spacing w:val="-2"/>
          <w:kern w:val="11"/>
        </w:rPr>
        <w:t>调查事故原因，并写出事故分析报告，上报应急</w:t>
      </w:r>
      <w:r>
        <w:rPr>
          <w:rFonts w:hint="eastAsia"/>
          <w:spacing w:val="-2"/>
          <w:kern w:val="11"/>
        </w:rPr>
        <w:t>办公室</w:t>
      </w:r>
      <w:r>
        <w:rPr>
          <w:spacing w:val="-2"/>
          <w:kern w:val="11"/>
        </w:rPr>
        <w:t>。</w:t>
      </w:r>
    </w:p>
    <w:p>
      <w:pPr>
        <w:ind w:firstLine="480"/>
      </w:pPr>
      <w:r>
        <w:rPr>
          <w:rFonts w:hint="eastAsia"/>
        </w:rPr>
        <w:t>8、鉴于厂区的应急能力有限，厂区在发生爆炸事故时应立即对受伤人员进行救治，关停生产设备，组织附近人员有序撤离，并立即向当地政府、消防部门、环保部门、医疗机构等相关部门报告，请求应急救援。</w:t>
      </w:r>
    </w:p>
    <w:p>
      <w:pPr>
        <w:pStyle w:val="5"/>
        <w:spacing w:before="78" w:after="78"/>
        <w:ind w:firstLine="562"/>
      </w:pPr>
      <w:bookmarkStart w:id="847" w:name="_Toc18884"/>
      <w:bookmarkStart w:id="848" w:name="_Toc12673"/>
      <w:r>
        <w:rPr>
          <w:rFonts w:hint="eastAsia"/>
          <w:lang w:val="en-US" w:eastAsia="zh-CN"/>
        </w:rPr>
        <w:t>7</w:t>
      </w:r>
      <w:r>
        <w:rPr>
          <w:rFonts w:hint="eastAsia"/>
        </w:rPr>
        <w:t>.10、</w:t>
      </w:r>
      <w:r>
        <w:t>环境风险管理</w:t>
      </w:r>
      <w:bookmarkEnd w:id="844"/>
      <w:bookmarkEnd w:id="847"/>
      <w:bookmarkEnd w:id="848"/>
    </w:p>
    <w:p>
      <w:pPr>
        <w:ind w:firstLine="480"/>
      </w:pPr>
      <w:r>
        <w:t>为避免风险事故，尤其是避免风险事故发生后对环境造成严重的污染，建设单位应树立并强化环境风险意识，增加对环境风险的防范措施，并使这些措施在实际工作中得到落实。为进一步减少事故的发生，减缓该项目运营过程中对环境的潜在威胁，建设单位应采取综合防范措施，并从技术、工艺、管理等方面对以下几方面予以重视：</w:t>
      </w:r>
    </w:p>
    <w:p>
      <w:pPr>
        <w:ind w:firstLine="482"/>
        <w:rPr>
          <w:b/>
          <w:bCs/>
        </w:rPr>
      </w:pPr>
      <w:r>
        <w:rPr>
          <w:rFonts w:hint="eastAsia"/>
          <w:b/>
          <w:bCs/>
        </w:rPr>
        <w:t>1、</w:t>
      </w:r>
      <w:r>
        <w:rPr>
          <w:b/>
          <w:bCs/>
        </w:rPr>
        <w:t>树立环境风险意识</w:t>
      </w:r>
    </w:p>
    <w:p>
      <w:pPr>
        <w:ind w:firstLine="480"/>
      </w:pPr>
      <w:r>
        <w:t>该项目客观上存在着一定的不安全因素，对周围环境存在着潜在的威胁。发生环境安全事故后，对周围环境有难以弥补的损害，所以在贯彻</w:t>
      </w:r>
      <w:r>
        <w:rPr>
          <w:rFonts w:hint="eastAsia"/>
        </w:rPr>
        <w:t>“</w:t>
      </w:r>
      <w:r>
        <w:t>安全第一，预防为主</w:t>
      </w:r>
      <w:r>
        <w:rPr>
          <w:rFonts w:hint="eastAsia"/>
        </w:rPr>
        <w:t>”</w:t>
      </w:r>
      <w:r>
        <w:t>”针同时，应树立环境风险意识，强化环境风险责任，体现出环境保护的内容。</w:t>
      </w:r>
    </w:p>
    <w:p>
      <w:pPr>
        <w:ind w:firstLine="482"/>
      </w:pPr>
      <w:r>
        <w:rPr>
          <w:rFonts w:hint="eastAsia"/>
          <w:b/>
          <w:bCs/>
        </w:rPr>
        <w:t>2、</w:t>
      </w:r>
      <w:r>
        <w:rPr>
          <w:b/>
          <w:bCs/>
        </w:rPr>
        <w:t>规范并强化在运输、储存、处理过程中的环境风险预防措施</w:t>
      </w:r>
    </w:p>
    <w:p>
      <w:pPr>
        <w:ind w:firstLine="480"/>
      </w:pPr>
      <w:r>
        <w:t>为预防安全事故的发生，建设单位必须制定比较完善的环境安全管理规章制度，应从制度上对环境风险予以预防，尽管该项目可能产生的事故虽不一定导致环境安全事故的发生，却会产生一定的环境污染事故后果。对于这类事故的预防仍然需要制定相应的防范措施，从运输、储存、处理等各个环节予以全面考虑，并力图做到规范且可操作性强。如：危险废物在厂区收集、暂存、运输过程中因意外出现泄漏，应立即报告公司保卫部门，封闭现场，进行清理。清理干净后，需要对现场进行严格消毒，对含有毒性强的危险废物泄漏，还应立即疏散厂区员工，设置警示标志及距离，并在处理过程中穿防护服。</w:t>
      </w:r>
    </w:p>
    <w:p>
      <w:pPr>
        <w:ind w:firstLine="482"/>
      </w:pPr>
      <w:r>
        <w:rPr>
          <w:rFonts w:hint="eastAsia"/>
          <w:b/>
          <w:bCs/>
        </w:rPr>
        <w:t>3、</w:t>
      </w:r>
      <w:r>
        <w:rPr>
          <w:b/>
          <w:bCs/>
        </w:rPr>
        <w:t>加强巡回检查，减少危险废物泄漏对环境的污染</w:t>
      </w:r>
    </w:p>
    <w:p>
      <w:pPr>
        <w:ind w:firstLine="480"/>
      </w:pPr>
      <w:r>
        <w:t>危险废物在装卸、运</w:t>
      </w:r>
      <w:r>
        <w:rPr>
          <w:rFonts w:hint="eastAsia"/>
        </w:rPr>
        <w:t>输的“跑、冒、滴、漏”现</w:t>
      </w:r>
      <w:r>
        <w:t>象是风险来源之一，其结果在大多数情况下并不导致人员受伤或是设备受损，但外泄的危险废物对环境造成污染。因此要加强巡回检查，是发</w:t>
      </w:r>
      <w:r>
        <w:rPr>
          <w:rFonts w:hint="eastAsia"/>
        </w:rPr>
        <w:t>现“跑、冒、滴、漏”等事</w:t>
      </w:r>
      <w:r>
        <w:t>故的重要手段。每日的巡回检查应做详细记录，发现问题应及时上报，并做到及时防范。</w:t>
      </w:r>
    </w:p>
    <w:p>
      <w:pPr>
        <w:ind w:firstLine="482"/>
        <w:rPr>
          <w:b/>
          <w:bCs/>
        </w:rPr>
      </w:pPr>
      <w:r>
        <w:rPr>
          <w:rFonts w:hint="eastAsia"/>
          <w:b/>
          <w:bCs/>
        </w:rPr>
        <w:t>4、</w:t>
      </w:r>
      <w:r>
        <w:rPr>
          <w:b/>
          <w:bCs/>
        </w:rPr>
        <w:t>建立事故的监测报警系统</w:t>
      </w:r>
    </w:p>
    <w:p>
      <w:pPr>
        <w:ind w:firstLine="480"/>
      </w:pPr>
      <w:r>
        <w:t>建议建设单位在废水、废气处理系统的进、出口，建立事故的监测报警系统。对于废水处理系统的进口，应予以特别的重视，监测系统应确保完善可靠，为了保证其正常运行，防止环境风险的发生，需对污水处理系统提供双路电源和应急电源，保证污水处理系统用电不会停止，重要的设备需设有备用品，并备有应急的消毒剂，避免在污水处理设备出现事故的时候所排放的污水无处理便排放，可以采用人工添加消毒剂方式加以弥补。</w:t>
      </w:r>
    </w:p>
    <w:p>
      <w:pPr>
        <w:ind w:firstLine="482"/>
        <w:rPr>
          <w:b/>
          <w:bCs/>
        </w:rPr>
      </w:pPr>
      <w:r>
        <w:rPr>
          <w:rFonts w:hint="eastAsia"/>
          <w:b/>
          <w:bCs/>
        </w:rPr>
        <w:t>5、</w:t>
      </w:r>
      <w:r>
        <w:rPr>
          <w:b/>
          <w:bCs/>
        </w:rPr>
        <w:t>加强资料的日常记录与管理</w:t>
      </w:r>
    </w:p>
    <w:p>
      <w:pPr>
        <w:ind w:firstLine="480"/>
      </w:pPr>
      <w:r>
        <w:t>加强对废水处理系统以及废气处理系统的各项操作参数等资料的日常记录及管理废水、废气的监测，及时发现问题并采取减缓危害的措施。</w:t>
      </w:r>
    </w:p>
    <w:p>
      <w:pPr>
        <w:pStyle w:val="5"/>
        <w:spacing w:before="78" w:after="78"/>
        <w:ind w:firstLine="562"/>
      </w:pPr>
      <w:bookmarkStart w:id="849" w:name="_Toc3782"/>
      <w:bookmarkStart w:id="850" w:name="_Toc31894_WPSOffice_Level2"/>
      <w:bookmarkStart w:id="851" w:name="_Toc8123_WPSOffice_Level2"/>
      <w:bookmarkStart w:id="852" w:name="_Toc12873"/>
      <w:r>
        <w:rPr>
          <w:rFonts w:hint="eastAsia"/>
          <w:lang w:val="en-US" w:eastAsia="zh-CN"/>
        </w:rPr>
        <w:t>7</w:t>
      </w:r>
      <w:r>
        <w:rPr>
          <w:rFonts w:hint="eastAsia"/>
        </w:rPr>
        <w:t>.11、</w:t>
      </w:r>
      <w:r>
        <w:t>环境风险应急预案</w:t>
      </w:r>
      <w:bookmarkEnd w:id="849"/>
      <w:bookmarkEnd w:id="850"/>
      <w:bookmarkEnd w:id="851"/>
      <w:bookmarkEnd w:id="852"/>
    </w:p>
    <w:p>
      <w:pPr>
        <w:ind w:firstLine="480"/>
      </w:pPr>
      <w:r>
        <w:t>在发生突发性环境污染事故时，应急处置的首要工作是控制事故污染源和防治污染扩散</w:t>
      </w:r>
      <w:r>
        <w:rPr>
          <w:rFonts w:hint="eastAsia"/>
        </w:rPr>
        <w:t>，尽量降低污染事件</w:t>
      </w:r>
      <w:r>
        <w:t>对周围人群、</w:t>
      </w:r>
      <w:r>
        <w:rPr>
          <w:rFonts w:hint="eastAsia"/>
        </w:rPr>
        <w:t>生态环境</w:t>
      </w:r>
      <w:r>
        <w:t>的伤害。</w:t>
      </w:r>
    </w:p>
    <w:p>
      <w:pPr>
        <w:ind w:firstLine="480"/>
      </w:pPr>
      <w:r>
        <w:t>根据本项目实际情况，建议</w:t>
      </w:r>
      <w:r>
        <w:rPr>
          <w:rFonts w:hint="eastAsia"/>
        </w:rPr>
        <w:t>建设单位</w:t>
      </w:r>
      <w:r>
        <w:t>设立应急</w:t>
      </w:r>
      <w:r>
        <w:rPr>
          <w:rFonts w:hint="eastAsia"/>
        </w:rPr>
        <w:t>办公室</w:t>
      </w:r>
      <w:r>
        <w:t>，全面负责应急救援人员的组成、职责和分工，争取社会救援，保证应急救援所需经费以及事故调查报告和处理结果的上报，建立事故应急预案，加强事故应急演练，减小可能发生的事故影响。</w:t>
      </w:r>
    </w:p>
    <w:p>
      <w:pPr>
        <w:ind w:firstLine="480"/>
      </w:pPr>
      <w:r>
        <w:t>针对本项目存在的风险问题，重点针对可能发生的事故，建设单位需</w:t>
      </w:r>
      <w:r>
        <w:rPr>
          <w:rFonts w:hint="eastAsia"/>
        </w:rPr>
        <w:t>科学的突发环境事件</w:t>
      </w:r>
      <w:r>
        <w:t>应急预案，根据《建设项目环境风险评价技术导则》</w:t>
      </w:r>
      <w:r>
        <w:rPr>
          <w:rFonts w:hint="eastAsia"/>
        </w:rPr>
        <w:t>（HJ169-2018）的要求，突发环境事件</w:t>
      </w:r>
      <w:r>
        <w:t>应急预案主要内容见表</w:t>
      </w:r>
      <w:r>
        <w:rPr>
          <w:rFonts w:hint="eastAsia"/>
          <w:lang w:val="en-US" w:eastAsia="zh-CN"/>
        </w:rPr>
        <w:t>7</w:t>
      </w:r>
      <w:r>
        <w:rPr>
          <w:rFonts w:hint="eastAsia"/>
        </w:rPr>
        <w:t>.6</w:t>
      </w:r>
      <w:r>
        <w:t>。</w:t>
      </w:r>
    </w:p>
    <w:p>
      <w:pPr>
        <w:spacing w:line="240" w:lineRule="auto"/>
        <w:ind w:firstLine="482"/>
        <w:jc w:val="center"/>
        <w:rPr>
          <w:b/>
          <w:bCs/>
        </w:rPr>
      </w:pPr>
      <w:r>
        <w:rPr>
          <w:b/>
          <w:bCs/>
        </w:rPr>
        <w:t>表</w:t>
      </w:r>
      <w:r>
        <w:rPr>
          <w:rFonts w:hint="eastAsia"/>
          <w:b/>
          <w:bCs/>
          <w:lang w:val="en-US" w:eastAsia="zh-CN"/>
        </w:rPr>
        <w:t>7</w:t>
      </w:r>
      <w:r>
        <w:rPr>
          <w:rFonts w:hint="eastAsia"/>
          <w:b/>
          <w:bCs/>
        </w:rPr>
        <w:t>.6</w:t>
      </w:r>
      <w:r>
        <w:rPr>
          <w:b/>
          <w:bCs/>
        </w:rPr>
        <w:t xml:space="preserve"> </w:t>
      </w:r>
      <w:r>
        <w:rPr>
          <w:rFonts w:hint="eastAsia"/>
          <w:b/>
          <w:bCs/>
        </w:rPr>
        <w:t xml:space="preserve"> </w:t>
      </w:r>
      <w:r>
        <w:rPr>
          <w:b/>
          <w:bCs/>
        </w:rPr>
        <w:t xml:space="preserve">  </w:t>
      </w:r>
      <w:r>
        <w:rPr>
          <w:rFonts w:hint="eastAsia"/>
          <w:b/>
          <w:bCs/>
        </w:rPr>
        <w:t>突发环境事件</w:t>
      </w:r>
      <w:r>
        <w:rPr>
          <w:b/>
          <w:bCs/>
        </w:rPr>
        <w:t>应急预案主要内容</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2286"/>
        <w:gridCol w:w="6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1147" w:type="pct"/>
            <w:tcBorders>
              <w:tl2br w:val="nil"/>
              <w:tr2bl w:val="nil"/>
            </w:tcBorders>
            <w:vAlign w:val="center"/>
          </w:tcPr>
          <w:p>
            <w:pPr>
              <w:spacing w:line="240" w:lineRule="auto"/>
              <w:ind w:firstLine="0" w:firstLineChars="0"/>
              <w:jc w:val="center"/>
              <w:rPr>
                <w:b/>
                <w:bCs/>
                <w:sz w:val="21"/>
                <w:szCs w:val="21"/>
              </w:rPr>
            </w:pPr>
            <w:r>
              <w:rPr>
                <w:rFonts w:hint="eastAsia"/>
                <w:b/>
                <w:bCs/>
                <w:sz w:val="21"/>
                <w:szCs w:val="21"/>
              </w:rPr>
              <w:t>项目</w:t>
            </w:r>
          </w:p>
        </w:tc>
        <w:tc>
          <w:tcPr>
            <w:tcW w:w="3432" w:type="pct"/>
            <w:tcBorders>
              <w:tl2br w:val="nil"/>
              <w:tr2bl w:val="nil"/>
            </w:tcBorders>
            <w:vAlign w:val="center"/>
          </w:tcPr>
          <w:p>
            <w:pPr>
              <w:spacing w:line="240" w:lineRule="auto"/>
              <w:ind w:firstLine="0" w:firstLineChars="0"/>
              <w:jc w:val="center"/>
              <w:rPr>
                <w:b/>
                <w:bCs/>
                <w:sz w:val="21"/>
                <w:szCs w:val="21"/>
              </w:rPr>
            </w:pPr>
            <w:r>
              <w:rPr>
                <w:b/>
                <w:bCs/>
                <w:sz w:val="21"/>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1</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应急计划区</w:t>
            </w:r>
          </w:p>
        </w:tc>
        <w:tc>
          <w:tcPr>
            <w:tcW w:w="3432" w:type="pct"/>
            <w:tcBorders>
              <w:tl2br w:val="nil"/>
              <w:tr2bl w:val="nil"/>
            </w:tcBorders>
            <w:vAlign w:val="center"/>
          </w:tcPr>
          <w:p>
            <w:pPr>
              <w:spacing w:line="240" w:lineRule="auto"/>
              <w:ind w:firstLine="0" w:firstLineChars="0"/>
              <w:rPr>
                <w:sz w:val="21"/>
                <w:szCs w:val="21"/>
              </w:rPr>
            </w:pPr>
            <w:r>
              <w:rPr>
                <w:sz w:val="21"/>
                <w:szCs w:val="21"/>
              </w:rPr>
              <w:t>厂区规划区域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2</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应急组织机构</w:t>
            </w:r>
          </w:p>
        </w:tc>
        <w:tc>
          <w:tcPr>
            <w:tcW w:w="3432" w:type="pct"/>
            <w:tcBorders>
              <w:tl2br w:val="nil"/>
              <w:tr2bl w:val="nil"/>
            </w:tcBorders>
            <w:vAlign w:val="center"/>
          </w:tcPr>
          <w:p>
            <w:pPr>
              <w:spacing w:line="240" w:lineRule="auto"/>
              <w:ind w:firstLine="0" w:firstLineChars="0"/>
              <w:rPr>
                <w:sz w:val="21"/>
                <w:szCs w:val="21"/>
              </w:rPr>
            </w:pPr>
            <w:r>
              <w:rPr>
                <w:rFonts w:hint="eastAsia"/>
                <w:sz w:val="21"/>
                <w:szCs w:val="21"/>
              </w:rPr>
              <w:t>政府部门</w:t>
            </w:r>
            <w:r>
              <w:rPr>
                <w:sz w:val="21"/>
                <w:szCs w:val="21"/>
              </w:rPr>
              <w:t>应急组织机构</w:t>
            </w:r>
            <w:r>
              <w:rPr>
                <w:rFonts w:hint="eastAsia"/>
                <w:sz w:val="21"/>
                <w:szCs w:val="21"/>
              </w:rPr>
              <w:t>、公司</w:t>
            </w:r>
            <w:r>
              <w:rPr>
                <w:sz w:val="21"/>
                <w:szCs w:val="21"/>
              </w:rPr>
              <w:t>应急组织机构、</w:t>
            </w:r>
            <w:r>
              <w:rPr>
                <w:rFonts w:hint="eastAsia"/>
                <w:sz w:val="21"/>
                <w:szCs w:val="21"/>
              </w:rPr>
              <w:t>周边企事业单位</w:t>
            </w:r>
            <w:r>
              <w:rPr>
                <w:sz w:val="21"/>
                <w:szCs w:val="21"/>
              </w:rPr>
              <w:t>应急组织机构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 w:type="pct"/>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应急人员</w:t>
            </w:r>
          </w:p>
        </w:tc>
        <w:tc>
          <w:tcPr>
            <w:tcW w:w="3432" w:type="pct"/>
            <w:tcBorders>
              <w:tl2br w:val="nil"/>
              <w:tr2bl w:val="nil"/>
            </w:tcBorders>
            <w:vAlign w:val="center"/>
          </w:tcPr>
          <w:p>
            <w:pPr>
              <w:spacing w:line="240" w:lineRule="auto"/>
              <w:ind w:firstLine="0" w:firstLineChars="0"/>
              <w:rPr>
                <w:sz w:val="21"/>
                <w:szCs w:val="21"/>
              </w:rPr>
            </w:pPr>
            <w:r>
              <w:rPr>
                <w:rFonts w:hint="eastAsia"/>
                <w:sz w:val="21"/>
                <w:szCs w:val="21"/>
              </w:rPr>
              <w:t>政府应急救援人员、公司应急救援人员、周边企事业单位</w:t>
            </w:r>
            <w:r>
              <w:rPr>
                <w:sz w:val="21"/>
                <w:szCs w:val="21"/>
              </w:rPr>
              <w:t>应急</w:t>
            </w:r>
            <w:r>
              <w:rPr>
                <w:rFonts w:hint="eastAsia"/>
                <w:sz w:val="21"/>
                <w:szCs w:val="21"/>
              </w:rPr>
              <w:t>救援人员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3</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预案分级响应条件</w:t>
            </w:r>
          </w:p>
        </w:tc>
        <w:tc>
          <w:tcPr>
            <w:tcW w:w="3432" w:type="pct"/>
            <w:tcBorders>
              <w:tl2br w:val="nil"/>
              <w:tr2bl w:val="nil"/>
            </w:tcBorders>
            <w:vAlign w:val="center"/>
          </w:tcPr>
          <w:p>
            <w:pPr>
              <w:spacing w:line="240" w:lineRule="auto"/>
              <w:ind w:firstLine="0" w:firstLineChars="0"/>
              <w:rPr>
                <w:sz w:val="21"/>
                <w:szCs w:val="21"/>
              </w:rPr>
            </w:pPr>
            <w:r>
              <w:rPr>
                <w:sz w:val="21"/>
                <w:szCs w:val="21"/>
              </w:rPr>
              <w:t>根据发生突发环境事件的危害程度、影响范围、可控程度，对环境突发事件进行分级</w:t>
            </w:r>
            <w:r>
              <w:rPr>
                <w:rFonts w:hint="eastAsia"/>
                <w:sz w:val="21"/>
                <w:szCs w:val="21"/>
              </w:rPr>
              <w:t>，并根据分级结果确定</w:t>
            </w:r>
            <w:r>
              <w:rPr>
                <w:sz w:val="21"/>
                <w:szCs w:val="21"/>
              </w:rPr>
              <w:t>响应</w:t>
            </w:r>
            <w:r>
              <w:rPr>
                <w:rFonts w:hint="eastAsia"/>
                <w:sz w:val="21"/>
                <w:szCs w:val="21"/>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4</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应急救援保障</w:t>
            </w:r>
          </w:p>
        </w:tc>
        <w:tc>
          <w:tcPr>
            <w:tcW w:w="3432" w:type="pct"/>
            <w:tcBorders>
              <w:tl2br w:val="nil"/>
              <w:tr2bl w:val="nil"/>
            </w:tcBorders>
            <w:vAlign w:val="center"/>
          </w:tcPr>
          <w:p>
            <w:pPr>
              <w:spacing w:line="240" w:lineRule="auto"/>
              <w:ind w:firstLine="0" w:firstLineChars="0"/>
              <w:rPr>
                <w:sz w:val="21"/>
                <w:szCs w:val="21"/>
              </w:rPr>
            </w:pPr>
            <w:r>
              <w:rPr>
                <w:sz w:val="21"/>
                <w:szCs w:val="21"/>
              </w:rPr>
              <w:t>应急设施、设备与器材等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5</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报警、通讯联络方式</w:t>
            </w:r>
          </w:p>
        </w:tc>
        <w:tc>
          <w:tcPr>
            <w:tcW w:w="3432" w:type="pct"/>
            <w:tcBorders>
              <w:tl2br w:val="nil"/>
              <w:tr2bl w:val="nil"/>
            </w:tcBorders>
            <w:vAlign w:val="center"/>
          </w:tcPr>
          <w:p>
            <w:pPr>
              <w:spacing w:line="240" w:lineRule="auto"/>
              <w:ind w:firstLine="0" w:firstLineChars="0"/>
              <w:rPr>
                <w:sz w:val="21"/>
                <w:szCs w:val="21"/>
              </w:rPr>
            </w:pPr>
            <w:r>
              <w:rPr>
                <w:sz w:val="21"/>
                <w:szCs w:val="21"/>
              </w:rPr>
              <w:t>规定应急状态下的报警通讯方式、通知方式和交通保障、管制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6</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应急环境监测、抢险、救援及控制措施</w:t>
            </w:r>
          </w:p>
        </w:tc>
        <w:tc>
          <w:tcPr>
            <w:tcW w:w="3432" w:type="pct"/>
            <w:tcBorders>
              <w:tl2br w:val="nil"/>
              <w:tr2bl w:val="nil"/>
            </w:tcBorders>
            <w:vAlign w:val="center"/>
          </w:tcPr>
          <w:p>
            <w:pPr>
              <w:spacing w:line="240" w:lineRule="auto"/>
              <w:ind w:firstLine="0" w:firstLineChars="0"/>
              <w:rPr>
                <w:sz w:val="21"/>
                <w:szCs w:val="21"/>
              </w:rPr>
            </w:pPr>
            <w:r>
              <w:rPr>
                <w:sz w:val="21"/>
                <w:szCs w:val="21"/>
              </w:rPr>
              <w:t>由专业队伍负责对事故现场进行侦查监测，对事故性质、参数与后果进行评估，为指挥部门提供决策依据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7</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应急检测、防护措施、清楚泄漏措施和器材</w:t>
            </w:r>
          </w:p>
        </w:tc>
        <w:tc>
          <w:tcPr>
            <w:tcW w:w="3432" w:type="pct"/>
            <w:tcBorders>
              <w:tl2br w:val="nil"/>
              <w:tr2bl w:val="nil"/>
            </w:tcBorders>
            <w:vAlign w:val="center"/>
          </w:tcPr>
          <w:p>
            <w:pPr>
              <w:spacing w:line="240" w:lineRule="auto"/>
              <w:ind w:firstLine="0" w:firstLineChars="0"/>
              <w:rPr>
                <w:sz w:val="21"/>
                <w:szCs w:val="21"/>
              </w:rPr>
            </w:pPr>
            <w:r>
              <w:rPr>
                <w:sz w:val="21"/>
                <w:szCs w:val="21"/>
              </w:rPr>
              <w:t>事故现场、邻近区域、控制防火区域，控制和清除污染措施及相应设备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8</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人员紧急撤离、疏散</w:t>
            </w:r>
          </w:p>
        </w:tc>
        <w:tc>
          <w:tcPr>
            <w:tcW w:w="3432" w:type="pct"/>
            <w:tcBorders>
              <w:tl2br w:val="nil"/>
              <w:tr2bl w:val="nil"/>
            </w:tcBorders>
            <w:vAlign w:val="center"/>
          </w:tcPr>
          <w:p>
            <w:pPr>
              <w:spacing w:line="240" w:lineRule="auto"/>
              <w:ind w:firstLine="0" w:firstLineChars="0"/>
              <w:rPr>
                <w:sz w:val="21"/>
                <w:szCs w:val="21"/>
              </w:rPr>
            </w:pPr>
            <w:r>
              <w:rPr>
                <w:sz w:val="21"/>
                <w:szCs w:val="21"/>
              </w:rPr>
              <w:t>事故现场、</w:t>
            </w:r>
            <w:r>
              <w:rPr>
                <w:rFonts w:hint="eastAsia"/>
                <w:sz w:val="21"/>
                <w:szCs w:val="21"/>
              </w:rPr>
              <w:t>厂区</w:t>
            </w:r>
            <w:r>
              <w:rPr>
                <w:sz w:val="21"/>
                <w:szCs w:val="21"/>
              </w:rPr>
              <w:t>邻近区、受事故影响区域人员及公众对毒物应急计量控制规定，撤离组织计划及救护，医疗救护与公众健康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9</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事故应急救援关闭程序与恢复措施</w:t>
            </w:r>
          </w:p>
        </w:tc>
        <w:tc>
          <w:tcPr>
            <w:tcW w:w="3432" w:type="pct"/>
            <w:tcBorders>
              <w:tl2br w:val="nil"/>
              <w:tr2bl w:val="nil"/>
            </w:tcBorders>
            <w:vAlign w:val="center"/>
          </w:tcPr>
          <w:p>
            <w:pPr>
              <w:spacing w:line="240" w:lineRule="auto"/>
              <w:ind w:firstLine="0" w:firstLineChars="0"/>
              <w:rPr>
                <w:sz w:val="21"/>
                <w:szCs w:val="21"/>
              </w:rPr>
            </w:pPr>
            <w:r>
              <w:rPr>
                <w:sz w:val="21"/>
                <w:szCs w:val="21"/>
              </w:rPr>
              <w:t>规定应急状态终止程序，事故现场善后处理、恢复措施，邻近区域解除事故警戒及善后恢复措施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10</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应急培训计划</w:t>
            </w:r>
          </w:p>
        </w:tc>
        <w:tc>
          <w:tcPr>
            <w:tcW w:w="3432" w:type="pct"/>
            <w:tcBorders>
              <w:tl2br w:val="nil"/>
              <w:tr2bl w:val="nil"/>
            </w:tcBorders>
            <w:vAlign w:val="center"/>
          </w:tcPr>
          <w:p>
            <w:pPr>
              <w:spacing w:line="240" w:lineRule="auto"/>
              <w:ind w:firstLine="0" w:firstLineChars="0"/>
              <w:rPr>
                <w:sz w:val="21"/>
                <w:szCs w:val="21"/>
              </w:rPr>
            </w:pPr>
            <w:r>
              <w:rPr>
                <w:sz w:val="21"/>
                <w:szCs w:val="21"/>
              </w:rPr>
              <w:t>应急计划计划制定后，平时安排人员培训与演练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9" w:type="pct"/>
            <w:tcBorders>
              <w:tl2br w:val="nil"/>
              <w:tr2bl w:val="nil"/>
            </w:tcBorders>
            <w:vAlign w:val="center"/>
          </w:tcPr>
          <w:p>
            <w:pPr>
              <w:spacing w:line="240" w:lineRule="auto"/>
              <w:ind w:firstLine="0" w:firstLineChars="0"/>
              <w:jc w:val="center"/>
              <w:rPr>
                <w:sz w:val="21"/>
                <w:szCs w:val="21"/>
              </w:rPr>
            </w:pPr>
            <w:r>
              <w:rPr>
                <w:sz w:val="21"/>
                <w:szCs w:val="21"/>
              </w:rPr>
              <w:t>11</w:t>
            </w:r>
          </w:p>
        </w:tc>
        <w:tc>
          <w:tcPr>
            <w:tcW w:w="1147" w:type="pct"/>
            <w:tcBorders>
              <w:tl2br w:val="nil"/>
              <w:tr2bl w:val="nil"/>
            </w:tcBorders>
            <w:vAlign w:val="center"/>
          </w:tcPr>
          <w:p>
            <w:pPr>
              <w:spacing w:line="240" w:lineRule="auto"/>
              <w:ind w:firstLine="0" w:firstLineChars="0"/>
              <w:jc w:val="center"/>
              <w:rPr>
                <w:sz w:val="21"/>
                <w:szCs w:val="21"/>
              </w:rPr>
            </w:pPr>
            <w:r>
              <w:rPr>
                <w:sz w:val="21"/>
                <w:szCs w:val="21"/>
              </w:rPr>
              <w:t>公众教育和信息</w:t>
            </w:r>
          </w:p>
        </w:tc>
        <w:tc>
          <w:tcPr>
            <w:tcW w:w="3432" w:type="pct"/>
            <w:tcBorders>
              <w:tl2br w:val="nil"/>
              <w:tr2bl w:val="nil"/>
            </w:tcBorders>
            <w:vAlign w:val="center"/>
          </w:tcPr>
          <w:p>
            <w:pPr>
              <w:spacing w:line="240" w:lineRule="auto"/>
              <w:ind w:firstLine="0" w:firstLineChars="0"/>
              <w:rPr>
                <w:sz w:val="21"/>
                <w:szCs w:val="21"/>
              </w:rPr>
            </w:pPr>
            <w:r>
              <w:rPr>
                <w:sz w:val="21"/>
                <w:szCs w:val="21"/>
              </w:rPr>
              <w:t>对</w:t>
            </w:r>
            <w:r>
              <w:rPr>
                <w:rFonts w:hint="eastAsia"/>
                <w:sz w:val="21"/>
                <w:szCs w:val="21"/>
              </w:rPr>
              <w:t>厂区级</w:t>
            </w:r>
            <w:r>
              <w:rPr>
                <w:sz w:val="21"/>
                <w:szCs w:val="21"/>
              </w:rPr>
              <w:t>邻近地区开展公众教育、培训和发布有关信息</w:t>
            </w:r>
          </w:p>
        </w:tc>
      </w:tr>
    </w:tbl>
    <w:p>
      <w:pPr>
        <w:pStyle w:val="5"/>
        <w:spacing w:before="78" w:after="78"/>
        <w:ind w:firstLine="562"/>
      </w:pPr>
      <w:bookmarkStart w:id="853" w:name="_Toc11491"/>
      <w:bookmarkStart w:id="854" w:name="_Toc10072"/>
      <w:r>
        <w:rPr>
          <w:rFonts w:hint="eastAsia"/>
          <w:lang w:val="en-US" w:eastAsia="zh-CN"/>
        </w:rPr>
        <w:t>7</w:t>
      </w:r>
      <w:r>
        <w:rPr>
          <w:rFonts w:hint="eastAsia"/>
        </w:rPr>
        <w:t>.12、环境风险评价结论</w:t>
      </w:r>
      <w:bookmarkEnd w:id="853"/>
      <w:bookmarkEnd w:id="854"/>
    </w:p>
    <w:p>
      <w:pPr>
        <w:ind w:firstLine="480"/>
      </w:pPr>
      <w:r>
        <w:rPr>
          <w:rFonts w:hint="eastAsia"/>
        </w:rPr>
        <w:t>通过对</w:t>
      </w:r>
      <w:r>
        <w:t>本项目物质及生产设施风险识别分析，本项目无重大风险源，</w:t>
      </w:r>
      <w:r>
        <w:rPr>
          <w:rFonts w:hint="eastAsia"/>
        </w:rPr>
        <w:t>本环评认为本项目不构成重大危险源，在建设单位严格按照本环评的建议落实本环评提出的各项风险措施后，加强对员工的安全操作培训，加强对危险物质的管理，严格按照规范、操作规程操作，杜绝人为操作失误而引起的泄漏；落实各项环境管理措施，同时制定完善、有效的环境风险应急预案，保证在发生事故时能采取有效的措施及时控制事故，防止事故的蔓延，做好事后环境污染治理工作的前提下，项目发生环境风险的概率很小，项目的环境风险是可以接受的，</w:t>
      </w:r>
      <w:r>
        <w:t>项目建设是可行。</w:t>
      </w:r>
    </w:p>
    <w:p>
      <w:pPr>
        <w:ind w:firstLine="480"/>
      </w:pPr>
      <w:r>
        <w:rPr>
          <w:rFonts w:hint="eastAsia"/>
        </w:rPr>
        <w:t>但是由于危险源发生环境风险时，往往会造成一定的危害性后果，建设单位应对危险源进行动态管理，建立、完善相应的安全管理机制，发响问题及时整改，不断提升安全管理水平，确保项目运行阶段的生产安全和环境安全。一旦发生事故，及时启动应急预案，使事故的危害降到最低。建设项目环境风险简单分析内容统计见表</w:t>
      </w:r>
      <w:r>
        <w:rPr>
          <w:rFonts w:hint="eastAsia"/>
          <w:lang w:val="en-US" w:eastAsia="zh-CN"/>
        </w:rPr>
        <w:t>7</w:t>
      </w:r>
      <w:r>
        <w:rPr>
          <w:rFonts w:hint="eastAsia"/>
        </w:rPr>
        <w:t>.7。</w:t>
      </w:r>
    </w:p>
    <w:p>
      <w:pPr>
        <w:spacing w:line="240" w:lineRule="auto"/>
        <w:ind w:firstLine="482"/>
        <w:jc w:val="center"/>
        <w:rPr>
          <w:b/>
          <w:bCs/>
        </w:rPr>
      </w:pPr>
      <w:r>
        <w:rPr>
          <w:rFonts w:hint="eastAsia"/>
          <w:b/>
          <w:bCs/>
          <w:lang w:val="en-US" w:eastAsia="zh-CN"/>
        </w:rPr>
        <w:t>7</w:t>
      </w:r>
      <w:r>
        <w:rPr>
          <w:rFonts w:hint="eastAsia"/>
          <w:b/>
          <w:bCs/>
        </w:rPr>
        <w:t xml:space="preserve">.7    </w:t>
      </w:r>
      <w:r>
        <w:rPr>
          <w:b/>
          <w:bCs/>
        </w:rPr>
        <w:t>建设项目环境风险简单分析内容表</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6"/>
        <w:gridCol w:w="1182"/>
        <w:gridCol w:w="1329"/>
        <w:gridCol w:w="1403"/>
        <w:gridCol w:w="1485"/>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建设项目名称</w:t>
            </w:r>
          </w:p>
        </w:tc>
        <w:tc>
          <w:tcPr>
            <w:tcW w:w="3702" w:type="pct"/>
            <w:gridSpan w:val="5"/>
            <w:tcBorders>
              <w:tl2br w:val="nil"/>
              <w:tr2bl w:val="nil"/>
            </w:tcBorders>
            <w:vAlign w:val="center"/>
          </w:tcPr>
          <w:p>
            <w:pPr>
              <w:spacing w:line="240" w:lineRule="auto"/>
              <w:jc w:val="center"/>
              <w:rPr>
                <w:sz w:val="21"/>
                <w:szCs w:val="21"/>
              </w:rPr>
            </w:pPr>
            <w:r>
              <w:rPr>
                <w:sz w:val="21"/>
                <w:szCs w:val="21"/>
              </w:rPr>
              <w:t>60万只肉羊精深分割及牛羊预制品加工项目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建设地点</w:t>
            </w:r>
          </w:p>
        </w:tc>
        <w:tc>
          <w:tcPr>
            <w:tcW w:w="593" w:type="pct"/>
            <w:tcBorders>
              <w:tl2br w:val="nil"/>
              <w:tr2bl w:val="nil"/>
            </w:tcBorders>
            <w:vAlign w:val="center"/>
          </w:tcPr>
          <w:p>
            <w:pPr>
              <w:spacing w:line="240" w:lineRule="auto"/>
              <w:ind w:firstLine="0" w:firstLineChars="0"/>
              <w:jc w:val="center"/>
              <w:rPr>
                <w:sz w:val="21"/>
                <w:szCs w:val="21"/>
              </w:rPr>
            </w:pPr>
            <w:r>
              <w:rPr>
                <w:sz w:val="21"/>
                <w:szCs w:val="21"/>
              </w:rPr>
              <w:t>甘肃省</w:t>
            </w:r>
          </w:p>
        </w:tc>
        <w:tc>
          <w:tcPr>
            <w:tcW w:w="667" w:type="pct"/>
            <w:tcBorders>
              <w:tl2br w:val="nil"/>
              <w:tr2bl w:val="nil"/>
            </w:tcBorders>
            <w:vAlign w:val="center"/>
          </w:tcPr>
          <w:p>
            <w:pPr>
              <w:spacing w:line="240" w:lineRule="auto"/>
              <w:ind w:firstLine="0" w:firstLineChars="0"/>
              <w:jc w:val="center"/>
              <w:rPr>
                <w:sz w:val="21"/>
                <w:szCs w:val="21"/>
              </w:rPr>
            </w:pPr>
            <w:r>
              <w:rPr>
                <w:rFonts w:hint="eastAsia"/>
                <w:sz w:val="21"/>
                <w:szCs w:val="21"/>
              </w:rPr>
              <w:t>张掖市</w:t>
            </w:r>
          </w:p>
        </w:tc>
        <w:tc>
          <w:tcPr>
            <w:tcW w:w="704" w:type="pct"/>
            <w:tcBorders>
              <w:tl2br w:val="nil"/>
              <w:tr2bl w:val="nil"/>
            </w:tcBorders>
            <w:vAlign w:val="center"/>
          </w:tcPr>
          <w:p>
            <w:pPr>
              <w:spacing w:line="240" w:lineRule="auto"/>
              <w:ind w:firstLine="0" w:firstLineChars="0"/>
              <w:jc w:val="center"/>
              <w:rPr>
                <w:sz w:val="21"/>
                <w:szCs w:val="21"/>
              </w:rPr>
            </w:pPr>
            <w:r>
              <w:rPr>
                <w:rFonts w:hint="eastAsia"/>
                <w:sz w:val="21"/>
                <w:szCs w:val="21"/>
              </w:rPr>
              <w:t>甘州区</w:t>
            </w:r>
          </w:p>
        </w:tc>
        <w:tc>
          <w:tcPr>
            <w:tcW w:w="1737"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lang w:eastAsia="zh-CN"/>
              </w:rPr>
              <w:t>张掖市沅博农牧产业开发有限公司</w:t>
            </w:r>
            <w:r>
              <w:rPr>
                <w:rFonts w:hint="eastAsia"/>
                <w:sz w:val="21"/>
                <w:szCs w:val="21"/>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地理坐标</w:t>
            </w:r>
          </w:p>
        </w:tc>
        <w:tc>
          <w:tcPr>
            <w:tcW w:w="593" w:type="pct"/>
            <w:tcBorders>
              <w:tl2br w:val="nil"/>
              <w:tr2bl w:val="nil"/>
            </w:tcBorders>
            <w:vAlign w:val="center"/>
          </w:tcPr>
          <w:p>
            <w:pPr>
              <w:spacing w:line="240" w:lineRule="auto"/>
              <w:ind w:firstLine="0" w:firstLineChars="0"/>
              <w:jc w:val="center"/>
              <w:rPr>
                <w:sz w:val="21"/>
                <w:szCs w:val="21"/>
              </w:rPr>
            </w:pPr>
            <w:r>
              <w:rPr>
                <w:sz w:val="21"/>
                <w:szCs w:val="21"/>
              </w:rPr>
              <w:t>经度</w:t>
            </w:r>
          </w:p>
        </w:tc>
        <w:tc>
          <w:tcPr>
            <w:tcW w:w="1371" w:type="pct"/>
            <w:gridSpan w:val="2"/>
            <w:tcBorders>
              <w:tl2br w:val="nil"/>
              <w:tr2bl w:val="nil"/>
            </w:tcBorders>
            <w:vAlign w:val="center"/>
          </w:tcPr>
          <w:p>
            <w:pPr>
              <w:spacing w:line="240" w:lineRule="auto"/>
              <w:ind w:firstLine="0" w:firstLineChars="0"/>
              <w:jc w:val="center"/>
              <w:rPr>
                <w:sz w:val="21"/>
                <w:szCs w:val="21"/>
              </w:rPr>
            </w:pPr>
            <w:r>
              <w:rPr>
                <w:sz w:val="21"/>
                <w:szCs w:val="21"/>
              </w:rPr>
              <w:t>100.259682509</w:t>
            </w:r>
          </w:p>
        </w:tc>
        <w:tc>
          <w:tcPr>
            <w:tcW w:w="745" w:type="pct"/>
            <w:tcBorders>
              <w:tl2br w:val="nil"/>
              <w:tr2bl w:val="nil"/>
            </w:tcBorders>
            <w:vAlign w:val="center"/>
          </w:tcPr>
          <w:p>
            <w:pPr>
              <w:spacing w:line="240" w:lineRule="auto"/>
              <w:ind w:firstLine="0" w:firstLineChars="0"/>
              <w:jc w:val="center"/>
              <w:rPr>
                <w:sz w:val="21"/>
                <w:szCs w:val="21"/>
              </w:rPr>
            </w:pPr>
            <w:r>
              <w:rPr>
                <w:sz w:val="21"/>
                <w:szCs w:val="21"/>
              </w:rPr>
              <w:t>纬度</w:t>
            </w:r>
          </w:p>
        </w:tc>
        <w:tc>
          <w:tcPr>
            <w:tcW w:w="992" w:type="pct"/>
            <w:tcBorders>
              <w:tl2br w:val="nil"/>
              <w:tr2bl w:val="nil"/>
            </w:tcBorders>
            <w:vAlign w:val="center"/>
          </w:tcPr>
          <w:p>
            <w:pPr>
              <w:spacing w:line="240" w:lineRule="auto"/>
              <w:ind w:firstLine="0" w:firstLineChars="0"/>
              <w:jc w:val="center"/>
              <w:rPr>
                <w:sz w:val="21"/>
                <w:szCs w:val="21"/>
              </w:rPr>
            </w:pPr>
            <w:r>
              <w:rPr>
                <w:sz w:val="21"/>
                <w:szCs w:val="21"/>
              </w:rPr>
              <w:t>38.954668096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主要危险物质及分布</w:t>
            </w:r>
          </w:p>
        </w:tc>
        <w:tc>
          <w:tcPr>
            <w:tcW w:w="3702" w:type="pct"/>
            <w:gridSpan w:val="5"/>
            <w:tcBorders>
              <w:tl2br w:val="nil"/>
              <w:tr2bl w:val="nil"/>
            </w:tcBorders>
            <w:vAlign w:val="center"/>
          </w:tcPr>
          <w:p>
            <w:pPr>
              <w:spacing w:line="240" w:lineRule="auto"/>
              <w:ind w:firstLine="0" w:firstLineChars="0"/>
              <w:rPr>
                <w:sz w:val="21"/>
                <w:szCs w:val="21"/>
              </w:rPr>
            </w:pPr>
            <w:r>
              <w:rPr>
                <w:rFonts w:hint="eastAsia"/>
                <w:sz w:val="21"/>
                <w:szCs w:val="21"/>
              </w:rPr>
              <w:t>1、废活性炭，主要分布在危废暂存间；</w:t>
            </w:r>
          </w:p>
          <w:p>
            <w:pPr>
              <w:spacing w:line="240" w:lineRule="auto"/>
              <w:ind w:firstLine="0" w:firstLineChars="0"/>
            </w:pPr>
            <w:r>
              <w:rPr>
                <w:rFonts w:hint="eastAsia"/>
                <w:sz w:val="21"/>
                <w:szCs w:val="21"/>
              </w:rPr>
              <w:t>2、硫化氢、氨，主要分布在综合生产车间及待宰圈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环境影响途径及危害结果</w:t>
            </w:r>
            <w:r>
              <w:rPr>
                <w:rFonts w:hint="eastAsia"/>
                <w:b/>
                <w:bCs/>
                <w:sz w:val="21"/>
                <w:szCs w:val="21"/>
              </w:rPr>
              <w:t>（</w:t>
            </w:r>
            <w:r>
              <w:rPr>
                <w:b/>
                <w:bCs/>
                <w:sz w:val="21"/>
                <w:szCs w:val="21"/>
              </w:rPr>
              <w:t>大气、地表水、地下水等</w:t>
            </w:r>
            <w:r>
              <w:rPr>
                <w:rFonts w:hint="eastAsia"/>
                <w:b/>
                <w:bCs/>
                <w:sz w:val="21"/>
                <w:szCs w:val="21"/>
              </w:rPr>
              <w:t>）</w:t>
            </w:r>
          </w:p>
        </w:tc>
        <w:tc>
          <w:tcPr>
            <w:tcW w:w="3702" w:type="pct"/>
            <w:gridSpan w:val="5"/>
            <w:tcBorders>
              <w:tl2br w:val="nil"/>
              <w:tr2bl w:val="nil"/>
            </w:tcBorders>
            <w:vAlign w:val="center"/>
          </w:tcPr>
          <w:p>
            <w:pPr>
              <w:spacing w:line="240" w:lineRule="auto"/>
              <w:ind w:firstLine="0" w:firstLineChars="0"/>
              <w:rPr>
                <w:sz w:val="21"/>
                <w:szCs w:val="21"/>
              </w:rPr>
            </w:pPr>
            <w:r>
              <w:rPr>
                <w:rFonts w:hint="eastAsia"/>
                <w:sz w:val="21"/>
                <w:szCs w:val="21"/>
              </w:rPr>
              <w:t>废气超标排放对周边大气环境、水环境、土壤环境造成不利影响；发生火灾及爆炸事故时会对大气环境、水环境、土壤环境造成不利影响。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风险防范措施要求</w:t>
            </w:r>
          </w:p>
        </w:tc>
        <w:tc>
          <w:tcPr>
            <w:tcW w:w="3702" w:type="pct"/>
            <w:gridSpan w:val="5"/>
            <w:tcBorders>
              <w:tl2br w:val="nil"/>
              <w:tr2bl w:val="nil"/>
            </w:tcBorders>
            <w:vAlign w:val="center"/>
          </w:tcPr>
          <w:p>
            <w:pPr>
              <w:spacing w:line="240" w:lineRule="auto"/>
              <w:ind w:firstLine="0" w:firstLineChars="0"/>
              <w:rPr>
                <w:sz w:val="21"/>
                <w:szCs w:val="21"/>
              </w:rPr>
            </w:pPr>
            <w:r>
              <w:rPr>
                <w:sz w:val="21"/>
                <w:szCs w:val="21"/>
              </w:rPr>
              <w:t>制定应急预案，</w:t>
            </w:r>
            <w:r>
              <w:rPr>
                <w:rFonts w:hint="eastAsia"/>
                <w:sz w:val="21"/>
                <w:szCs w:val="21"/>
              </w:rPr>
              <w:t>按照环评要求设置事故应急池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97" w:type="pct"/>
            <w:tcBorders>
              <w:tl2br w:val="nil"/>
              <w:tr2bl w:val="nil"/>
            </w:tcBorders>
            <w:vAlign w:val="center"/>
          </w:tcPr>
          <w:p>
            <w:pPr>
              <w:spacing w:line="240" w:lineRule="auto"/>
              <w:ind w:firstLine="0" w:firstLineChars="0"/>
              <w:jc w:val="center"/>
              <w:rPr>
                <w:b/>
                <w:bCs/>
                <w:sz w:val="21"/>
                <w:szCs w:val="21"/>
              </w:rPr>
            </w:pPr>
            <w:r>
              <w:rPr>
                <w:b/>
                <w:bCs/>
                <w:sz w:val="21"/>
                <w:szCs w:val="21"/>
              </w:rPr>
              <w:t>填表说明</w:t>
            </w:r>
          </w:p>
        </w:tc>
        <w:tc>
          <w:tcPr>
            <w:tcW w:w="3702" w:type="pct"/>
            <w:gridSpan w:val="5"/>
            <w:tcBorders>
              <w:tl2br w:val="nil"/>
              <w:tr2bl w:val="nil"/>
            </w:tcBorders>
            <w:vAlign w:val="center"/>
          </w:tcPr>
          <w:p>
            <w:pPr>
              <w:spacing w:line="240" w:lineRule="auto"/>
              <w:ind w:firstLine="0" w:firstLineChars="0"/>
              <w:rPr>
                <w:sz w:val="21"/>
                <w:szCs w:val="21"/>
              </w:rPr>
            </w:pPr>
            <w:r>
              <w:rPr>
                <w:sz w:val="21"/>
                <w:szCs w:val="21"/>
              </w:rPr>
              <w:t>根据《建设项目环境风险评价技术导则》</w:t>
            </w:r>
            <w:r>
              <w:rPr>
                <w:rFonts w:hint="eastAsia"/>
                <w:sz w:val="21"/>
                <w:szCs w:val="21"/>
              </w:rPr>
              <w:t>（</w:t>
            </w:r>
            <w:r>
              <w:rPr>
                <w:sz w:val="21"/>
                <w:szCs w:val="21"/>
              </w:rPr>
              <w:t>HJ/T169-2018</w:t>
            </w:r>
            <w:r>
              <w:rPr>
                <w:rFonts w:hint="eastAsia"/>
                <w:sz w:val="21"/>
                <w:szCs w:val="21"/>
              </w:rPr>
              <w:t>）中的</w:t>
            </w:r>
            <w:r>
              <w:rPr>
                <w:sz w:val="21"/>
                <w:szCs w:val="21"/>
              </w:rPr>
              <w:t>环境风险潜势初判</w:t>
            </w:r>
            <w:r>
              <w:rPr>
                <w:rFonts w:hint="eastAsia"/>
                <w:sz w:val="21"/>
                <w:szCs w:val="21"/>
              </w:rPr>
              <w:t>要求</w:t>
            </w:r>
            <w:r>
              <w:rPr>
                <w:sz w:val="21"/>
                <w:szCs w:val="21"/>
              </w:rPr>
              <w:t>，</w:t>
            </w:r>
            <w:r>
              <w:rPr>
                <w:rFonts w:hint="eastAsia"/>
                <w:sz w:val="21"/>
                <w:szCs w:val="21"/>
              </w:rPr>
              <w:t>本项目</w:t>
            </w:r>
            <w:r>
              <w:rPr>
                <w:sz w:val="21"/>
                <w:szCs w:val="21"/>
              </w:rPr>
              <w:t>Q=0.1534&lt;1。本项目环境风险潜势为Ⅰ级，本项目风险评价工作等级为简单分析。</w:t>
            </w:r>
          </w:p>
        </w:tc>
      </w:tr>
    </w:tbl>
    <w:p>
      <w:pPr>
        <w:pStyle w:val="2"/>
        <w:rPr>
          <w:color w:val="auto"/>
        </w:rPr>
      </w:pPr>
    </w:p>
    <w:p>
      <w:pPr>
        <w:pStyle w:val="4"/>
        <w:sectPr>
          <w:footerReference r:id="rId14" w:type="default"/>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855" w:name="_Toc15849"/>
      <w:bookmarkStart w:id="856" w:name="_Toc31693"/>
      <w:bookmarkStart w:id="857" w:name="_Toc25902_WPSOffice_Level1"/>
      <w:r>
        <w:rPr>
          <w:rFonts w:hint="eastAsia"/>
          <w:lang w:val="en-US" w:eastAsia="zh-CN"/>
        </w:rPr>
        <w:t>8</w:t>
      </w:r>
      <w:r>
        <w:rPr>
          <w:rFonts w:hint="eastAsia"/>
        </w:rPr>
        <w:t>、</w:t>
      </w:r>
      <w:r>
        <w:t>环境影响经济损益分析</w:t>
      </w:r>
      <w:bookmarkEnd w:id="855"/>
      <w:bookmarkEnd w:id="856"/>
      <w:bookmarkEnd w:id="857"/>
    </w:p>
    <w:p>
      <w:pPr>
        <w:spacing w:before="24" w:after="24"/>
        <w:ind w:firstLine="480"/>
        <w:rPr>
          <w:lang w:val="zh-CN"/>
        </w:rPr>
      </w:pPr>
      <w:r>
        <w:rPr>
          <w:rFonts w:hint="eastAsia"/>
          <w:lang w:val="zh-CN"/>
        </w:rPr>
        <w:t>关于建设项目的环境经济损益分析，国内目前尚无统一标准。此外，拟建项目所排污染物作用于自然环境而造成的经济损失，其过程和机理是十分复杂的，其中有许多不确定因素。而且，许多因环境污染而造成的经济损失和由于污染防治而带来的环境收益，是很难以货币形式来表达。为此，本报告在环境影响经济损益分析中，对于可计量部分定量分析，其它则做简单的定性论述。</w:t>
      </w:r>
    </w:p>
    <w:p>
      <w:pPr>
        <w:pStyle w:val="5"/>
        <w:spacing w:before="78" w:after="78"/>
        <w:ind w:firstLine="562"/>
        <w:rPr>
          <w:rFonts w:hint="default"/>
          <w:lang w:val="en-US" w:eastAsia="zh-CN"/>
        </w:rPr>
      </w:pPr>
      <w:bookmarkStart w:id="858" w:name="_Toc2533"/>
      <w:bookmarkStart w:id="859" w:name="_Toc311"/>
      <w:bookmarkStart w:id="860" w:name="_Toc3363"/>
      <w:bookmarkStart w:id="861" w:name="_Toc3948"/>
      <w:bookmarkStart w:id="862" w:name="_Toc21723"/>
      <w:bookmarkStart w:id="863" w:name="_Toc30448_WPSOffice_Level1"/>
      <w:bookmarkStart w:id="864" w:name="_Toc9933"/>
      <w:r>
        <w:rPr>
          <w:rFonts w:hint="eastAsia"/>
          <w:lang w:val="en-US" w:eastAsia="zh-CN"/>
        </w:rPr>
        <w:t>8.1、经济效益分析</w:t>
      </w:r>
      <w:bookmarkEnd w:id="858"/>
    </w:p>
    <w:p>
      <w:pPr>
        <w:spacing w:before="24" w:after="24"/>
        <w:ind w:firstLine="480"/>
      </w:pPr>
      <w:r>
        <w:rPr>
          <w:rFonts w:hint="eastAsia"/>
        </w:rPr>
        <w:t>拟建项目总投资</w:t>
      </w:r>
      <w:r>
        <w:rPr>
          <w:rFonts w:hint="eastAsia"/>
          <w:lang w:val="en-US" w:eastAsia="zh-CN"/>
        </w:rPr>
        <w:t>6</w:t>
      </w:r>
      <w:r>
        <w:rPr>
          <w:rFonts w:hint="eastAsia"/>
        </w:rPr>
        <w:t>00</w:t>
      </w:r>
      <w:r>
        <w:rPr>
          <w:rFonts w:hint="eastAsia"/>
          <w:lang w:val="en-US" w:eastAsia="zh-CN"/>
        </w:rPr>
        <w:t>0</w:t>
      </w:r>
      <w:r>
        <w:rPr>
          <w:rFonts w:hint="eastAsia"/>
        </w:rPr>
        <w:t>万元，</w:t>
      </w:r>
      <w:r>
        <w:rPr>
          <w:rFonts w:hint="eastAsia"/>
          <w:lang w:val="en-US" w:eastAsia="zh-CN"/>
        </w:rPr>
        <w:t>该项目年产值（销售收入）可达3400</w:t>
      </w:r>
      <w:r>
        <w:rPr>
          <w:rFonts w:hint="eastAsia"/>
        </w:rPr>
        <w:t>万元</w:t>
      </w:r>
      <w:r>
        <w:rPr>
          <w:rFonts w:hint="eastAsia"/>
          <w:lang w:val="en-US" w:eastAsia="zh-CN"/>
        </w:rPr>
        <w:t>，其中羊屠宰分割产值2800</w:t>
      </w:r>
      <w:r>
        <w:rPr>
          <w:rFonts w:hint="eastAsia"/>
        </w:rPr>
        <w:t>万元</w:t>
      </w:r>
      <w:r>
        <w:rPr>
          <w:rFonts w:hint="eastAsia"/>
          <w:lang w:val="en-US" w:eastAsia="zh-CN"/>
        </w:rPr>
        <w:t>，牛羊预制品产值600</w:t>
      </w:r>
      <w:r>
        <w:rPr>
          <w:rFonts w:hint="eastAsia"/>
        </w:rPr>
        <w:t>万元</w:t>
      </w:r>
      <w:r>
        <w:rPr>
          <w:rFonts w:hint="eastAsia"/>
          <w:lang w:val="en-US" w:eastAsia="zh-CN"/>
        </w:rPr>
        <w:t>，利润总额1100</w:t>
      </w:r>
      <w:r>
        <w:rPr>
          <w:rFonts w:hint="eastAsia"/>
        </w:rPr>
        <w:t>万元</w:t>
      </w:r>
      <w:r>
        <w:rPr>
          <w:rFonts w:hint="eastAsia"/>
          <w:lang w:val="en-US" w:eastAsia="zh-CN"/>
        </w:rPr>
        <w:t>，利税总额180万元，税后净利润920万元。项目年投资利润率18%，投资回报率15%，静态投资回收期为6.5年，</w:t>
      </w:r>
      <w:r>
        <w:rPr>
          <w:rFonts w:hint="eastAsia"/>
        </w:rPr>
        <w:t>表明该项目具有良好的经济效益和抗风险能力。总体来说，本项目的建设适应了市场和国民经济发展的需要，对带动</w:t>
      </w:r>
      <w:r>
        <w:rPr>
          <w:rFonts w:hint="eastAsia"/>
          <w:lang w:val="en-US" w:eastAsia="zh-CN"/>
        </w:rPr>
        <w:t>张掖</w:t>
      </w:r>
      <w:r>
        <w:rPr>
          <w:rFonts w:hint="eastAsia"/>
          <w:lang w:eastAsia="zh-CN"/>
        </w:rPr>
        <w:t>市</w:t>
      </w:r>
      <w:r>
        <w:rPr>
          <w:rFonts w:hint="eastAsia"/>
        </w:rPr>
        <w:t>经济发展，提升</w:t>
      </w:r>
      <w:r>
        <w:rPr>
          <w:rFonts w:hint="eastAsia"/>
          <w:lang w:val="en-US" w:eastAsia="zh-CN"/>
        </w:rPr>
        <w:t>养殖业发展规模</w:t>
      </w:r>
      <w:r>
        <w:rPr>
          <w:rFonts w:hint="eastAsia"/>
        </w:rPr>
        <w:t>，提高企业的综合效益等都具有重大的意义。由此可见，本项目的经济效益显著。</w:t>
      </w:r>
    </w:p>
    <w:p>
      <w:pPr>
        <w:pStyle w:val="5"/>
        <w:spacing w:before="78" w:after="78"/>
        <w:ind w:firstLine="562"/>
      </w:pPr>
      <w:bookmarkStart w:id="865" w:name="_Toc14811"/>
      <w:r>
        <w:rPr>
          <w:rFonts w:hint="eastAsia"/>
          <w:lang w:val="en-US" w:eastAsia="zh-CN"/>
        </w:rPr>
        <w:t>8</w:t>
      </w:r>
      <w:r>
        <w:t>.</w:t>
      </w:r>
      <w:r>
        <w:rPr>
          <w:rFonts w:hint="eastAsia"/>
          <w:lang w:val="en-US" w:eastAsia="zh-CN"/>
        </w:rPr>
        <w:t>2</w:t>
      </w:r>
      <w:r>
        <w:rPr>
          <w:rFonts w:hint="eastAsia"/>
        </w:rPr>
        <w:t>、</w:t>
      </w:r>
      <w:r>
        <w:t>社会效益分析</w:t>
      </w:r>
      <w:bookmarkEnd w:id="859"/>
      <w:bookmarkEnd w:id="860"/>
      <w:bookmarkEnd w:id="861"/>
      <w:bookmarkEnd w:id="862"/>
      <w:bookmarkEnd w:id="863"/>
      <w:bookmarkEnd w:id="864"/>
      <w:bookmarkEnd w:id="865"/>
    </w:p>
    <w:p>
      <w:pPr>
        <w:ind w:firstLine="480"/>
      </w:pPr>
      <w:r>
        <w:t>项目的建设运营可以增强当地的经济实力，提高当地居民的收入；拟建项目可为当地的社会环境、人文条件所接纳。主要社会效益是提供就业机会、带动当地经济发展。项目建成以后，可增加</w:t>
      </w:r>
      <w:r>
        <w:rPr>
          <w:rFonts w:hint="eastAsia"/>
        </w:rPr>
        <w:t>100</w:t>
      </w:r>
      <w:r>
        <w:t>个就业岗位</w:t>
      </w:r>
      <w:r>
        <w:rPr>
          <w:lang w:val="zh-CN"/>
        </w:rPr>
        <w:t>，</w:t>
      </w:r>
      <w:r>
        <w:t>间接提高当地生活水平和质量，同时带动该地区的产业结构调整，使国民经济总体水平有较大程度的提高</w:t>
      </w:r>
      <w:r>
        <w:rPr>
          <w:lang w:val="zh-CN"/>
        </w:rPr>
        <w:t>，具有良好的社会效益。</w:t>
      </w:r>
    </w:p>
    <w:p>
      <w:pPr>
        <w:pStyle w:val="5"/>
        <w:spacing w:before="78" w:after="78"/>
        <w:ind w:firstLine="562"/>
      </w:pPr>
      <w:bookmarkStart w:id="866" w:name="_Toc31256"/>
      <w:bookmarkStart w:id="867" w:name="_Toc31945_WPSOffice_Level1"/>
      <w:bookmarkStart w:id="868" w:name="_Toc26045"/>
      <w:bookmarkStart w:id="869" w:name="_Toc18078"/>
      <w:bookmarkStart w:id="870" w:name="_Toc28952"/>
      <w:bookmarkStart w:id="871" w:name="_Toc22040"/>
      <w:bookmarkStart w:id="872" w:name="_Toc4274"/>
      <w:r>
        <w:rPr>
          <w:rFonts w:hint="eastAsia"/>
          <w:lang w:val="en-US" w:eastAsia="zh-CN"/>
        </w:rPr>
        <w:t>8</w:t>
      </w:r>
      <w:r>
        <w:t>.</w:t>
      </w:r>
      <w:r>
        <w:rPr>
          <w:rFonts w:hint="eastAsia"/>
          <w:lang w:val="en-US" w:eastAsia="zh-CN"/>
        </w:rPr>
        <w:t>3</w:t>
      </w:r>
      <w:r>
        <w:rPr>
          <w:rFonts w:hint="eastAsia"/>
        </w:rPr>
        <w:t>、</w:t>
      </w:r>
      <w:r>
        <w:t>环境</w:t>
      </w:r>
      <w:r>
        <w:rPr>
          <w:rFonts w:hint="eastAsia"/>
          <w:lang w:val="en-US" w:eastAsia="zh-CN"/>
        </w:rPr>
        <w:t>经济损益</w:t>
      </w:r>
      <w:r>
        <w:t>分析</w:t>
      </w:r>
      <w:bookmarkEnd w:id="866"/>
      <w:bookmarkEnd w:id="867"/>
      <w:bookmarkEnd w:id="868"/>
      <w:bookmarkEnd w:id="869"/>
      <w:bookmarkEnd w:id="870"/>
      <w:bookmarkEnd w:id="871"/>
      <w:bookmarkEnd w:id="872"/>
    </w:p>
    <w:p>
      <w:pPr>
        <w:pStyle w:val="6"/>
        <w:bidi w:val="0"/>
      </w:pPr>
      <w:r>
        <w:rPr>
          <w:rFonts w:hint="eastAsia"/>
          <w:lang w:val="en-US" w:eastAsia="zh-CN"/>
        </w:rPr>
        <w:t>8.</w:t>
      </w:r>
      <w:r>
        <w:rPr>
          <w:rFonts w:hint="eastAsia"/>
        </w:rPr>
        <w:t>3.1</w:t>
      </w:r>
      <w:r>
        <w:rPr>
          <w:rFonts w:hint="eastAsia"/>
          <w:lang w:eastAsia="zh-CN"/>
        </w:rPr>
        <w:t>、</w:t>
      </w:r>
      <w:r>
        <w:rPr>
          <w:rFonts w:hint="eastAsia"/>
        </w:rPr>
        <w:t>环境保护费用</w:t>
      </w:r>
    </w:p>
    <w:p>
      <w:pPr>
        <w:bidi w:val="0"/>
      </w:pPr>
      <w:r>
        <w:rPr>
          <w:rFonts w:hint="eastAsia"/>
        </w:rPr>
        <w:t>拟建项目环保费用由一次性投资和运行费用两部分组成。</w:t>
      </w:r>
    </w:p>
    <w:p>
      <w:pPr>
        <w:bidi w:val="0"/>
        <w:rPr>
          <w:b/>
          <w:bCs/>
        </w:rPr>
      </w:pPr>
      <w:r>
        <w:rPr>
          <w:rFonts w:hint="eastAsia"/>
          <w:b/>
          <w:bCs/>
        </w:rPr>
        <w:t>（1）环保投资</w:t>
      </w:r>
    </w:p>
    <w:p>
      <w:pPr>
        <w:bidi w:val="0"/>
      </w:pPr>
      <w:r>
        <w:rPr>
          <w:rFonts w:hint="eastAsia"/>
        </w:rPr>
        <w:t>拟建项目总投资</w:t>
      </w:r>
      <w:r>
        <w:rPr>
          <w:rFonts w:hint="eastAsia"/>
          <w:lang w:val="en-US" w:eastAsia="zh-CN"/>
        </w:rPr>
        <w:t>6000</w:t>
      </w:r>
      <w:r>
        <w:rPr>
          <w:rFonts w:hint="eastAsia"/>
        </w:rPr>
        <w:t>万元，环保投资</w:t>
      </w:r>
      <w:r>
        <w:rPr>
          <w:rFonts w:hint="eastAsia"/>
          <w:lang w:val="en-US" w:eastAsia="zh-CN"/>
        </w:rPr>
        <w:t>142.2</w:t>
      </w:r>
      <w:r>
        <w:rPr>
          <w:rFonts w:hint="eastAsia"/>
        </w:rPr>
        <w:t>万元，占总投资的</w:t>
      </w:r>
      <w:r>
        <w:rPr>
          <w:rFonts w:hint="eastAsia"/>
          <w:lang w:val="en-US" w:eastAsia="zh-CN"/>
        </w:rPr>
        <w:t>2.37</w:t>
      </w:r>
      <w:r>
        <w:rPr>
          <w:rFonts w:hint="eastAsia"/>
        </w:rPr>
        <w:t>%。按10年的环保设施使用年限计算，则环保投资为</w:t>
      </w:r>
      <w:r>
        <w:rPr>
          <w:rFonts w:hint="eastAsia"/>
          <w:lang w:val="en-US" w:eastAsia="zh-CN"/>
        </w:rPr>
        <w:t>14.2</w:t>
      </w:r>
      <w:r>
        <w:rPr>
          <w:rFonts w:hint="eastAsia"/>
        </w:rPr>
        <w:t>万元/a。</w:t>
      </w:r>
    </w:p>
    <w:p>
      <w:pPr>
        <w:bidi w:val="0"/>
        <w:rPr>
          <w:b/>
          <w:bCs/>
        </w:rPr>
      </w:pPr>
      <w:r>
        <w:rPr>
          <w:rFonts w:hint="eastAsia"/>
          <w:b/>
          <w:bCs/>
        </w:rPr>
        <w:t>（2）运行维护费用</w:t>
      </w:r>
    </w:p>
    <w:p>
      <w:pPr>
        <w:bidi w:val="0"/>
      </w:pPr>
      <w:r>
        <w:rPr>
          <w:rFonts w:hint="eastAsia"/>
        </w:rPr>
        <w:t>运行费用是为充分保障环保设施的效率、维持其正常运行而发生的费用，主要包括人工费、水电费、维护费、设备折旧费等，按一次性投资费用的5%估算，拟建项目投运后，环保设施运行费用约为</w:t>
      </w:r>
      <w:r>
        <w:rPr>
          <w:rFonts w:hint="eastAsia"/>
          <w:lang w:val="en-US" w:eastAsia="zh-CN"/>
        </w:rPr>
        <w:t>300</w:t>
      </w:r>
      <w:r>
        <w:rPr>
          <w:rFonts w:hint="eastAsia"/>
        </w:rPr>
        <w:t>万元/a。</w:t>
      </w:r>
    </w:p>
    <w:p>
      <w:pPr>
        <w:bidi w:val="0"/>
      </w:pPr>
      <w:r>
        <w:rPr>
          <w:rFonts w:hint="eastAsia"/>
        </w:rPr>
        <w:t>通过以上环保投资和运行费用估算，环保费用为</w:t>
      </w:r>
      <w:r>
        <w:rPr>
          <w:rFonts w:hint="eastAsia"/>
          <w:lang w:val="en-US" w:eastAsia="zh-CN"/>
        </w:rPr>
        <w:t>314.2</w:t>
      </w:r>
      <w:r>
        <w:rPr>
          <w:rFonts w:hint="eastAsia"/>
        </w:rPr>
        <w:t>万元/a。</w:t>
      </w:r>
    </w:p>
    <w:p>
      <w:pPr>
        <w:pStyle w:val="6"/>
        <w:bidi w:val="0"/>
      </w:pPr>
      <w:r>
        <w:rPr>
          <w:rFonts w:hint="eastAsia"/>
          <w:lang w:val="en-US" w:eastAsia="zh-CN"/>
        </w:rPr>
        <w:t>8</w:t>
      </w:r>
      <w:r>
        <w:rPr>
          <w:rFonts w:hint="eastAsia"/>
        </w:rPr>
        <w:t>.3.2</w:t>
      </w:r>
      <w:r>
        <w:rPr>
          <w:rFonts w:hint="eastAsia"/>
          <w:lang w:eastAsia="zh-CN"/>
        </w:rPr>
        <w:t>、</w:t>
      </w:r>
      <w:r>
        <w:rPr>
          <w:rFonts w:hint="eastAsia"/>
        </w:rPr>
        <w:t>环境效益分析</w:t>
      </w:r>
    </w:p>
    <w:p>
      <w:pPr>
        <w:bidi w:val="0"/>
      </w:pPr>
      <w:r>
        <w:rPr>
          <w:rFonts w:hint="eastAsia"/>
        </w:rPr>
        <w:t>环保效益主要指环保设施带来的社会效益，包括环境污染损失的减少，人体健康的保护费用的减少等。拟建项目</w:t>
      </w:r>
      <w:r>
        <w:rPr>
          <w:rFonts w:hint="eastAsia"/>
          <w:lang w:val="en-US" w:eastAsia="zh-CN"/>
        </w:rPr>
        <w:t>环境</w:t>
      </w:r>
      <w:r>
        <w:rPr>
          <w:rFonts w:hint="eastAsia"/>
        </w:rPr>
        <w:t>效益表现为先进的生产设备、保护设施的投入，减少对人体健康的危害，降低对环境的污染，为区域提供良好的生产、生活环境，促进区域可持续发展，对地方经济发展有明显促进作用，因此，拟建项目</w:t>
      </w:r>
      <w:r>
        <w:rPr>
          <w:rFonts w:hint="eastAsia"/>
          <w:lang w:val="en-US" w:eastAsia="zh-CN"/>
        </w:rPr>
        <w:t>的环境</w:t>
      </w:r>
      <w:r>
        <w:rPr>
          <w:rFonts w:hint="eastAsia"/>
        </w:rPr>
        <w:t>效益不可量化。</w:t>
      </w:r>
    </w:p>
    <w:p>
      <w:pPr>
        <w:pStyle w:val="6"/>
        <w:bidi w:val="0"/>
      </w:pPr>
      <w:r>
        <w:rPr>
          <w:rFonts w:hint="eastAsia"/>
          <w:lang w:val="en-US" w:eastAsia="zh-CN"/>
        </w:rPr>
        <w:t>8</w:t>
      </w:r>
      <w:r>
        <w:rPr>
          <w:rFonts w:hint="eastAsia"/>
        </w:rPr>
        <w:t>.3.3</w:t>
      </w:r>
      <w:r>
        <w:rPr>
          <w:rFonts w:hint="eastAsia"/>
          <w:lang w:eastAsia="zh-CN"/>
        </w:rPr>
        <w:t>、</w:t>
      </w:r>
      <w:r>
        <w:rPr>
          <w:rFonts w:hint="eastAsia"/>
        </w:rPr>
        <w:t>环境损益分析</w:t>
      </w:r>
    </w:p>
    <w:p>
      <w:pPr>
        <w:bidi w:val="0"/>
        <w:rPr>
          <w:b/>
          <w:bCs/>
        </w:rPr>
      </w:pPr>
      <w:r>
        <w:rPr>
          <w:rFonts w:hint="eastAsia"/>
          <w:b/>
          <w:bCs/>
        </w:rPr>
        <w:t>（1）年净效益</w:t>
      </w:r>
    </w:p>
    <w:p>
      <w:pPr>
        <w:bidi w:val="0"/>
      </w:pPr>
      <w:r>
        <w:rPr>
          <w:rFonts w:hint="eastAsia"/>
        </w:rPr>
        <w:t>年净效益指工程达产年环境保护产生的直接经济效益扣除污染治理运行费用之差。</w:t>
      </w:r>
    </w:p>
    <w:p>
      <w:pPr>
        <w:bidi w:val="0"/>
      </w:pPr>
      <w:r>
        <w:rPr>
          <w:rFonts w:hint="eastAsia"/>
        </w:rPr>
        <w:t>年净效益=经济效益-费用指标=</w:t>
      </w:r>
      <w:r>
        <w:rPr>
          <w:rFonts w:hint="eastAsia"/>
          <w:lang w:val="en-US" w:eastAsia="zh-CN"/>
        </w:rPr>
        <w:t>3400-314.2</w:t>
      </w:r>
      <w:r>
        <w:rPr>
          <w:rFonts w:hint="eastAsia"/>
        </w:rPr>
        <w:t>=</w:t>
      </w:r>
      <w:r>
        <w:rPr>
          <w:rFonts w:hint="eastAsia"/>
          <w:lang w:val="en-US" w:eastAsia="zh-CN"/>
        </w:rPr>
        <w:t>3085.8</w:t>
      </w:r>
      <w:r>
        <w:rPr>
          <w:rFonts w:hint="eastAsia"/>
        </w:rPr>
        <w:t>万元。</w:t>
      </w:r>
    </w:p>
    <w:p>
      <w:pPr>
        <w:bidi w:val="0"/>
      </w:pPr>
      <w:r>
        <w:rPr>
          <w:rFonts w:hint="eastAsia"/>
        </w:rPr>
        <w:t>因此，拟建项目</w:t>
      </w:r>
      <w:r>
        <w:rPr>
          <w:rFonts w:hint="eastAsia"/>
          <w:lang w:val="en-US" w:eastAsia="zh-CN"/>
        </w:rPr>
        <w:t>投</w:t>
      </w:r>
      <w:r>
        <w:rPr>
          <w:rFonts w:hint="eastAsia"/>
        </w:rPr>
        <w:t>产</w:t>
      </w:r>
      <w:r>
        <w:rPr>
          <w:rFonts w:hint="eastAsia"/>
          <w:lang w:val="en-US" w:eastAsia="zh-CN"/>
        </w:rPr>
        <w:t>后</w:t>
      </w:r>
      <w:r>
        <w:rPr>
          <w:rFonts w:hint="eastAsia"/>
        </w:rPr>
        <w:t>年环境保护措施产生的净效益为</w:t>
      </w:r>
      <w:r>
        <w:rPr>
          <w:rFonts w:hint="eastAsia"/>
          <w:lang w:val="en-US" w:eastAsia="zh-CN"/>
        </w:rPr>
        <w:t>3085.8</w:t>
      </w:r>
      <w:r>
        <w:rPr>
          <w:rFonts w:hint="eastAsia"/>
        </w:rPr>
        <w:t>万元/年。</w:t>
      </w:r>
    </w:p>
    <w:p>
      <w:pPr>
        <w:bidi w:val="0"/>
        <w:rPr>
          <w:b/>
          <w:bCs/>
        </w:rPr>
      </w:pPr>
      <w:r>
        <w:rPr>
          <w:rFonts w:hint="eastAsia"/>
          <w:b/>
          <w:bCs/>
        </w:rPr>
        <w:t>（2）效益费用比</w:t>
      </w:r>
    </w:p>
    <w:p>
      <w:pPr>
        <w:bidi w:val="0"/>
      </w:pPr>
      <w:r>
        <w:rPr>
          <w:rFonts w:hint="eastAsia"/>
        </w:rPr>
        <w:t>在对工程环保措施进行经济分析时，若环保措施产生的效益与环保措施的投资及运行费用比大于或等于1，则从经济角度考虑，认为工程的环保措施是可行的，否则工程环保措施在经济上欠合理。</w:t>
      </w:r>
    </w:p>
    <w:p>
      <w:pPr>
        <w:bidi w:val="0"/>
      </w:pPr>
      <w:r>
        <w:rPr>
          <w:rFonts w:hint="eastAsia"/>
        </w:rPr>
        <w:t>拟建项目经济效益</w:t>
      </w:r>
      <w:r>
        <w:rPr>
          <w:rFonts w:hint="eastAsia"/>
          <w:lang w:val="en-US" w:eastAsia="zh-CN"/>
        </w:rPr>
        <w:t>3400</w:t>
      </w:r>
      <w:r>
        <w:rPr>
          <w:rFonts w:hint="eastAsia"/>
        </w:rPr>
        <w:t>万元/a与环保措施费用</w:t>
      </w:r>
      <w:r>
        <w:rPr>
          <w:rFonts w:hint="eastAsia"/>
          <w:lang w:val="en-US" w:eastAsia="zh-CN"/>
        </w:rPr>
        <w:t>314.2</w:t>
      </w:r>
      <w:r>
        <w:rPr>
          <w:rFonts w:hint="eastAsia"/>
        </w:rPr>
        <w:t>万元/a之比为</w:t>
      </w:r>
      <w:r>
        <w:rPr>
          <w:rFonts w:hint="eastAsia"/>
          <w:lang w:val="en-US" w:eastAsia="zh-CN"/>
        </w:rPr>
        <w:t>10.82</w:t>
      </w:r>
      <w:r>
        <w:rPr>
          <w:rFonts w:hint="eastAsia"/>
        </w:rPr>
        <w:t>，远大于1，表明拟建项目的环保措施在经济上是合理的，项目的环保措施综合经济效益指标良好，可实现环保设施的经济运行。</w:t>
      </w:r>
    </w:p>
    <w:p>
      <w:pPr>
        <w:bidi w:val="0"/>
      </w:pPr>
      <w:r>
        <w:rPr>
          <w:rFonts w:hint="eastAsia"/>
        </w:rPr>
        <w:t>综上所述，拟建项目无论是从年净效益分析，还是从效益费用比分析，均表明拟建项目的环保投资在经济上是合理可行的</w:t>
      </w:r>
      <w:r>
        <w:rPr>
          <w:rFonts w:hint="eastAsia"/>
          <w:lang w:eastAsia="zh-CN"/>
        </w:rPr>
        <w:t>，</w:t>
      </w:r>
      <w:r>
        <w:rPr>
          <w:rFonts w:hint="eastAsia"/>
          <w:lang w:val="en-US" w:eastAsia="zh-CN"/>
        </w:rPr>
        <w:t>其次</w:t>
      </w:r>
      <w:r>
        <w:rPr>
          <w:rFonts w:hint="eastAsia"/>
        </w:rPr>
        <w:t>拟建项目的建设不仅具有很大的社会效益，</w:t>
      </w:r>
      <w:r>
        <w:rPr>
          <w:rFonts w:hint="eastAsia"/>
          <w:lang w:val="en-US" w:eastAsia="zh-CN"/>
        </w:rPr>
        <w:t>同时</w:t>
      </w:r>
      <w:r>
        <w:rPr>
          <w:rFonts w:hint="eastAsia"/>
        </w:rPr>
        <w:t>通过对</w:t>
      </w:r>
      <w:r>
        <w:rPr>
          <w:rFonts w:hint="eastAsia"/>
          <w:lang w:val="en-US" w:eastAsia="zh-CN"/>
        </w:rPr>
        <w:t>肉羊的精深加工</w:t>
      </w:r>
      <w:r>
        <w:rPr>
          <w:rFonts w:hint="eastAsia"/>
        </w:rPr>
        <w:t>，还产生了良好的经济效益和环境效益，在生产过程中能比较好的做到社会效益、经济效益和环境效益的“三统一”。</w:t>
      </w:r>
    </w:p>
    <w:p>
      <w:pPr>
        <w:ind w:firstLine="480"/>
        <w:rPr>
          <w:rFonts w:hint="eastAsia"/>
        </w:rPr>
      </w:pPr>
    </w:p>
    <w:p>
      <w:pPr>
        <w:pStyle w:val="38"/>
        <w:rPr>
          <w:rFonts w:hint="eastAsia"/>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873" w:name="_Toc17813"/>
      <w:bookmarkStart w:id="874" w:name="_Toc18855"/>
      <w:bookmarkStart w:id="875" w:name="_Toc6472_WPSOffice_Level1"/>
      <w:bookmarkStart w:id="876" w:name="_Toc21646"/>
      <w:bookmarkStart w:id="877" w:name="_Toc7651"/>
      <w:bookmarkStart w:id="878" w:name="_Toc17713_WPSOffice_Level1"/>
      <w:bookmarkStart w:id="879" w:name="_Toc15146"/>
      <w:bookmarkStart w:id="880" w:name="_Toc2433"/>
      <w:bookmarkStart w:id="881" w:name="_Toc28260"/>
      <w:bookmarkStart w:id="882" w:name="_Toc11447"/>
      <w:r>
        <w:rPr>
          <w:rFonts w:hint="eastAsia"/>
          <w:lang w:val="en-US" w:eastAsia="zh-CN"/>
        </w:rPr>
        <w:t>9</w:t>
      </w:r>
      <w:r>
        <w:rPr>
          <w:rFonts w:hint="eastAsia"/>
        </w:rPr>
        <w:t>、产业政策与规划符合性</w:t>
      </w:r>
      <w:bookmarkEnd w:id="873"/>
      <w:bookmarkEnd w:id="874"/>
    </w:p>
    <w:bookmarkEnd w:id="875"/>
    <w:bookmarkEnd w:id="876"/>
    <w:p>
      <w:pPr>
        <w:pStyle w:val="5"/>
        <w:spacing w:before="78" w:after="78"/>
        <w:ind w:firstLine="562"/>
      </w:pPr>
      <w:bookmarkStart w:id="883" w:name="_Toc10077"/>
      <w:bookmarkStart w:id="884" w:name="_Toc16016"/>
      <w:bookmarkStart w:id="885" w:name="_Toc28716_WPSOffice_Level2"/>
      <w:bookmarkStart w:id="886" w:name="_Toc23374_WPSOffice_Level2"/>
      <w:r>
        <w:rPr>
          <w:rFonts w:hint="eastAsia"/>
          <w:lang w:val="en-US" w:eastAsia="zh-CN"/>
        </w:rPr>
        <w:t>9</w:t>
      </w:r>
      <w:r>
        <w:rPr>
          <w:rFonts w:hint="eastAsia"/>
        </w:rPr>
        <w:t>.1、</w:t>
      </w:r>
      <w:r>
        <w:t>产业政策符合性</w:t>
      </w:r>
      <w:bookmarkEnd w:id="883"/>
      <w:bookmarkEnd w:id="884"/>
      <w:bookmarkEnd w:id="885"/>
      <w:bookmarkEnd w:id="886"/>
    </w:p>
    <w:p>
      <w:pPr>
        <w:bidi w:val="0"/>
      </w:pPr>
      <w:r>
        <w:rPr>
          <w:rFonts w:hint="eastAsia"/>
        </w:rPr>
        <w:t>本项目属于屠宰及肉类加工行业，</w:t>
      </w:r>
      <w:r>
        <w:t>经检索《产业结构调整指导目录（2019年本）》</w:t>
      </w:r>
      <w:r>
        <w:rPr>
          <w:rFonts w:hint="eastAsia"/>
          <w:lang w:eastAsia="zh-CN"/>
        </w:rPr>
        <w:t>（</w:t>
      </w:r>
      <w:r>
        <w:rPr>
          <w:rFonts w:hint="eastAsia"/>
          <w:lang w:val="en-US" w:eastAsia="zh-CN"/>
        </w:rPr>
        <w:t>2021年12月27日第20次委务会议审议通过，2021年12月27日起施行</w:t>
      </w:r>
      <w:r>
        <w:rPr>
          <w:rFonts w:hint="eastAsia"/>
          <w:lang w:eastAsia="zh-CN"/>
        </w:rPr>
        <w:t>）</w:t>
      </w:r>
      <w:r>
        <w:t>，本项目属于名录中</w:t>
      </w:r>
      <w:r>
        <w:rPr>
          <w:rFonts w:hint="eastAsia"/>
        </w:rPr>
        <w:t>的</w:t>
      </w:r>
      <w:r>
        <w:t>第一条</w:t>
      </w:r>
      <w:r>
        <w:rPr>
          <w:rFonts w:hint="eastAsia"/>
        </w:rPr>
        <w:t>“</w:t>
      </w:r>
      <w:r>
        <w:t>农林业</w:t>
      </w:r>
      <w:r>
        <w:rPr>
          <w:rFonts w:hint="eastAsia"/>
        </w:rPr>
        <w:t>”中的“</w:t>
      </w:r>
      <w:r>
        <w:t>第26款</w:t>
      </w:r>
      <w:r>
        <w:rPr>
          <w:rFonts w:hint="eastAsia"/>
        </w:rPr>
        <w:t>，</w:t>
      </w:r>
      <w:r>
        <w:t>农林牧渔产品的储运、保鲜、加工及综合利用</w:t>
      </w:r>
      <w:r>
        <w:rPr>
          <w:rFonts w:hint="eastAsia"/>
        </w:rPr>
        <w:t>”</w:t>
      </w:r>
      <w:r>
        <w:t>，属鼓励类产业，项目建设符合国家产业政策。同时，</w:t>
      </w:r>
      <w:r>
        <w:rPr>
          <w:rFonts w:hint="eastAsia"/>
        </w:rPr>
        <w:t>本建设项目</w:t>
      </w:r>
      <w:r>
        <w:t>《企业投资项目核准和备案管理条例》及相关规定已完成网上备案，并获得</w:t>
      </w:r>
      <w:r>
        <w:rPr>
          <w:rFonts w:hint="eastAsia"/>
        </w:rPr>
        <w:t>张掖经济技术开发区经济发展局下发的</w:t>
      </w:r>
      <w:r>
        <w:t>《</w:t>
      </w:r>
      <w:r>
        <w:rPr>
          <w:rFonts w:hint="eastAsia"/>
        </w:rPr>
        <w:t>甘肃省</w:t>
      </w:r>
      <w:r>
        <w:t>投资项目</w:t>
      </w:r>
      <w:r>
        <w:rPr>
          <w:rFonts w:hint="eastAsia"/>
          <w:lang w:val="en-US" w:eastAsia="zh-CN"/>
        </w:rPr>
        <w:t>信用</w:t>
      </w:r>
      <w:r>
        <w:t>备案表》</w:t>
      </w:r>
      <w:r>
        <w:rPr>
          <w:rFonts w:hint="eastAsia"/>
        </w:rPr>
        <w:t>，备案号为：张经发字</w:t>
      </w:r>
      <w:r>
        <w:rPr>
          <w:rFonts w:hint="eastAsia"/>
          <w:lang w:eastAsia="zh-CN"/>
        </w:rPr>
        <w:t>（</w:t>
      </w:r>
      <w:r>
        <w:rPr>
          <w:rFonts w:hint="eastAsia"/>
        </w:rPr>
        <w:t>备</w:t>
      </w:r>
      <w:r>
        <w:rPr>
          <w:rFonts w:hint="eastAsia"/>
          <w:lang w:eastAsia="zh-CN"/>
        </w:rPr>
        <w:t>）〔</w:t>
      </w:r>
      <w:r>
        <w:rPr>
          <w:rFonts w:hint="eastAsia"/>
        </w:rPr>
        <w:t>2023</w:t>
      </w:r>
      <w:r>
        <w:rPr>
          <w:rFonts w:hint="eastAsia"/>
          <w:lang w:eastAsia="zh-CN"/>
        </w:rPr>
        <w:t>〕</w:t>
      </w:r>
      <w:r>
        <w:rPr>
          <w:rFonts w:hint="eastAsia"/>
        </w:rPr>
        <w:t>18号，</w:t>
      </w:r>
      <w:r>
        <w:t>备案</w:t>
      </w:r>
      <w:r>
        <w:rPr>
          <w:rFonts w:hint="eastAsia"/>
        </w:rPr>
        <w:t>证详见附件3</w:t>
      </w:r>
      <w:r>
        <w:t>。因此，本项目建设符合国家产业政策。</w:t>
      </w:r>
    </w:p>
    <w:p>
      <w:pPr>
        <w:pStyle w:val="5"/>
        <w:spacing w:before="78" w:after="78"/>
        <w:ind w:firstLine="562"/>
      </w:pPr>
      <w:bookmarkStart w:id="887" w:name="_Toc2362"/>
      <w:bookmarkStart w:id="888" w:name="_Toc15020"/>
      <w:bookmarkStart w:id="889" w:name="_Toc6297_WPSOffice_Level2"/>
      <w:bookmarkStart w:id="890" w:name="_Toc1705_WPSOffice_Level2"/>
      <w:r>
        <w:rPr>
          <w:rFonts w:hint="eastAsia"/>
          <w:lang w:val="en-US" w:eastAsia="zh-CN"/>
        </w:rPr>
        <w:t>9</w:t>
      </w:r>
      <w:r>
        <w:rPr>
          <w:rFonts w:hint="eastAsia"/>
        </w:rPr>
        <w:t>.2、</w:t>
      </w:r>
      <w:r>
        <w:t>平面布置</w:t>
      </w:r>
      <w:r>
        <w:rPr>
          <w:rFonts w:hint="eastAsia"/>
        </w:rPr>
        <w:t>的</w:t>
      </w:r>
      <w:r>
        <w:t>合理性分析</w:t>
      </w:r>
      <w:bookmarkEnd w:id="887"/>
      <w:bookmarkEnd w:id="888"/>
    </w:p>
    <w:p>
      <w:pPr>
        <w:ind w:firstLine="480"/>
      </w:pPr>
      <w:r>
        <w:t>本项目</w:t>
      </w:r>
      <w:r>
        <w:rPr>
          <w:rFonts w:hint="eastAsia"/>
        </w:rPr>
        <w:t>位于</w:t>
      </w:r>
      <w:r>
        <w:rPr>
          <w:rFonts w:hint="eastAsia"/>
          <w:lang w:val="en-US" w:eastAsia="zh-CN"/>
        </w:rPr>
        <w:t>张掖市沅博农牧产业开发有限公司院</w:t>
      </w:r>
      <w:r>
        <w:rPr>
          <w:rFonts w:hint="eastAsia"/>
        </w:rPr>
        <w:t>内，</w:t>
      </w:r>
      <w:r>
        <w:rPr>
          <w:rFonts w:hint="eastAsia"/>
          <w:lang w:val="en-US" w:eastAsia="zh-CN"/>
        </w:rPr>
        <w:t>拟建项目总体上位于公司现有厂区南侧，</w:t>
      </w:r>
      <w:r>
        <w:rPr>
          <w:rFonts w:hint="eastAsia"/>
        </w:rPr>
        <w:t>项目主要建设有</w:t>
      </w:r>
      <w:r>
        <w:rPr>
          <w:rFonts w:hint="eastAsia"/>
          <w:lang w:val="en-US" w:eastAsia="zh-CN"/>
        </w:rPr>
        <w:t>待宰圈1座、</w:t>
      </w:r>
      <w:r>
        <w:rPr>
          <w:rFonts w:hint="eastAsia"/>
        </w:rPr>
        <w:t>综合性生产车间1座和冷库</w:t>
      </w:r>
      <w:r>
        <w:rPr>
          <w:rFonts w:hint="eastAsia"/>
          <w:lang w:val="en-US" w:eastAsia="zh-CN"/>
        </w:rPr>
        <w:t>3</w:t>
      </w:r>
      <w:r>
        <w:rPr>
          <w:rFonts w:hint="eastAsia"/>
        </w:rPr>
        <w:t>座，其中</w:t>
      </w:r>
      <w:r>
        <w:rPr>
          <w:rFonts w:hint="eastAsia"/>
          <w:lang w:val="en-US" w:eastAsia="zh-CN"/>
        </w:rPr>
        <w:t>待宰圈位于拟建区域东侧，</w:t>
      </w:r>
      <w:r>
        <w:rPr>
          <w:rFonts w:hint="eastAsia"/>
        </w:rPr>
        <w:t>综合性生产车间位于</w:t>
      </w:r>
      <w:r>
        <w:rPr>
          <w:rFonts w:hint="eastAsia"/>
          <w:lang w:val="en-US" w:eastAsia="zh-CN"/>
        </w:rPr>
        <w:t>拟建区域中间位置，冷库位于拟建区域西侧，</w:t>
      </w:r>
      <w:r>
        <w:rPr>
          <w:rFonts w:hint="eastAsia"/>
        </w:rPr>
        <w:t>生活办公区依托现有</w:t>
      </w:r>
      <w:r>
        <w:t>。</w:t>
      </w:r>
      <w:r>
        <w:rPr>
          <w:rFonts w:hint="eastAsia"/>
          <w:lang w:val="en-US" w:eastAsia="zh-CN"/>
        </w:rPr>
        <w:t>新建的</w:t>
      </w:r>
      <w:r>
        <w:rPr>
          <w:rFonts w:hint="eastAsia"/>
        </w:rPr>
        <w:t>综合生产车间和</w:t>
      </w:r>
      <w:r>
        <w:rPr>
          <w:rFonts w:hint="eastAsia"/>
          <w:lang w:val="en-US" w:eastAsia="zh-CN"/>
        </w:rPr>
        <w:t>现有</w:t>
      </w:r>
      <w:r>
        <w:t>办公生活区两个</w:t>
      </w:r>
      <w:r>
        <w:rPr>
          <w:rFonts w:hint="eastAsia"/>
        </w:rPr>
        <w:t>区域之间间隔约</w:t>
      </w:r>
      <w:r>
        <w:rPr>
          <w:rFonts w:hint="eastAsia"/>
          <w:lang w:val="en-US" w:eastAsia="zh-CN"/>
        </w:rPr>
        <w:t>3</w:t>
      </w:r>
      <w:r>
        <w:rPr>
          <w:rFonts w:hint="eastAsia"/>
        </w:rPr>
        <w:t>00m</w:t>
      </w:r>
      <w:r>
        <w:t>，</w:t>
      </w:r>
      <w:r>
        <w:rPr>
          <w:rFonts w:hint="eastAsia"/>
        </w:rPr>
        <w:t>基本做到了</w:t>
      </w:r>
      <w:r>
        <w:t>生产区和办公生活等洁净区的相对分离</w:t>
      </w:r>
      <w:r>
        <w:rPr>
          <w:rFonts w:hint="eastAsia"/>
        </w:rPr>
        <w:t>，同时</w:t>
      </w:r>
      <w:r>
        <w:t>所在地</w:t>
      </w:r>
      <w:r>
        <w:rPr>
          <w:rFonts w:hint="eastAsia"/>
        </w:rPr>
        <w:t>常年</w:t>
      </w:r>
      <w:r>
        <w:t>主导风向为西北风，生活办公区处生产车间</w:t>
      </w:r>
      <w:r>
        <w:rPr>
          <w:rFonts w:hint="eastAsia"/>
          <w:lang w:val="en-US" w:eastAsia="zh-CN"/>
        </w:rPr>
        <w:t>侧风向</w:t>
      </w:r>
      <w:r>
        <w:t>，</w:t>
      </w:r>
      <w:r>
        <w:rPr>
          <w:rFonts w:hint="eastAsia"/>
        </w:rPr>
        <w:t>项目生产过程中产生的废气</w:t>
      </w:r>
      <w:r>
        <w:rPr>
          <w:rFonts w:hint="eastAsia"/>
          <w:lang w:val="en-US" w:eastAsia="zh-CN"/>
        </w:rPr>
        <w:t>早采取合理的废气处理措施后</w:t>
      </w:r>
      <w:r>
        <w:rPr>
          <w:rFonts w:hint="eastAsia"/>
        </w:rPr>
        <w:t>不会对生活办公区造成较大的影响；其次</w:t>
      </w:r>
      <w:r>
        <w:t>生活办公区与生产车间分离，</w:t>
      </w:r>
      <w:r>
        <w:rPr>
          <w:rFonts w:hint="eastAsia"/>
        </w:rPr>
        <w:t>生产过程中产生的噪声经车间隔声、距离衰减后也不会对生活办公区造成较大的影响</w:t>
      </w:r>
      <w:r>
        <w:t>。</w:t>
      </w:r>
      <w:r>
        <w:rPr>
          <w:rFonts w:hint="eastAsia"/>
        </w:rPr>
        <w:t>因此，总体上来说，本项目平面布置较为合理。本项目平面布置图详见附图9。</w:t>
      </w:r>
    </w:p>
    <w:p>
      <w:pPr>
        <w:pStyle w:val="5"/>
        <w:spacing w:before="78" w:after="78"/>
        <w:ind w:firstLine="562"/>
      </w:pPr>
      <w:bookmarkStart w:id="891" w:name="_Toc6328"/>
      <w:bookmarkStart w:id="892" w:name="_Toc20253"/>
      <w:r>
        <w:rPr>
          <w:rFonts w:hint="eastAsia"/>
          <w:lang w:val="en-US" w:eastAsia="zh-CN"/>
        </w:rPr>
        <w:t>9</w:t>
      </w:r>
      <w:r>
        <w:rPr>
          <w:rFonts w:hint="eastAsia"/>
        </w:rPr>
        <w:t>.3、选址合理性</w:t>
      </w:r>
      <w:r>
        <w:t>分析</w:t>
      </w:r>
      <w:bookmarkEnd w:id="891"/>
      <w:bookmarkEnd w:id="892"/>
    </w:p>
    <w:p>
      <w:pPr>
        <w:ind w:firstLine="482"/>
        <w:rPr>
          <w:b/>
          <w:bCs/>
        </w:rPr>
      </w:pPr>
      <w:r>
        <w:rPr>
          <w:rFonts w:hint="eastAsia"/>
          <w:b/>
          <w:bCs/>
        </w:rPr>
        <w:t>1、</w:t>
      </w:r>
      <w:r>
        <w:rPr>
          <w:b/>
          <w:bCs/>
        </w:rPr>
        <w:t>项目建设条件可行性分析</w:t>
      </w:r>
    </w:p>
    <w:p>
      <w:pPr>
        <w:ind w:firstLine="480"/>
      </w:pPr>
      <w:r>
        <w:t>本项目位于</w:t>
      </w:r>
      <w:r>
        <w:rPr>
          <w:rFonts w:hint="eastAsia"/>
          <w:lang w:eastAsia="zh-CN"/>
        </w:rPr>
        <w:t>张掖市甘州区巴吉滩农产品产业园张掖市沅博农牧产业开发有限公司</w:t>
      </w:r>
      <w:r>
        <w:rPr>
          <w:rFonts w:hint="eastAsia"/>
        </w:rPr>
        <w:t>院内</w:t>
      </w:r>
      <w:r>
        <w:t>，区域内地质稳定，无不良地质现象；项目</w:t>
      </w:r>
      <w:r>
        <w:rPr>
          <w:rFonts w:hint="eastAsia"/>
        </w:rPr>
        <w:t>使用的</w:t>
      </w:r>
      <w:r>
        <w:t>原材料</w:t>
      </w:r>
      <w:r>
        <w:rPr>
          <w:rFonts w:hint="eastAsia"/>
        </w:rPr>
        <w:t>（肉羊）全部从厂区西侧的活畜交易市场采购，</w:t>
      </w:r>
      <w:r>
        <w:t>供应有保障，能够满足项目原料的需求；项目临近</w:t>
      </w:r>
      <w:r>
        <w:rPr>
          <w:rFonts w:hint="eastAsia"/>
        </w:rPr>
        <w:t>S18</w:t>
      </w:r>
      <w:r>
        <w:t>高速，原料、产品外运交通条件较为便利；</w:t>
      </w:r>
      <w:r>
        <w:rPr>
          <w:rFonts w:hint="eastAsia"/>
        </w:rPr>
        <w:t>园区</w:t>
      </w:r>
      <w:r>
        <w:t>供水、排水、供电等基础设施完善。因此，从建设条件角度来看，本项目选址是合理的。</w:t>
      </w:r>
    </w:p>
    <w:p>
      <w:pPr>
        <w:ind w:firstLine="482"/>
        <w:rPr>
          <w:b/>
          <w:bCs/>
        </w:rPr>
      </w:pPr>
      <w:r>
        <w:rPr>
          <w:rFonts w:hint="eastAsia"/>
          <w:b/>
          <w:bCs/>
        </w:rPr>
        <w:t>2、与《食品生产通用卫生规范》（GB14881-2013）选址符合性分析</w:t>
      </w:r>
    </w:p>
    <w:p>
      <w:pPr>
        <w:ind w:firstLine="480"/>
      </w:pPr>
      <w:r>
        <w:rPr>
          <w:rFonts w:hint="eastAsia"/>
        </w:rPr>
        <w:t>本项目属于屠宰及肉类加工行业，本项目与《食品生产通用卫生规范》（GB14881-2013）选址符合性分析详见下表：</w:t>
      </w:r>
    </w:p>
    <w:p>
      <w:pPr>
        <w:spacing w:line="240" w:lineRule="auto"/>
        <w:ind w:firstLine="0" w:firstLineChars="0"/>
        <w:jc w:val="center"/>
        <w:rPr>
          <w:b/>
          <w:bCs/>
        </w:rPr>
      </w:pPr>
      <w:r>
        <w:rPr>
          <w:rFonts w:hint="eastAsia"/>
          <w:b/>
          <w:bCs/>
        </w:rPr>
        <w:t>表</w:t>
      </w:r>
      <w:r>
        <w:rPr>
          <w:rFonts w:hint="eastAsia"/>
          <w:b/>
          <w:bCs/>
          <w:lang w:val="en-US" w:eastAsia="zh-CN"/>
        </w:rPr>
        <w:t>9</w:t>
      </w:r>
      <w:r>
        <w:rPr>
          <w:rFonts w:hint="eastAsia"/>
          <w:b/>
          <w:bCs/>
        </w:rPr>
        <w:t>.1    与《食品生产通用卫生规范》（GB14881-2013）选址要求符合性</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32"/>
        <w:gridCol w:w="4659"/>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4" w:type="pct"/>
            <w:tcBorders>
              <w:tl2br w:val="nil"/>
              <w:tr2bl w:val="nil"/>
            </w:tcBorders>
            <w:vAlign w:val="center"/>
          </w:tcPr>
          <w:p>
            <w:pPr>
              <w:spacing w:line="240" w:lineRule="auto"/>
              <w:ind w:firstLine="0" w:firstLineChars="0"/>
              <w:jc w:val="center"/>
              <w:rPr>
                <w:b/>
                <w:bCs/>
                <w:sz w:val="21"/>
                <w:szCs w:val="21"/>
              </w:rPr>
            </w:pPr>
            <w:r>
              <w:rPr>
                <w:b/>
                <w:bCs/>
                <w:sz w:val="21"/>
                <w:szCs w:val="21"/>
              </w:rPr>
              <w:t>《食品生产通用卫生规范》（GB14881-2013）选址要求</w:t>
            </w:r>
          </w:p>
        </w:tc>
        <w:tc>
          <w:tcPr>
            <w:tcW w:w="2338" w:type="pct"/>
            <w:tcBorders>
              <w:tl2br w:val="nil"/>
              <w:tr2bl w:val="nil"/>
            </w:tcBorders>
            <w:vAlign w:val="center"/>
          </w:tcPr>
          <w:p>
            <w:pPr>
              <w:spacing w:line="240" w:lineRule="auto"/>
              <w:ind w:firstLine="0" w:firstLineChars="0"/>
              <w:jc w:val="center"/>
              <w:rPr>
                <w:b/>
                <w:bCs/>
                <w:sz w:val="21"/>
                <w:szCs w:val="21"/>
              </w:rPr>
            </w:pPr>
            <w:r>
              <w:rPr>
                <w:b/>
                <w:bCs/>
                <w:sz w:val="21"/>
                <w:szCs w:val="21"/>
              </w:rPr>
              <w:t>本项目</w:t>
            </w:r>
          </w:p>
        </w:tc>
        <w:tc>
          <w:tcPr>
            <w:tcW w:w="437" w:type="pct"/>
            <w:tcBorders>
              <w:tl2br w:val="nil"/>
              <w:tr2bl w:val="nil"/>
            </w:tcBorders>
            <w:vAlign w:val="center"/>
          </w:tcPr>
          <w:p>
            <w:pPr>
              <w:spacing w:line="240" w:lineRule="auto"/>
              <w:ind w:firstLine="0" w:firstLineChars="0"/>
              <w:jc w:val="center"/>
              <w:rPr>
                <w:b/>
                <w:bCs/>
                <w:sz w:val="21"/>
                <w:szCs w:val="21"/>
              </w:rPr>
            </w:pPr>
            <w:r>
              <w:rPr>
                <w:b/>
                <w:bCs/>
                <w:sz w:val="21"/>
                <w:szCs w:val="21"/>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4" w:type="pct"/>
            <w:tcBorders>
              <w:tl2br w:val="nil"/>
              <w:tr2bl w:val="nil"/>
            </w:tcBorders>
            <w:vAlign w:val="center"/>
          </w:tcPr>
          <w:p>
            <w:pPr>
              <w:spacing w:line="240" w:lineRule="auto"/>
              <w:ind w:firstLine="0" w:firstLineChars="0"/>
              <w:jc w:val="center"/>
              <w:rPr>
                <w:sz w:val="21"/>
                <w:szCs w:val="21"/>
              </w:rPr>
            </w:pPr>
            <w:r>
              <w:rPr>
                <w:sz w:val="21"/>
                <w:szCs w:val="21"/>
              </w:rPr>
              <w:t>厂区不应选择对食品有显著污染的区域。如某地对食品安全和食品宜食性存在明显的不利影响，且无法通过采取措施加以改善，应避免在该地址建厂。</w:t>
            </w:r>
          </w:p>
        </w:tc>
        <w:tc>
          <w:tcPr>
            <w:tcW w:w="2338" w:type="pct"/>
            <w:tcBorders>
              <w:tl2br w:val="nil"/>
              <w:tr2bl w:val="nil"/>
            </w:tcBorders>
            <w:vAlign w:val="center"/>
          </w:tcPr>
          <w:p>
            <w:pPr>
              <w:spacing w:line="240" w:lineRule="auto"/>
              <w:ind w:firstLine="0" w:firstLineChars="0"/>
              <w:jc w:val="center"/>
              <w:rPr>
                <w:sz w:val="21"/>
                <w:szCs w:val="21"/>
              </w:rPr>
            </w:pPr>
            <w:r>
              <w:rPr>
                <w:sz w:val="21"/>
                <w:szCs w:val="21"/>
              </w:rPr>
              <w:t>本项目位于</w:t>
            </w:r>
            <w:r>
              <w:rPr>
                <w:rFonts w:hint="eastAsia"/>
                <w:sz w:val="21"/>
                <w:szCs w:val="21"/>
                <w:lang w:eastAsia="zh-CN"/>
              </w:rPr>
              <w:t>张掖市甘州区巴吉滩农产品产业园张掖市沅博农牧产业开发有限公司</w:t>
            </w:r>
            <w:r>
              <w:rPr>
                <w:sz w:val="21"/>
                <w:szCs w:val="21"/>
              </w:rPr>
              <w:t>院内，周边企业全部为农副食品加工企业，不存在对食品显著污染的企业</w:t>
            </w:r>
          </w:p>
        </w:tc>
        <w:tc>
          <w:tcPr>
            <w:tcW w:w="437" w:type="pct"/>
            <w:tcBorders>
              <w:tl2br w:val="nil"/>
              <w:tr2bl w:val="nil"/>
            </w:tcBorders>
            <w:vAlign w:val="center"/>
          </w:tcPr>
          <w:p>
            <w:pPr>
              <w:spacing w:line="240" w:lineRule="auto"/>
              <w:ind w:firstLine="0" w:firstLineChars="0"/>
              <w:jc w:val="center"/>
              <w:rPr>
                <w:sz w:val="21"/>
                <w:szCs w:val="21"/>
              </w:rPr>
            </w:pPr>
            <w:r>
              <w:rPr>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4" w:type="pct"/>
            <w:tcBorders>
              <w:tl2br w:val="nil"/>
              <w:tr2bl w:val="nil"/>
            </w:tcBorders>
            <w:vAlign w:val="center"/>
          </w:tcPr>
          <w:p>
            <w:pPr>
              <w:spacing w:line="240" w:lineRule="auto"/>
              <w:ind w:firstLine="0" w:firstLineChars="0"/>
              <w:jc w:val="center"/>
              <w:rPr>
                <w:sz w:val="21"/>
                <w:szCs w:val="21"/>
              </w:rPr>
            </w:pPr>
            <w:r>
              <w:rPr>
                <w:sz w:val="21"/>
                <w:szCs w:val="21"/>
              </w:rPr>
              <w:t>厂区不应该选择有害废物以及粉尘、有害气体、放射性物质和气体扩散性污染源不能有效消除的地址</w:t>
            </w:r>
          </w:p>
        </w:tc>
        <w:tc>
          <w:tcPr>
            <w:tcW w:w="2338" w:type="pct"/>
            <w:tcBorders>
              <w:tl2br w:val="nil"/>
              <w:tr2bl w:val="nil"/>
            </w:tcBorders>
            <w:vAlign w:val="center"/>
          </w:tcPr>
          <w:p>
            <w:pPr>
              <w:spacing w:line="240" w:lineRule="auto"/>
              <w:ind w:firstLine="0" w:firstLineChars="0"/>
              <w:jc w:val="center"/>
              <w:rPr>
                <w:sz w:val="21"/>
                <w:szCs w:val="21"/>
              </w:rPr>
            </w:pPr>
            <w:r>
              <w:rPr>
                <w:sz w:val="21"/>
                <w:szCs w:val="21"/>
              </w:rPr>
              <w:t>拟建区域属于公司自有土地，历史上处于闲置状态，不存在有毒有害、放射性、扩散性污染源</w:t>
            </w:r>
          </w:p>
        </w:tc>
        <w:tc>
          <w:tcPr>
            <w:tcW w:w="437" w:type="pct"/>
            <w:tcBorders>
              <w:tl2br w:val="nil"/>
              <w:tr2bl w:val="nil"/>
            </w:tcBorders>
            <w:vAlign w:val="center"/>
          </w:tcPr>
          <w:p>
            <w:pPr>
              <w:spacing w:line="240" w:lineRule="auto"/>
              <w:ind w:firstLine="0" w:firstLineChars="0"/>
              <w:jc w:val="center"/>
              <w:rPr>
                <w:sz w:val="21"/>
                <w:szCs w:val="21"/>
              </w:rPr>
            </w:pPr>
            <w:r>
              <w:rPr>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4" w:type="pct"/>
            <w:tcBorders>
              <w:tl2br w:val="nil"/>
              <w:tr2bl w:val="nil"/>
            </w:tcBorders>
            <w:vAlign w:val="center"/>
          </w:tcPr>
          <w:p>
            <w:pPr>
              <w:spacing w:line="240" w:lineRule="auto"/>
              <w:ind w:firstLine="0" w:firstLineChars="0"/>
              <w:jc w:val="center"/>
              <w:rPr>
                <w:sz w:val="21"/>
                <w:szCs w:val="21"/>
              </w:rPr>
            </w:pPr>
            <w:r>
              <w:rPr>
                <w:sz w:val="21"/>
                <w:szCs w:val="21"/>
              </w:rPr>
              <w:t>厂区不宜选择易发生洪涝灾害的地区，难以避开时应设计必要的防范措施</w:t>
            </w:r>
          </w:p>
        </w:tc>
        <w:tc>
          <w:tcPr>
            <w:tcW w:w="2338" w:type="pct"/>
            <w:tcBorders>
              <w:tl2br w:val="nil"/>
              <w:tr2bl w:val="nil"/>
            </w:tcBorders>
            <w:vAlign w:val="center"/>
          </w:tcPr>
          <w:p>
            <w:pPr>
              <w:spacing w:line="240" w:lineRule="auto"/>
              <w:ind w:firstLine="0" w:firstLineChars="0"/>
              <w:jc w:val="center"/>
              <w:rPr>
                <w:sz w:val="21"/>
                <w:szCs w:val="21"/>
              </w:rPr>
            </w:pPr>
            <w:r>
              <w:rPr>
                <w:sz w:val="21"/>
                <w:szCs w:val="21"/>
              </w:rPr>
              <w:t>项目厂址地势较高，不受洪涝灾害威胁</w:t>
            </w:r>
          </w:p>
        </w:tc>
        <w:tc>
          <w:tcPr>
            <w:tcW w:w="437" w:type="pct"/>
            <w:tcBorders>
              <w:tl2br w:val="nil"/>
              <w:tr2bl w:val="nil"/>
            </w:tcBorders>
            <w:vAlign w:val="center"/>
          </w:tcPr>
          <w:p>
            <w:pPr>
              <w:spacing w:line="240" w:lineRule="auto"/>
              <w:ind w:firstLine="0" w:firstLineChars="0"/>
              <w:jc w:val="center"/>
              <w:rPr>
                <w:sz w:val="21"/>
                <w:szCs w:val="21"/>
              </w:rPr>
            </w:pPr>
            <w:r>
              <w:rPr>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4" w:type="pct"/>
            <w:tcBorders>
              <w:tl2br w:val="nil"/>
              <w:tr2bl w:val="nil"/>
            </w:tcBorders>
            <w:vAlign w:val="center"/>
          </w:tcPr>
          <w:p>
            <w:pPr>
              <w:spacing w:line="240" w:lineRule="auto"/>
              <w:ind w:firstLine="0" w:firstLineChars="0"/>
              <w:jc w:val="center"/>
              <w:rPr>
                <w:sz w:val="21"/>
                <w:szCs w:val="21"/>
              </w:rPr>
            </w:pPr>
            <w:r>
              <w:rPr>
                <w:sz w:val="21"/>
                <w:szCs w:val="21"/>
              </w:rPr>
              <w:t>厂区周围不宜有害虫大量滋生的潜在场所，难以避开时应设计必要的防范措施。</w:t>
            </w:r>
          </w:p>
        </w:tc>
        <w:tc>
          <w:tcPr>
            <w:tcW w:w="2338" w:type="pct"/>
            <w:tcBorders>
              <w:tl2br w:val="nil"/>
              <w:tr2bl w:val="nil"/>
            </w:tcBorders>
            <w:vAlign w:val="center"/>
          </w:tcPr>
          <w:p>
            <w:pPr>
              <w:spacing w:line="240" w:lineRule="auto"/>
              <w:ind w:firstLine="0" w:firstLineChars="0"/>
              <w:jc w:val="center"/>
              <w:rPr>
                <w:sz w:val="21"/>
                <w:szCs w:val="21"/>
              </w:rPr>
            </w:pPr>
            <w:r>
              <w:rPr>
                <w:sz w:val="21"/>
                <w:szCs w:val="21"/>
              </w:rPr>
              <w:t>项目厂区周边无潜在滋生大量虫害场所</w:t>
            </w:r>
          </w:p>
        </w:tc>
        <w:tc>
          <w:tcPr>
            <w:tcW w:w="437" w:type="pct"/>
            <w:tcBorders>
              <w:tl2br w:val="nil"/>
              <w:tr2bl w:val="nil"/>
            </w:tcBorders>
            <w:vAlign w:val="center"/>
          </w:tcPr>
          <w:p>
            <w:pPr>
              <w:spacing w:line="240" w:lineRule="auto"/>
              <w:ind w:firstLine="0" w:firstLineChars="0"/>
              <w:jc w:val="center"/>
              <w:rPr>
                <w:sz w:val="21"/>
                <w:szCs w:val="21"/>
              </w:rPr>
            </w:pPr>
            <w:r>
              <w:rPr>
                <w:sz w:val="21"/>
                <w:szCs w:val="21"/>
              </w:rPr>
              <w:t>符合</w:t>
            </w:r>
          </w:p>
        </w:tc>
      </w:tr>
    </w:tbl>
    <w:p>
      <w:pPr>
        <w:ind w:firstLine="480"/>
      </w:pPr>
      <w:r>
        <w:t>由上表可知，项目选址符合《食品生产通用卫生规范》</w:t>
      </w:r>
      <w:r>
        <w:rPr>
          <w:rFonts w:hint="eastAsia"/>
        </w:rPr>
        <w:t>（</w:t>
      </w:r>
      <w:r>
        <w:t>GB14881-2013</w:t>
      </w:r>
      <w:r>
        <w:rPr>
          <w:rFonts w:hint="eastAsia"/>
        </w:rPr>
        <w:t>）</w:t>
      </w:r>
      <w:r>
        <w:t>中选址要求。</w:t>
      </w:r>
    </w:p>
    <w:p>
      <w:pPr>
        <w:ind w:firstLine="482"/>
        <w:rPr>
          <w:b/>
          <w:bCs/>
        </w:rPr>
      </w:pPr>
      <w:r>
        <w:rPr>
          <w:rFonts w:hint="eastAsia"/>
          <w:b/>
          <w:bCs/>
        </w:rPr>
        <w:t>3、环境容量相容性分析</w:t>
      </w:r>
    </w:p>
    <w:p>
      <w:pPr>
        <w:ind w:firstLine="480"/>
      </w:pPr>
      <w:r>
        <w:t>项目区域大气环境、声环境、地表水环境现状数据表明，区域声环境现状较好</w:t>
      </w:r>
      <w:r>
        <w:rPr>
          <w:rFonts w:hint="eastAsia"/>
        </w:rPr>
        <w:t>，</w:t>
      </w:r>
      <w:r>
        <w:t>满足《声环境质量标准》（GB3096-2008）中的</w:t>
      </w:r>
      <w:r>
        <w:rPr>
          <w:rFonts w:hint="eastAsia"/>
        </w:rPr>
        <w:t>3</w:t>
      </w:r>
      <w:r>
        <w:t>类区标准；区域环境空气质量良好，满足《环境空气质量标准》（GB3095—2012）2级标准；地</w:t>
      </w:r>
      <w:r>
        <w:rPr>
          <w:rFonts w:hint="eastAsia"/>
        </w:rPr>
        <w:t>下</w:t>
      </w:r>
      <w:r>
        <w:t>水</w:t>
      </w:r>
      <w:r>
        <w:rPr>
          <w:rFonts w:hint="eastAsia"/>
        </w:rPr>
        <w:t>质量良好</w:t>
      </w:r>
      <w:r>
        <w:t>，能够达到《地</w:t>
      </w:r>
      <w:r>
        <w:rPr>
          <w:rFonts w:hint="eastAsia"/>
        </w:rPr>
        <w:t>下</w:t>
      </w:r>
      <w:r>
        <w:t>水环境质量标准》（GB</w:t>
      </w:r>
      <w:r>
        <w:rPr>
          <w:rFonts w:hint="eastAsia"/>
        </w:rPr>
        <w:t>/T14848</w:t>
      </w:r>
      <w:r>
        <w:t>—20</w:t>
      </w:r>
      <w:r>
        <w:rPr>
          <w:rFonts w:hint="eastAsia"/>
        </w:rPr>
        <w:t>17</w:t>
      </w:r>
      <w:r>
        <w:t>）中Ⅲ类</w:t>
      </w:r>
      <w:r>
        <w:rPr>
          <w:rFonts w:hint="eastAsia"/>
        </w:rPr>
        <w:t>水质</w:t>
      </w:r>
      <w:r>
        <w:t>标准。</w:t>
      </w:r>
    </w:p>
    <w:p>
      <w:pPr>
        <w:ind w:firstLine="480"/>
      </w:pPr>
      <w:r>
        <w:rPr>
          <w:rFonts w:hint="eastAsia"/>
        </w:rPr>
        <w:t>综上，</w:t>
      </w:r>
      <w:r>
        <w:t>项目选址处环境质量现状较好，满足各功能区划要求</w:t>
      </w:r>
      <w:r>
        <w:rPr>
          <w:rFonts w:hint="eastAsia"/>
        </w:rPr>
        <w:t>，</w:t>
      </w:r>
      <w:r>
        <w:t>项目区域具有一定的环境容量。因此，从环境容量相容角度来看，本项目选址是合理的。</w:t>
      </w:r>
    </w:p>
    <w:p>
      <w:pPr>
        <w:ind w:firstLine="482"/>
        <w:rPr>
          <w:b/>
          <w:bCs/>
        </w:rPr>
      </w:pPr>
      <w:r>
        <w:rPr>
          <w:rFonts w:hint="eastAsia"/>
          <w:b/>
          <w:bCs/>
        </w:rPr>
        <w:t>4、</w:t>
      </w:r>
      <w:r>
        <w:rPr>
          <w:b/>
          <w:bCs/>
        </w:rPr>
        <w:t>污染物达标可行性分析</w:t>
      </w:r>
    </w:p>
    <w:p>
      <w:pPr>
        <w:ind w:firstLine="480"/>
      </w:pPr>
      <w:r>
        <w:t>本项目产生的废气、废水均能实现达标排放，噪声得到控制，固体废物得到合理处置，项目建设对周围环境影响可接受。因此，从污染物达标排放角度来看，本项目选址是合理的。</w:t>
      </w:r>
    </w:p>
    <w:p>
      <w:pPr>
        <w:pStyle w:val="5"/>
        <w:spacing w:before="78" w:after="78"/>
        <w:ind w:firstLine="562"/>
        <w:rPr>
          <w:rFonts w:hint="eastAsia" w:eastAsia="宋体"/>
          <w:lang w:val="en-US" w:eastAsia="zh-CN"/>
        </w:rPr>
      </w:pPr>
      <w:bookmarkStart w:id="893" w:name="_Toc3070"/>
      <w:bookmarkStart w:id="894" w:name="_Toc12507"/>
      <w:r>
        <w:rPr>
          <w:rFonts w:hint="eastAsia"/>
          <w:lang w:val="en-US" w:eastAsia="zh-CN"/>
        </w:rPr>
        <w:t>9</w:t>
      </w:r>
      <w:r>
        <w:rPr>
          <w:rFonts w:hint="eastAsia"/>
        </w:rPr>
        <w:t>.4、</w:t>
      </w:r>
      <w:r>
        <w:t>规划符合性</w:t>
      </w:r>
      <w:bookmarkEnd w:id="889"/>
      <w:bookmarkEnd w:id="890"/>
      <w:bookmarkEnd w:id="893"/>
      <w:r>
        <w:rPr>
          <w:rFonts w:hint="eastAsia"/>
          <w:lang w:val="en-US" w:eastAsia="zh-CN"/>
        </w:rPr>
        <w:t>分析</w:t>
      </w:r>
      <w:bookmarkEnd w:id="894"/>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highlight w:val="none"/>
        </w:rPr>
      </w:pPr>
      <w:r>
        <w:rPr>
          <w:rFonts w:hint="eastAsia"/>
          <w:b/>
          <w:bCs/>
          <w:color w:val="auto"/>
          <w:highlight w:val="none"/>
          <w:lang w:val="en-US" w:eastAsia="zh-CN"/>
        </w:rPr>
        <w:t>1、</w:t>
      </w:r>
      <w:r>
        <w:rPr>
          <w:rFonts w:hint="eastAsia"/>
          <w:b/>
          <w:bCs/>
          <w:color w:val="auto"/>
          <w:highlight w:val="none"/>
        </w:rPr>
        <w:t>与《甘肃省国民经济和社会发展第十四个五年规划和2035年远景目标纲要》符合性分析</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auto"/>
          <w:highlight w:val="none"/>
        </w:rPr>
        <w:t>《甘肃省国民经济和社会发展第十四个五年规划和2035年远景目标纲要》中提出：培育千亿产业集群。实施产业基础高级化和产业链现代化攻坚战</w:t>
      </w:r>
      <w:r>
        <w:rPr>
          <w:rFonts w:hint="eastAsia"/>
          <w:color w:val="auto"/>
          <w:highlight w:val="none"/>
          <w:lang w:eastAsia="zh-CN"/>
        </w:rPr>
        <w:t>，</w:t>
      </w:r>
      <w:r>
        <w:rPr>
          <w:rFonts w:hint="eastAsia"/>
          <w:color w:val="auto"/>
          <w:highlight w:val="none"/>
        </w:rPr>
        <w:t>开展重点和优势产业链培育攻坚行动</w:t>
      </w:r>
      <w:r>
        <w:rPr>
          <w:rFonts w:hint="eastAsia"/>
          <w:color w:val="auto"/>
          <w:highlight w:val="none"/>
          <w:lang w:eastAsia="zh-CN"/>
        </w:rPr>
        <w:t>，</w:t>
      </w:r>
      <w:r>
        <w:rPr>
          <w:rFonts w:hint="eastAsia"/>
          <w:color w:val="auto"/>
          <w:highlight w:val="none"/>
        </w:rPr>
        <w:t>促进优势产业链由低端向高端迈进、由短链向长链发展。集中土地、人才、资本等要素资源</w:t>
      </w:r>
      <w:r>
        <w:rPr>
          <w:rFonts w:hint="eastAsia"/>
          <w:color w:val="auto"/>
          <w:highlight w:val="none"/>
          <w:lang w:eastAsia="zh-CN"/>
        </w:rPr>
        <w:t>，</w:t>
      </w:r>
      <w:r>
        <w:rPr>
          <w:rFonts w:hint="eastAsia"/>
          <w:color w:val="auto"/>
          <w:highlight w:val="none"/>
        </w:rPr>
        <w:t>综合运用财政、金融、税收、产业等政策</w:t>
      </w:r>
      <w:r>
        <w:rPr>
          <w:rFonts w:hint="eastAsia"/>
          <w:color w:val="auto"/>
          <w:highlight w:val="none"/>
          <w:lang w:eastAsia="zh-CN"/>
        </w:rPr>
        <w:t>，</w:t>
      </w:r>
      <w:r>
        <w:rPr>
          <w:rFonts w:hint="eastAsia"/>
          <w:color w:val="auto"/>
          <w:highlight w:val="none"/>
        </w:rPr>
        <w:t>在巩固提升石油化工、有色冶金产业集群基础上</w:t>
      </w:r>
      <w:r>
        <w:rPr>
          <w:rFonts w:hint="eastAsia"/>
          <w:color w:val="auto"/>
          <w:highlight w:val="none"/>
          <w:lang w:eastAsia="zh-CN"/>
        </w:rPr>
        <w:t>，</w:t>
      </w:r>
      <w:r>
        <w:rPr>
          <w:rFonts w:hint="eastAsia"/>
          <w:color w:val="auto"/>
          <w:highlight w:val="none"/>
        </w:rPr>
        <w:t>着力培育特色农产品、数字智能、生物医药、新能源新材料、文旅康养、路衍经济等千亿级产业集群。</w:t>
      </w:r>
      <w:r>
        <w:rPr>
          <w:rFonts w:hint="eastAsia"/>
        </w:rPr>
        <w:t>打造百亿园区。依托各级开发区等重大平台和载体</w:t>
      </w:r>
      <w:r>
        <w:rPr>
          <w:rFonts w:hint="eastAsia"/>
          <w:lang w:eastAsia="zh-CN"/>
        </w:rPr>
        <w:t>，</w:t>
      </w:r>
      <w:r>
        <w:rPr>
          <w:rFonts w:hint="eastAsia"/>
        </w:rPr>
        <w:t>充分发挥要素成本资源和通道等优势</w:t>
      </w:r>
      <w:r>
        <w:rPr>
          <w:rFonts w:hint="eastAsia"/>
          <w:lang w:eastAsia="zh-CN"/>
        </w:rPr>
        <w:t>，</w:t>
      </w:r>
      <w:r>
        <w:rPr>
          <w:rFonts w:hint="eastAsia"/>
        </w:rPr>
        <w:t>集中优质要素向园区配置</w:t>
      </w:r>
      <w:r>
        <w:rPr>
          <w:rFonts w:hint="eastAsia"/>
          <w:lang w:eastAsia="zh-CN"/>
        </w:rPr>
        <w:t>，</w:t>
      </w:r>
      <w:r>
        <w:rPr>
          <w:rFonts w:hint="eastAsia"/>
        </w:rPr>
        <w:t>引导产业项目在园区落地。重点打造12个百亿园区。</w:t>
      </w:r>
      <w:r>
        <w:rPr>
          <w:rFonts w:hint="eastAsia"/>
          <w:lang w:val="en-US" w:eastAsia="zh-CN"/>
        </w:rPr>
        <w:t>其中对张披经济技术开发区的要求为：重点发展农副产品加工、生物医药、智能制造等，力争产值达到160亿元。</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auto"/>
          <w:highlight w:val="none"/>
          <w:lang w:val="en-US" w:eastAsia="zh-CN"/>
        </w:rPr>
        <w:t>本项目</w:t>
      </w:r>
      <w:r>
        <w:rPr>
          <w:rFonts w:hint="eastAsia"/>
        </w:rPr>
        <w:t>属于屠宰及肉类加工行业</w:t>
      </w:r>
      <w:r>
        <w:rPr>
          <w:rFonts w:hint="eastAsia"/>
          <w:lang w:eastAsia="zh-CN"/>
        </w:rPr>
        <w:t>，</w:t>
      </w:r>
      <w:r>
        <w:rPr>
          <w:rFonts w:hint="eastAsia"/>
          <w:lang w:val="en-US" w:eastAsia="zh-CN"/>
        </w:rPr>
        <w:t>根据《国民经济行业分类》（GB/T4754—2017）可知，本项目属于“C13/农副食品加工业”中的“C135/屠宰及肉类加工”，因此，总体上来说，本项目符合</w:t>
      </w:r>
      <w:r>
        <w:rPr>
          <w:rFonts w:hint="eastAsia"/>
          <w:color w:val="auto"/>
          <w:highlight w:val="none"/>
        </w:rPr>
        <w:t>《甘肃省国民经济和社会发展第十四个五年规划和2035年远景目标纲要》</w:t>
      </w:r>
      <w:r>
        <w:rPr>
          <w:rFonts w:hint="eastAsia"/>
          <w:color w:val="auto"/>
          <w:highlight w:val="none"/>
          <w:lang w:val="en-US" w:eastAsia="zh-CN"/>
        </w:rPr>
        <w:t>中的发展规划要求。</w:t>
      </w:r>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highlight w:val="none"/>
        </w:rPr>
      </w:pPr>
      <w:r>
        <w:rPr>
          <w:rFonts w:hint="eastAsia"/>
          <w:b/>
          <w:bCs/>
          <w:color w:val="auto"/>
          <w:highlight w:val="none"/>
          <w:lang w:val="en-US" w:eastAsia="zh-CN"/>
        </w:rPr>
        <w:t>2、</w:t>
      </w:r>
      <w:r>
        <w:rPr>
          <w:rFonts w:hint="eastAsia"/>
          <w:b/>
          <w:bCs/>
          <w:color w:val="auto"/>
          <w:highlight w:val="none"/>
        </w:rPr>
        <w:t>与《中共张掖市委关于制定张掖市国民经济和社会发展第十四个五年规划和二〇三五年远景目标的建议》符合性分析</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rPr>
      </w:pPr>
      <w:r>
        <w:rPr>
          <w:rFonts w:hint="eastAsia"/>
          <w:color w:val="auto"/>
          <w:highlight w:val="none"/>
        </w:rPr>
        <w:t>《中共张掖市委关于制定张掖市国民经济和社会发展第十四个五年规划和二〇三五年远景目标的建议》中提出：</w:t>
      </w:r>
      <w:r>
        <w:rPr>
          <w:rFonts w:hint="eastAsia"/>
          <w:color w:val="auto"/>
          <w:highlight w:val="none"/>
          <w:lang w:eastAsia="zh-CN"/>
        </w:rPr>
        <w:t>“加快培育特色生态产业化集群。集中力量打造绿色蔬菜、奶牛肉牛、现代种业、智能温室、</w:t>
      </w:r>
      <w:r>
        <w:rPr>
          <w:rFonts w:hint="eastAsia"/>
          <w:b w:val="0"/>
          <w:bCs w:val="0"/>
          <w:color w:val="auto"/>
          <w:highlight w:val="none"/>
          <w:lang w:eastAsia="zh-CN"/>
        </w:rPr>
        <w:t>农畜产品加工</w:t>
      </w:r>
      <w:r>
        <w:rPr>
          <w:rFonts w:hint="eastAsia"/>
          <w:color w:val="auto"/>
          <w:highlight w:val="none"/>
          <w:lang w:eastAsia="zh-CN"/>
        </w:rPr>
        <w:t>、智能制造、清洁能源、通用航空、以凹凸棒石为重点的新材料、文旅康养等百亿元产业体系，构建更具竞争力的现代化产业格局。支持农业产业化龙头企业“种养加销”全产业链发展，打造西部牛羊基地和优质乳源生产基地。”</w:t>
      </w:r>
    </w:p>
    <w:p>
      <w:pPr>
        <w:keepNext w:val="0"/>
        <w:keepLines w:val="0"/>
        <w:pageBreakBefore w:val="0"/>
        <w:widowControl w:val="0"/>
        <w:kinsoku/>
        <w:wordWrap/>
        <w:overflowPunct/>
        <w:topLinePunct w:val="0"/>
        <w:autoSpaceDE/>
        <w:autoSpaceDN/>
        <w:bidi w:val="0"/>
        <w:adjustRightInd/>
        <w:snapToGrid/>
        <w:textAlignment w:val="auto"/>
        <w:rPr>
          <w:color w:val="auto"/>
          <w:highlight w:val="none"/>
        </w:rPr>
      </w:pPr>
      <w:r>
        <w:rPr>
          <w:rFonts w:hint="eastAsia"/>
          <w:color w:val="auto"/>
          <w:highlight w:val="none"/>
          <w:lang w:val="en-US" w:eastAsia="zh-CN"/>
        </w:rPr>
        <w:t>本项目</w:t>
      </w:r>
      <w:r>
        <w:rPr>
          <w:rFonts w:hint="eastAsia"/>
        </w:rPr>
        <w:t>属于</w:t>
      </w:r>
      <w:r>
        <w:rPr>
          <w:rFonts w:hint="eastAsia"/>
          <w:lang w:val="en-US" w:eastAsia="zh-CN"/>
        </w:rPr>
        <w:t>主要是利用公司现有的活畜交易收购的肉羊为原料，然后对肉羊进行精深加工，本项目的建设有利于促进张掖肉羊产业集群化、链条化发展，因此，总体上来说，本项目符合</w:t>
      </w:r>
      <w:r>
        <w:rPr>
          <w:rFonts w:hint="eastAsia"/>
          <w:color w:val="auto"/>
          <w:highlight w:val="none"/>
        </w:rPr>
        <w:t>《甘肃省国民经济和社会发展第十四个五年规划和2035年远景目标纲要》</w:t>
      </w:r>
      <w:r>
        <w:rPr>
          <w:rFonts w:hint="eastAsia"/>
          <w:color w:val="auto"/>
          <w:highlight w:val="none"/>
          <w:lang w:val="en-US" w:eastAsia="zh-CN"/>
        </w:rPr>
        <w:t>中的发展规划要求。</w:t>
      </w:r>
    </w:p>
    <w:p>
      <w:pPr>
        <w:ind w:firstLine="482" w:firstLineChars="200"/>
        <w:jc w:val="both"/>
        <w:rPr>
          <w:b/>
        </w:rPr>
      </w:pPr>
      <w:r>
        <w:rPr>
          <w:rFonts w:hint="eastAsia"/>
          <w:b/>
          <w:lang w:val="en-US" w:eastAsia="zh-CN"/>
        </w:rPr>
        <w:t>3、</w:t>
      </w:r>
      <w:r>
        <w:rPr>
          <w:rFonts w:hint="eastAsia"/>
          <w:b/>
        </w:rPr>
        <w:t>与《张掖市人民政府办公室关于印发张掖市投资项目禁限目录（试行）的通知》（张政办发〔2022〕6号）符合性分析</w:t>
      </w:r>
    </w:p>
    <w:p>
      <w:pPr>
        <w:bidi w:val="0"/>
        <w:rPr>
          <w:rFonts w:hint="eastAsia"/>
          <w:lang w:eastAsia="zh-CN"/>
        </w:rPr>
      </w:pPr>
      <w:r>
        <w:rPr>
          <w:rFonts w:hint="eastAsia"/>
        </w:rPr>
        <w:t>根据《张掖市人民政府办公室关于印发张掖市投资项目禁限目录（试行）的通知》（张政办发〔2022〕6号）</w:t>
      </w:r>
      <w:r>
        <w:rPr>
          <w:rFonts w:hint="eastAsia"/>
          <w:lang w:val="en-US" w:eastAsia="zh-CN"/>
        </w:rPr>
        <w:t>可知</w:t>
      </w:r>
      <w:r>
        <w:rPr>
          <w:rFonts w:hint="eastAsia"/>
        </w:rPr>
        <w:t>，本项目不属于《张掖市投资项目禁限目录（试行）》中禁止类和限制类，符合张掖市</w:t>
      </w:r>
      <w:r>
        <w:t>产业政策要求</w:t>
      </w:r>
      <w:r>
        <w:rPr>
          <w:rFonts w:hint="eastAsia"/>
        </w:rPr>
        <w:t>。</w:t>
      </w:r>
    </w:p>
    <w:p>
      <w:pPr>
        <w:ind w:firstLine="480"/>
        <w:rPr>
          <w:rFonts w:hint="default" w:eastAsia="宋体"/>
          <w:b/>
          <w:bCs/>
          <w:color w:val="auto"/>
          <w:lang w:val="en-US" w:eastAsia="zh-CN"/>
        </w:rPr>
      </w:pPr>
      <w:r>
        <w:rPr>
          <w:rFonts w:hint="eastAsia"/>
          <w:b/>
          <w:bCs/>
          <w:color w:val="auto"/>
          <w:lang w:val="en-US" w:eastAsia="zh-CN"/>
        </w:rPr>
        <w:t>4、与</w:t>
      </w:r>
      <w:r>
        <w:rPr>
          <w:b/>
          <w:bCs/>
          <w:color w:val="auto"/>
        </w:rPr>
        <w:t>张掖市甘州区巴吉滩农产品产业园</w:t>
      </w:r>
      <w:r>
        <w:rPr>
          <w:rFonts w:hint="eastAsia"/>
          <w:b/>
          <w:bCs/>
          <w:color w:val="auto"/>
          <w:lang w:val="en-US" w:eastAsia="zh-CN"/>
        </w:rPr>
        <w:t>规划的符合性</w:t>
      </w:r>
      <w:r>
        <w:rPr>
          <w:rFonts w:hint="eastAsia"/>
          <w:b/>
          <w:bCs/>
          <w:color w:val="auto"/>
          <w:highlight w:val="none"/>
        </w:rPr>
        <w:t>分析</w:t>
      </w:r>
    </w:p>
    <w:p>
      <w:pPr>
        <w:ind w:firstLine="480"/>
        <w:rPr>
          <w:color w:val="auto"/>
        </w:rPr>
      </w:pPr>
      <w:r>
        <w:rPr>
          <w:color w:val="auto"/>
        </w:rPr>
        <w:t>张掖经济技术开发区是于2013年3月由国务院批准建立的国家级工业园区，园区总面积73.27km</w:t>
      </w:r>
      <w:r>
        <w:rPr>
          <w:color w:val="auto"/>
          <w:vertAlign w:val="superscript"/>
        </w:rPr>
        <w:t>2</w:t>
      </w:r>
      <w:r>
        <w:rPr>
          <w:color w:val="auto"/>
        </w:rPr>
        <w:t>，目前已形成生态科技产业园（城区东北郊）、循环经济示范园（城区以北13km）、农产品产业园（甘浚镇）和煤化工产业园（平山湖蒙古族乡）等“一区四园”的发展格局。</w:t>
      </w:r>
    </w:p>
    <w:p>
      <w:pPr>
        <w:bidi w:val="0"/>
      </w:pPr>
      <w:r>
        <w:rPr>
          <w:color w:val="auto"/>
        </w:rPr>
        <w:t>本项目位于张掖市甘州区巴吉滩农产品产业园</w:t>
      </w:r>
      <w:r>
        <w:rPr>
          <w:rFonts w:hint="eastAsia"/>
          <w:color w:val="auto"/>
          <w:lang w:val="en-US" w:eastAsia="zh-CN"/>
        </w:rPr>
        <w:t>张掖市沅博农牧产业开发有限公司</w:t>
      </w:r>
      <w:r>
        <w:rPr>
          <w:rFonts w:hint="eastAsia"/>
          <w:color w:val="auto"/>
        </w:rPr>
        <w:t>院内</w:t>
      </w:r>
      <w:r>
        <w:rPr>
          <w:color w:val="auto"/>
        </w:rPr>
        <w:t>，目前，</w:t>
      </w:r>
      <w:r>
        <w:rPr>
          <w:rFonts w:hint="eastAsia"/>
          <w:color w:val="auto"/>
          <w:lang w:val="en-US" w:eastAsia="zh-CN"/>
        </w:rPr>
        <w:t>经与当地生态环境保护部门沟通后，</w:t>
      </w:r>
      <w:r>
        <w:rPr>
          <w:color w:val="auto"/>
        </w:rPr>
        <w:t>该园区规划正在编写当中。</w:t>
      </w:r>
      <w:r>
        <w:rPr>
          <w:color w:val="FF0000"/>
        </w:rPr>
        <w:t>根据张掖经济技术开发区规划建设局证明，</w:t>
      </w:r>
      <w:r>
        <w:rPr>
          <w:rFonts w:hint="eastAsia"/>
          <w:color w:val="FF0000"/>
          <w:lang w:eastAsia="zh-CN"/>
        </w:rPr>
        <w:t>张掖市沅博农牧产业开发有限公司</w:t>
      </w:r>
      <w:r>
        <w:rPr>
          <w:rFonts w:hint="eastAsia"/>
          <w:color w:val="FF0000"/>
        </w:rPr>
        <w:t>“</w:t>
      </w:r>
      <w:r>
        <w:rPr>
          <w:color w:val="FF0000"/>
        </w:rPr>
        <w:t>60万只肉羊精深分割及牛羊预制品加工项目</w:t>
      </w:r>
      <w:r>
        <w:rPr>
          <w:rFonts w:hint="eastAsia"/>
          <w:color w:val="FF0000"/>
        </w:rPr>
        <w:t>”</w:t>
      </w:r>
      <w:r>
        <w:rPr>
          <w:color w:val="FF0000"/>
        </w:rPr>
        <w:t>厂址位于张掖经济技术开发区巴吉滩农产品产业园张肃公路19公里处，建设用地面积</w:t>
      </w:r>
      <w:r>
        <w:rPr>
          <w:rFonts w:hint="eastAsia"/>
          <w:color w:val="FF0000"/>
        </w:rPr>
        <w:t>25000</w:t>
      </w:r>
      <w:r>
        <w:rPr>
          <w:color w:val="FF0000"/>
        </w:rPr>
        <w:t>平方米，用地性质属于二类工业用地。该项目选址符合《张掖经济技术开发区巴吉滩产业园总体规划（2014-2030）》。</w:t>
      </w:r>
    </w:p>
    <w:p>
      <w:pPr>
        <w:pStyle w:val="5"/>
        <w:spacing w:before="78" w:after="78"/>
        <w:ind w:firstLine="562"/>
      </w:pPr>
      <w:bookmarkStart w:id="895" w:name="_Toc26926"/>
      <w:bookmarkStart w:id="896" w:name="_Toc8975"/>
      <w:r>
        <w:rPr>
          <w:rFonts w:hint="eastAsia"/>
          <w:lang w:val="en-US" w:eastAsia="zh-CN"/>
        </w:rPr>
        <w:t>9</w:t>
      </w:r>
      <w:r>
        <w:rPr>
          <w:rFonts w:hint="eastAsia"/>
        </w:rPr>
        <w:t>.5、与“三线一单”的符合性分析</w:t>
      </w:r>
      <w:bookmarkEnd w:id="895"/>
      <w:bookmarkEnd w:id="896"/>
    </w:p>
    <w:p>
      <w:pPr>
        <w:ind w:firstLine="482"/>
        <w:rPr>
          <w:b/>
          <w:bCs/>
        </w:rPr>
      </w:pPr>
      <w:r>
        <w:rPr>
          <w:rFonts w:hint="eastAsia"/>
          <w:b/>
          <w:bCs/>
        </w:rPr>
        <w:t>（1）生态保护红线</w:t>
      </w:r>
    </w:p>
    <w:p>
      <w:pPr>
        <w:ind w:firstLine="480"/>
      </w:pPr>
      <w:r>
        <w:rPr>
          <w:rFonts w:hint="eastAsia"/>
        </w:rPr>
        <w:t>生态保护红线是指生态空间范围内具有特殊重要生态功能必须实行强制性严格保护的区域。</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院内。根据《关于印发</w:t>
      </w:r>
      <w:r>
        <w:t>&lt;</w:t>
      </w:r>
      <w:r>
        <w:rPr>
          <w:rFonts w:hint="eastAsia"/>
        </w:rPr>
        <w:t>生态保护红线划定指南</w:t>
      </w:r>
      <w:r>
        <w:t>&gt;</w:t>
      </w:r>
      <w:r>
        <w:rPr>
          <w:rFonts w:hint="eastAsia"/>
        </w:rPr>
        <w:t>的通知》中结合自然边界、自然保护区、风景名胜区等各类保护地边界、江河、湖库以及海岸等向陆域延伸一定距离的边界、地理国情普查、全国土地调查、森林草原湿地荒漠等自然资源调查等明确的地块边界划定生态保护红线的原则，本项目所在地不涉及划定指南中相关区域，因此判定项目建设不涉及生态红线保护区域，符合生态保护红线要求。</w:t>
      </w:r>
    </w:p>
    <w:p>
      <w:pPr>
        <w:ind w:firstLine="482"/>
        <w:rPr>
          <w:b/>
          <w:bCs/>
        </w:rPr>
      </w:pPr>
      <w:r>
        <w:rPr>
          <w:rFonts w:hint="eastAsia"/>
          <w:b/>
          <w:bCs/>
        </w:rPr>
        <w:t>（2）环境质量底线</w:t>
      </w:r>
    </w:p>
    <w:p>
      <w:pPr>
        <w:ind w:firstLine="480"/>
      </w:pPr>
      <w:r>
        <w:rPr>
          <w:rFonts w:hint="eastAsia"/>
        </w:rPr>
        <w:t>环境质量底线就是只能改善周边环境质量不能恶化周边环境质量。大气环境质量底线就是在符</w:t>
      </w:r>
      <w:r>
        <w:rPr>
          <w:rFonts w:hint="eastAsia" w:ascii="宋体" w:hAnsi="宋体" w:cs="宋体"/>
          <w:kern w:val="0"/>
          <w:lang w:bidi="ar"/>
        </w:rPr>
        <w:t>合大气环区域功能区划和大气环境管理的基础上，确保大气污染物排放不对区域功能区划造成影响，污染物排放总量低于大气环境容量。</w:t>
      </w:r>
    </w:p>
    <w:p>
      <w:pPr>
        <w:ind w:firstLine="480"/>
      </w:pPr>
      <w:r>
        <w:rPr>
          <w:rFonts w:hint="eastAsia"/>
        </w:rPr>
        <w:t>①空气：项目大气执行《环境空气质量标准》（</w:t>
      </w:r>
      <w:r>
        <w:t>GB3095</w:t>
      </w:r>
      <w:r>
        <w:rPr>
          <w:rFonts w:hint="eastAsia"/>
        </w:rPr>
        <w:t>—</w:t>
      </w:r>
      <w:r>
        <w:t>2012</w:t>
      </w:r>
      <w:r>
        <w:rPr>
          <w:rFonts w:hint="eastAsia"/>
        </w:rPr>
        <w:t>）中二级标准，项目在严格执行环评中所提出的</w:t>
      </w:r>
      <w:r>
        <w:t>H</w:t>
      </w:r>
      <w:r>
        <w:rPr>
          <w:vertAlign w:val="subscript"/>
        </w:rPr>
        <w:t>2</w:t>
      </w:r>
      <w:r>
        <w:t>S</w:t>
      </w:r>
      <w:r>
        <w:rPr>
          <w:rFonts w:hint="eastAsia"/>
        </w:rPr>
        <w:t>、</w:t>
      </w:r>
      <w:r>
        <w:t>NH</w:t>
      </w:r>
      <w:r>
        <w:rPr>
          <w:vertAlign w:val="subscript"/>
        </w:rPr>
        <w:t>3</w:t>
      </w:r>
      <w:r>
        <w:rPr>
          <w:rFonts w:hint="eastAsia"/>
        </w:rPr>
        <w:t>等废气治理措施后，</w:t>
      </w:r>
      <w:r>
        <w:t>H</w:t>
      </w:r>
      <w:r>
        <w:rPr>
          <w:vertAlign w:val="subscript"/>
        </w:rPr>
        <w:t>2</w:t>
      </w:r>
      <w:r>
        <w:t>S</w:t>
      </w:r>
      <w:r>
        <w:rPr>
          <w:rFonts w:hint="eastAsia"/>
        </w:rPr>
        <w:t>、</w:t>
      </w:r>
      <w:r>
        <w:t>NH</w:t>
      </w:r>
      <w:r>
        <w:rPr>
          <w:vertAlign w:val="subscript"/>
        </w:rPr>
        <w:t>3</w:t>
      </w:r>
      <w:r>
        <w:rPr>
          <w:rFonts w:hint="eastAsia"/>
        </w:rPr>
        <w:t>排放能够满足相应的排放标准，排放量较少，对环境空气影响较小，不会降低区域环境空气质量。</w:t>
      </w:r>
    </w:p>
    <w:p>
      <w:pPr>
        <w:ind w:firstLine="480"/>
      </w:pPr>
      <w:r>
        <w:rPr>
          <w:rFonts w:hint="eastAsia"/>
        </w:rPr>
        <w:t>②水环境：区域环境保护以水环境保护为重点，项目区附近的地表水划分为III类功能区，执行国家《地表水环境质量标准》（</w:t>
      </w:r>
      <w:r>
        <w:t>GB3838—2002</w:t>
      </w:r>
      <w:r>
        <w:rPr>
          <w:rFonts w:hint="eastAsia"/>
        </w:rPr>
        <w:t>）III类标准。地下水环境质量执行《地下水质量标准》（</w:t>
      </w:r>
      <w:r>
        <w:t>GB/T14848—2017</w:t>
      </w:r>
      <w:r>
        <w:rPr>
          <w:rFonts w:hint="eastAsia"/>
        </w:rPr>
        <w:t>）中Ⅲ类标准。项目废水均得到有效处理，对周边水环境质量影响较小，不会降低区域水环境质量。</w:t>
      </w:r>
    </w:p>
    <w:p>
      <w:pPr>
        <w:ind w:firstLine="480"/>
      </w:pPr>
      <w:r>
        <w:rPr>
          <w:rFonts w:hint="eastAsia"/>
        </w:rPr>
        <w:t>③噪声：根据《声环境质量标准》（</w:t>
      </w:r>
      <w:r>
        <w:t>GB3096</w:t>
      </w:r>
      <w:r>
        <w:rPr>
          <w:rFonts w:hint="eastAsia"/>
        </w:rPr>
        <w:t>—</w:t>
      </w:r>
      <w:r>
        <w:t>2008</w:t>
      </w:r>
      <w:r>
        <w:rPr>
          <w:rFonts w:hint="eastAsia"/>
        </w:rPr>
        <w:t>），项目执行该标准的3类标准，项目运营期产生的噪声在采取有效的治理措施后对区域声环境质量影响较小，不会对周边声环境质量造成影响。</w:t>
      </w:r>
    </w:p>
    <w:p>
      <w:pPr>
        <w:ind w:firstLine="482"/>
        <w:rPr>
          <w:b/>
          <w:bCs/>
        </w:rPr>
      </w:pPr>
      <w:r>
        <w:rPr>
          <w:rFonts w:hint="eastAsia"/>
          <w:b/>
          <w:bCs/>
        </w:rPr>
        <w:t>（3）资源利用上线</w:t>
      </w:r>
    </w:p>
    <w:p>
      <w:pPr>
        <w:ind w:firstLine="480"/>
      </w:pPr>
      <w:r>
        <w:rPr>
          <w:rFonts w:hint="eastAsia"/>
        </w:rPr>
        <w:t>资源是环境的载体，本项目属于屠宰及肉类加工行业，主要利用当地土地资源、电、水资源，项目区占地为公司自有土地，不涉及基本农田、耕地等占地；本项目生产过程中使用的水资源能重复利用的全部重复利用，不能重复利用的全部经厂区污水处理站处理后用于公司饲草基地灌溉（采用滴灌），最大限度的提高的水资源利用效率。因此，拟建项目基本符合资源利用上线要求</w:t>
      </w:r>
      <w:r>
        <w:rPr>
          <w:rFonts w:hint="eastAsia" w:ascii="宋体" w:hAnsi="宋体" w:cs="宋体"/>
          <w:kern w:val="0"/>
          <w:lang w:bidi="ar"/>
        </w:rPr>
        <w:t>。</w:t>
      </w:r>
    </w:p>
    <w:p>
      <w:pPr>
        <w:ind w:firstLine="482"/>
        <w:rPr>
          <w:b/>
          <w:bCs/>
        </w:rPr>
      </w:pPr>
      <w:r>
        <w:rPr>
          <w:rFonts w:hint="eastAsia"/>
          <w:b/>
          <w:bCs/>
        </w:rPr>
        <w:t>（4）与</w:t>
      </w:r>
      <w:r>
        <w:rPr>
          <w:b/>
          <w:bCs/>
        </w:rPr>
        <w:t>《张掖市生态环境准入清单（试行）》的符合性分析</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院内，隶属于张掖市甘州区管辖，根据《张掖市生态环境准入清单（试行）》可知，本项目属于该清单中的“ZH62070220002/张掖经济技术开发区/重点管控单元”，具体的管控要求详见下表。</w:t>
      </w:r>
    </w:p>
    <w:p>
      <w:pPr>
        <w:spacing w:line="240" w:lineRule="auto"/>
        <w:ind w:firstLine="482"/>
        <w:rPr>
          <w:b/>
          <w:bCs/>
        </w:rPr>
      </w:pPr>
      <w:r>
        <w:rPr>
          <w:rFonts w:hint="eastAsia"/>
          <w:b/>
          <w:bCs/>
        </w:rPr>
        <w:t>表</w:t>
      </w:r>
      <w:r>
        <w:rPr>
          <w:rFonts w:hint="eastAsia"/>
          <w:b/>
          <w:bCs/>
          <w:lang w:val="en-US" w:eastAsia="zh-CN"/>
        </w:rPr>
        <w:t>9</w:t>
      </w:r>
      <w:r>
        <w:rPr>
          <w:rFonts w:hint="eastAsia"/>
          <w:b/>
          <w:bCs/>
        </w:rPr>
        <w:t>.2    ZH62070220002/张掖经济技术开发区/重点管控单元管控要求</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5657"/>
        <w:gridCol w:w="3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2840" w:type="pct"/>
            <w:tcBorders>
              <w:tl2br w:val="nil"/>
              <w:tr2bl w:val="nil"/>
            </w:tcBorders>
            <w:vAlign w:val="center"/>
          </w:tcPr>
          <w:p>
            <w:pPr>
              <w:spacing w:line="240" w:lineRule="auto"/>
              <w:ind w:firstLine="0" w:firstLineChars="0"/>
              <w:jc w:val="center"/>
              <w:rPr>
                <w:b/>
                <w:bCs/>
                <w:sz w:val="21"/>
                <w:szCs w:val="21"/>
              </w:rPr>
            </w:pPr>
            <w:r>
              <w:rPr>
                <w:b/>
                <w:bCs/>
                <w:sz w:val="21"/>
                <w:szCs w:val="21"/>
              </w:rPr>
              <w:t>要求</w:t>
            </w:r>
          </w:p>
        </w:tc>
        <w:tc>
          <w:tcPr>
            <w:tcW w:w="1716" w:type="pct"/>
            <w:tcBorders>
              <w:tl2br w:val="nil"/>
              <w:tr2bl w:val="nil"/>
            </w:tcBorders>
            <w:vAlign w:val="center"/>
          </w:tcPr>
          <w:p>
            <w:pPr>
              <w:spacing w:line="240" w:lineRule="auto"/>
              <w:ind w:firstLine="0" w:firstLineChars="0"/>
              <w:jc w:val="center"/>
              <w:rPr>
                <w:b/>
                <w:bCs/>
                <w:sz w:val="21"/>
                <w:szCs w:val="21"/>
              </w:rPr>
            </w:pPr>
            <w:r>
              <w:rPr>
                <w:b/>
                <w:bCs/>
                <w:sz w:val="21"/>
                <w:szCs w:val="21"/>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空间布局约束</w:t>
            </w:r>
          </w:p>
        </w:tc>
        <w:tc>
          <w:tcPr>
            <w:tcW w:w="2840" w:type="pct"/>
            <w:tcBorders>
              <w:tl2br w:val="nil"/>
              <w:tr2bl w:val="nil"/>
            </w:tcBorders>
            <w:vAlign w:val="center"/>
          </w:tcPr>
          <w:p>
            <w:pPr>
              <w:spacing w:line="240" w:lineRule="auto"/>
              <w:ind w:firstLine="0" w:firstLineChars="0"/>
              <w:rPr>
                <w:sz w:val="21"/>
                <w:szCs w:val="21"/>
              </w:rPr>
            </w:pPr>
            <w:r>
              <w:rPr>
                <w:sz w:val="21"/>
                <w:szCs w:val="21"/>
              </w:rPr>
              <w:t>1、严格执行园区规划环评及其审查意见对空间布局、选址的要求。2、不得开展违反国家法律、法规、政策要求的开发建设活动。3、执行《关于加强高耗能、高排放建设项目生态环境源头防控的指导意见》（环环评〔2021〕45号）等相关要求。4、园区内已经认定的化工产业集中区应严格执行相关行业及园区规划环评对空间布局、选址的要求。</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本项目属于屠宰及肉类加工行业，不属于“两高”行业，符合巴吉滩农副产品及种子加工产业园规划要求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污染物排放管控</w:t>
            </w:r>
          </w:p>
        </w:tc>
        <w:tc>
          <w:tcPr>
            <w:tcW w:w="2840" w:type="pct"/>
            <w:tcBorders>
              <w:tl2br w:val="nil"/>
              <w:tr2bl w:val="nil"/>
            </w:tcBorders>
            <w:vAlign w:val="center"/>
          </w:tcPr>
          <w:p>
            <w:pPr>
              <w:spacing w:line="240" w:lineRule="auto"/>
              <w:ind w:firstLine="0" w:firstLineChars="0"/>
              <w:rPr>
                <w:sz w:val="21"/>
                <w:szCs w:val="21"/>
              </w:rPr>
            </w:pPr>
            <w:r>
              <w:rPr>
                <w:sz w:val="21"/>
                <w:szCs w:val="21"/>
              </w:rPr>
              <w:t>1、按照规划环评相关要求加强污染物排放管控，执行总量控制相关要求。2、园区企业应自建污水预处理设施，生产废水和生活污水经预处理达标后排入依托的污水处理厂进行处理。3、推进集中供热管网敷设工作，园区内企业应加强大气污染治理设施运行管理，确保稳定达标排放。4、执行《中华人民共和国土壤污染防治法》、《地下水污染防治法》、《甘肃省土壤污染防治条例》等中关于土壤、地下水污染物防治相关要求。5、提高一般工业固体废物综合利用率，加强危险废物贮存和处置管理。</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拟建项目运营期废气能够实现达标排放，符合总量控制要求；废水经厂区污水处理站处理后用于饲草区灌溉；园区供热管网未覆盖，拟建项目依托原有的电锅炉供热；拟建项目建设区域都采取了必要的地下水和土壤污染防治措施；拟建项目运营期产生的固废都得到了合理的处置，基本满足污染物排放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环境风险防控</w:t>
            </w:r>
          </w:p>
        </w:tc>
        <w:tc>
          <w:tcPr>
            <w:tcW w:w="2840" w:type="pct"/>
            <w:tcBorders>
              <w:tl2br w:val="nil"/>
              <w:tr2bl w:val="nil"/>
            </w:tcBorders>
            <w:vAlign w:val="center"/>
          </w:tcPr>
          <w:p>
            <w:pPr>
              <w:spacing w:line="240" w:lineRule="auto"/>
              <w:ind w:firstLine="0" w:firstLineChars="0"/>
              <w:rPr>
                <w:sz w:val="21"/>
                <w:szCs w:val="21"/>
              </w:rPr>
            </w:pPr>
            <w:r>
              <w:rPr>
                <w:sz w:val="21"/>
                <w:szCs w:val="21"/>
              </w:rPr>
              <w:t>1、加强产业园区环境风险防控体系建设并编制应急预案，细化明确产业园区及区内企业环境风险防范责任，与地方政府应急预案做好衔接联动，切实做好环境风险防范工作。2、加强应急救援队伍、装备和设施建设，储备必要的应急物资。定期开展突发环境事件应急演练，提高突发环境事件联防联控能力。3、强化土壤和地下水环境风险防控，按照《关于印发强化危险废物监管和利用处置能力改革实施方案的通知》（国办函〔2021〕47号）《关于提升危险废物环境监管能力、利用处置能力和环境风险防范能力的指导意见》（环固体〔2019〕92号）等相关要求加强危险废物环境风险管控。</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公司现已经编制突发环境事件应急预案，待本项目建设完成后应对现有的突发环境事件应急预案进行修编，并向张掖经济技术开发区生态环境局备案，能够满足园区应急预案与企业的衔接联动要求；公司已经形成了完善的应急救援队伍、应急救援制度，并配备应急物资；建设单位已计划设置危废暂存间及制订相应的管理制度。基本能够满足</w:t>
            </w:r>
            <w:r>
              <w:rPr>
                <w:sz w:val="21"/>
                <w:szCs w:val="21"/>
              </w:rPr>
              <w:t>环境风险防控</w:t>
            </w:r>
            <w:r>
              <w:rPr>
                <w:rFonts w:hint="eastAsia"/>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资源利用效率要求</w:t>
            </w:r>
          </w:p>
        </w:tc>
        <w:tc>
          <w:tcPr>
            <w:tcW w:w="2840" w:type="pct"/>
            <w:tcBorders>
              <w:tl2br w:val="nil"/>
              <w:tr2bl w:val="nil"/>
            </w:tcBorders>
            <w:vAlign w:val="center"/>
          </w:tcPr>
          <w:p>
            <w:pPr>
              <w:spacing w:line="240" w:lineRule="auto"/>
              <w:ind w:firstLine="0" w:firstLineChars="0"/>
              <w:rPr>
                <w:sz w:val="21"/>
                <w:szCs w:val="21"/>
              </w:rPr>
            </w:pPr>
            <w:r>
              <w:rPr>
                <w:sz w:val="21"/>
                <w:szCs w:val="21"/>
              </w:rPr>
              <w:t>1、推进资源能源总量和强度</w:t>
            </w:r>
            <w:r>
              <w:rPr>
                <w:rFonts w:hint="eastAsia"/>
                <w:sz w:val="21"/>
                <w:szCs w:val="21"/>
              </w:rPr>
              <w:t>“</w:t>
            </w:r>
            <w:r>
              <w:rPr>
                <w:sz w:val="21"/>
                <w:szCs w:val="21"/>
              </w:rPr>
              <w:t>双控</w:t>
            </w:r>
            <w:r>
              <w:rPr>
                <w:rFonts w:hint="eastAsia"/>
                <w:sz w:val="21"/>
                <w:szCs w:val="21"/>
              </w:rPr>
              <w:t>”</w:t>
            </w:r>
            <w:r>
              <w:rPr>
                <w:sz w:val="21"/>
                <w:szCs w:val="21"/>
              </w:rPr>
              <w:t>，严守区域能源、水资源、土地资源等控制指标限值。2、推进循环经济体系建设，谋划引进一批高附加值、低能耗、低排放的循环经济项目，形成良好的循环经济发展模式，重点培育一批清洁示范企业，组织实施一批节能技改和减排工程重点项目，鼓励企业积极开展ISO14001环境体系认证，利用科学的环境管理方法控制和减少废物排放、提高能源利用效率，树立环保型、节约型企业形象。</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拟建项目运营期产生的固废部分直接拉运至公司自建的有机肥生产车间作为原料使用，公司不能处置的全部外售废旧回收单位再次利用，最大限度的提高了资源利用效率，接班能够满足</w:t>
            </w:r>
            <w:r>
              <w:rPr>
                <w:sz w:val="21"/>
                <w:szCs w:val="21"/>
              </w:rPr>
              <w:t>资源利用效率要求</w:t>
            </w:r>
          </w:p>
        </w:tc>
      </w:tr>
    </w:tbl>
    <w:p>
      <w:pPr>
        <w:ind w:firstLine="482"/>
        <w:rPr>
          <w:b/>
          <w:bCs/>
        </w:rPr>
      </w:pPr>
      <w:r>
        <w:rPr>
          <w:rFonts w:hint="eastAsia"/>
          <w:b/>
          <w:bCs/>
        </w:rPr>
        <w:t>（5）环境管控单元</w:t>
      </w:r>
    </w:p>
    <w:p>
      <w:pPr>
        <w:ind w:firstLine="482"/>
        <w:rPr>
          <w:b/>
          <w:bCs/>
        </w:rPr>
      </w:pPr>
      <w:r>
        <w:rPr>
          <w:b/>
          <w:bCs/>
        </w:rPr>
        <w:t>①</w:t>
      </w:r>
      <w:r>
        <w:rPr>
          <w:rFonts w:hint="eastAsia"/>
          <w:b/>
          <w:bCs/>
        </w:rPr>
        <w:t>与</w:t>
      </w:r>
      <w:r>
        <w:rPr>
          <w:b/>
          <w:bCs/>
        </w:rPr>
        <w:t>《甘肃省人民政府关于实施“三线一单”生态环境分区管控的意见》（甘政发〔2020〕68号）</w:t>
      </w:r>
      <w:r>
        <w:rPr>
          <w:rFonts w:hint="eastAsia"/>
          <w:b/>
          <w:bCs/>
        </w:rPr>
        <w:t>的符合性分析</w:t>
      </w:r>
    </w:p>
    <w:p>
      <w:pPr>
        <w:ind w:firstLine="480"/>
      </w:pPr>
      <w:r>
        <w:rPr>
          <w:rFonts w:hint="eastAsia"/>
        </w:rPr>
        <w:t>根据</w:t>
      </w:r>
      <w:r>
        <w:t>《甘肃省人民政府关于实施“三线一单”生态环境分区管控的意见》（甘政发〔2020〕68号）</w:t>
      </w:r>
      <w:r>
        <w:rPr>
          <w:rFonts w:hint="eastAsia"/>
        </w:rPr>
        <w:t>可知，甘肃省全省共划定环境管控单元842个，分为优先保护单元、重点管控单元和一般管控单元三类，实施分类管控。</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属于重点管控单元。重点管控单元，共263个，主要包括中心城区和城镇规划区、各级各类工业园区及工业集聚区等开发强度高、环境问题相对集中的区域。该区域是经济社会高质量发展的主要承载区，主要推进产业结构和能源结构调整，优化交通结构和用地结构，不断提高资源能源利用效率，加强污染物排放控制和环境风险防控，解决突出生态环境问题。</w:t>
      </w:r>
    </w:p>
    <w:p>
      <w:pPr>
        <w:widowControl/>
        <w:adjustRightInd w:val="0"/>
        <w:ind w:firstLine="464"/>
        <w:jc w:val="left"/>
        <w:textAlignment w:val="baseline"/>
        <w:rPr>
          <w:rFonts w:cstheme="minorBidi"/>
          <w:szCs w:val="21"/>
        </w:rPr>
      </w:pPr>
      <w:r>
        <w:rPr>
          <w:rFonts w:hint="eastAsia"/>
          <w:spacing w:val="-4"/>
        </w:rPr>
        <w:t>本项目属于屠宰及肉类加工行业，</w:t>
      </w:r>
      <w:r>
        <w:rPr>
          <w:rFonts w:hint="eastAsia" w:eastAsia="Times New Roman"/>
          <w:spacing w:val="-4"/>
        </w:rPr>
        <w:t>位于</w:t>
      </w:r>
      <w:r>
        <w:rPr>
          <w:rFonts w:hint="eastAsia" w:eastAsia="宋体"/>
          <w:lang w:eastAsia="zh-CN"/>
        </w:rPr>
        <w:t>张掖市甘州区巴吉滩农产品产业园</w:t>
      </w:r>
      <w:r>
        <w:rPr>
          <w:rFonts w:hint="eastAsia" w:eastAsia="Times New Roman"/>
          <w:spacing w:val="-4"/>
        </w:rPr>
        <w:t>，</w:t>
      </w:r>
      <w:r>
        <w:rPr>
          <w:rFonts w:hint="eastAsia"/>
          <w:spacing w:val="-4"/>
        </w:rPr>
        <w:t>项目</w:t>
      </w:r>
      <w:r>
        <w:rPr>
          <w:rFonts w:hint="eastAsia" w:eastAsia="Times New Roman"/>
          <w:spacing w:val="-4"/>
        </w:rPr>
        <w:t>符合园区产业结构调整要求，能源消耗较小，提高了资源的利用率</w:t>
      </w:r>
      <w:r>
        <w:rPr>
          <w:rFonts w:hint="eastAsia"/>
          <w:spacing w:val="-4"/>
        </w:rPr>
        <w:t>；项目建成后各项污染物排放指标均符合相应的污染物排放标准要求，项目采取完善的风险防范措施，有效防范和降低环境风险</w:t>
      </w:r>
      <w:r>
        <w:rPr>
          <w:rFonts w:hint="eastAsia" w:eastAsia="Times New Roman"/>
          <w:spacing w:val="-4"/>
        </w:rPr>
        <w:t>。</w:t>
      </w:r>
    </w:p>
    <w:p>
      <w:pPr>
        <w:ind w:firstLine="480"/>
      </w:pPr>
      <w:r>
        <w:rPr>
          <w:rFonts w:hint="eastAsia" w:cstheme="minorBidi"/>
          <w:szCs w:val="21"/>
        </w:rPr>
        <w:t>综上所述，本项目符合《甘肃省人民政府关于实施“三线一单</w:t>
      </w:r>
      <w:r>
        <w:rPr>
          <w:rFonts w:cstheme="minorBidi"/>
          <w:szCs w:val="21"/>
        </w:rPr>
        <w:t>”</w:t>
      </w:r>
      <w:r>
        <w:rPr>
          <w:rFonts w:hint="eastAsia" w:cstheme="minorBidi"/>
          <w:szCs w:val="21"/>
        </w:rPr>
        <w:t>生态环境分区管控的意见》（甘政发〔2020〕68号）的要求。</w:t>
      </w:r>
    </w:p>
    <w:p>
      <w:pPr>
        <w:ind w:firstLine="482"/>
      </w:pPr>
      <w:r>
        <w:rPr>
          <w:b/>
          <w:bCs/>
        </w:rPr>
        <w:t>②</w:t>
      </w:r>
      <w:r>
        <w:rPr>
          <w:rFonts w:hint="eastAsia"/>
          <w:b/>
          <w:bCs/>
        </w:rPr>
        <w:t>与《</w:t>
      </w:r>
      <w:r>
        <w:rPr>
          <w:b/>
          <w:bCs/>
        </w:rPr>
        <w:t>张掖市“三线一单”生态环境分区管控方案</w:t>
      </w:r>
      <w:r>
        <w:rPr>
          <w:rFonts w:hint="eastAsia"/>
          <w:b/>
          <w:bCs/>
        </w:rPr>
        <w:t>》（张政发</w:t>
      </w:r>
      <w:r>
        <w:rPr>
          <w:rFonts w:hint="eastAsia" w:cstheme="minorBidi"/>
          <w:szCs w:val="21"/>
        </w:rPr>
        <w:t>〔2021〕35号</w:t>
      </w:r>
      <w:r>
        <w:rPr>
          <w:rFonts w:hint="eastAsia"/>
          <w:b/>
          <w:bCs/>
        </w:rPr>
        <w:t>）的符合性分析</w:t>
      </w:r>
    </w:p>
    <w:p>
      <w:pPr>
        <w:ind w:firstLine="480"/>
      </w:pPr>
      <w:r>
        <w:rPr>
          <w:rFonts w:hint="eastAsia"/>
        </w:rPr>
        <w:t>根据《</w:t>
      </w:r>
      <w:r>
        <w:t>张掖市“三线一单”生态环境分区管控方案</w:t>
      </w:r>
      <w:r>
        <w:rPr>
          <w:rFonts w:hint="eastAsia"/>
        </w:rPr>
        <w:t>》，</w:t>
      </w:r>
      <w:r>
        <w:t>全市共划定环境管控单元56个，分为优先保护单元、重点管控单元和一般管控单元三类，实施分类管控。优先保护单元</w:t>
      </w:r>
      <w:r>
        <w:rPr>
          <w:rFonts w:hint="eastAsia"/>
        </w:rPr>
        <w:t>，</w:t>
      </w:r>
      <w:r>
        <w:t>共29个</w:t>
      </w:r>
      <w:r>
        <w:rPr>
          <w:rFonts w:hint="eastAsia"/>
        </w:rPr>
        <w:t>；</w:t>
      </w:r>
      <w:r>
        <w:t>重点管控单元</w:t>
      </w:r>
      <w:r>
        <w:rPr>
          <w:rFonts w:hint="eastAsia"/>
        </w:rPr>
        <w:t>，</w:t>
      </w:r>
      <w:r>
        <w:t>共22个</w:t>
      </w:r>
      <w:r>
        <w:rPr>
          <w:rFonts w:hint="eastAsia"/>
        </w:rPr>
        <w:t>；</w:t>
      </w:r>
      <w:r>
        <w:t>一般管控单元</w:t>
      </w:r>
      <w:r>
        <w:rPr>
          <w:rFonts w:hint="eastAsia"/>
        </w:rPr>
        <w:t>，</w:t>
      </w:r>
      <w:r>
        <w:t>共5个</w:t>
      </w:r>
      <w:r>
        <w:rPr>
          <w:rFonts w:hint="eastAsia"/>
        </w:rPr>
        <w:t>。本项目建设区域位于《</w:t>
      </w:r>
      <w:r>
        <w:t>张掖市“三线一单”生态环境分区管控方案</w:t>
      </w:r>
      <w:r>
        <w:rPr>
          <w:rFonts w:hint="eastAsia"/>
        </w:rPr>
        <w:t>》中的重点管控单元，具体详见附图11。</w:t>
      </w:r>
    </w:p>
    <w:p>
      <w:pPr>
        <w:ind w:firstLine="480"/>
      </w:pPr>
      <w:r>
        <w:rPr>
          <w:rFonts w:hint="eastAsia"/>
        </w:rPr>
        <w:t>重点管控单元</w:t>
      </w:r>
      <w:r>
        <w:t>主要包括中心城区和城镇规划区、工业园区（集聚区）等开发强度高、环境问题相对集中的区域。该区域是经济社会高质量发展的主要承载区，以产业高质量发展和环境保护协调为主，优化空间布局，推进产业结构和能源结构调整，优化交通结构和用地结构，不断提高资源能源利用效率，加强污染物排放控制和环境风险防控，解决突出生态环境问题。</w:t>
      </w:r>
    </w:p>
    <w:p>
      <w:pPr>
        <w:ind w:firstLine="464"/>
      </w:pPr>
      <w:r>
        <w:rPr>
          <w:rFonts w:hint="eastAsia"/>
          <w:spacing w:val="-4"/>
        </w:rPr>
        <w:t>本项目属于屠宰及肉类加工行业，</w:t>
      </w:r>
      <w:r>
        <w:rPr>
          <w:rFonts w:hint="eastAsia" w:eastAsia="Times New Roman"/>
          <w:spacing w:val="-4"/>
        </w:rPr>
        <w:t>位于</w:t>
      </w:r>
      <w:r>
        <w:rPr>
          <w:rFonts w:hint="eastAsia" w:eastAsia="宋体"/>
          <w:lang w:eastAsia="zh-CN"/>
        </w:rPr>
        <w:t>张掖市甘州区巴吉滩农产品产业园</w:t>
      </w:r>
      <w:r>
        <w:rPr>
          <w:rFonts w:hint="eastAsia"/>
        </w:rPr>
        <w:t>；项目符合园区产业结构调整要求，项目能源消耗较小，提高了资源的利用率；项目建成后各项污染物排放指标均符合相应的污染物排放标准要求，项目采取完善的风险防范措施，有效防范和降低环境风险。综上所述，本项目符合《</w:t>
      </w:r>
      <w:r>
        <w:t>张掖市“三线一单”生态环境分区管控方案</w:t>
      </w:r>
      <w:r>
        <w:rPr>
          <w:rFonts w:hint="eastAsia"/>
        </w:rPr>
        <w:t>》（张政发〔2021〕35号）中的管控要求。</w:t>
      </w:r>
    </w:p>
    <w:p>
      <w:pPr>
        <w:ind w:firstLine="48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4"/>
      </w:pPr>
      <w:bookmarkStart w:id="897" w:name="_Toc26695"/>
      <w:r>
        <w:rPr>
          <w:rFonts w:hint="eastAsia"/>
          <w:lang w:val="en-US" w:eastAsia="zh-CN"/>
        </w:rPr>
        <w:t>10</w:t>
      </w:r>
      <w:r>
        <w:rPr>
          <w:rFonts w:hint="eastAsia"/>
        </w:rPr>
        <w:t>、</w:t>
      </w:r>
      <w:r>
        <w:t>环境管理与监测计划</w:t>
      </w:r>
      <w:bookmarkEnd w:id="877"/>
      <w:bookmarkEnd w:id="878"/>
      <w:bookmarkEnd w:id="879"/>
      <w:bookmarkEnd w:id="880"/>
      <w:bookmarkEnd w:id="881"/>
      <w:bookmarkEnd w:id="882"/>
      <w:bookmarkEnd w:id="897"/>
    </w:p>
    <w:p>
      <w:pPr>
        <w:ind w:firstLine="480"/>
      </w:pPr>
      <w:r>
        <w:t>环境管理是企业管理的重要组成部分，同时也是解决环境污染，实施“预防为主、防治结合、过程控制、综合治理与生态保护”，实现节能降耗与减污增效、可持续发展的重要手段。</w:t>
      </w:r>
    </w:p>
    <w:p>
      <w:pPr>
        <w:pStyle w:val="5"/>
        <w:spacing w:before="78" w:after="78"/>
        <w:ind w:firstLine="562"/>
      </w:pPr>
      <w:bookmarkStart w:id="898" w:name="_Toc10282"/>
      <w:bookmarkStart w:id="899" w:name="_Toc8727"/>
      <w:bookmarkStart w:id="900" w:name="_Toc18593_WPSOffice_Level1"/>
      <w:bookmarkStart w:id="901" w:name="_Toc15591"/>
      <w:bookmarkStart w:id="902" w:name="_Toc1288"/>
      <w:bookmarkStart w:id="903" w:name="_Toc12935"/>
      <w:bookmarkStart w:id="904" w:name="_Toc32503"/>
      <w:r>
        <w:rPr>
          <w:rFonts w:hint="eastAsia"/>
          <w:lang w:val="en-US" w:eastAsia="zh-CN"/>
        </w:rPr>
        <w:t>10</w:t>
      </w:r>
      <w:r>
        <w:rPr>
          <w:rFonts w:hint="eastAsia"/>
        </w:rPr>
        <w:t>.1、环境管理</w:t>
      </w:r>
      <w:bookmarkEnd w:id="898"/>
      <w:bookmarkEnd w:id="899"/>
    </w:p>
    <w:p>
      <w:pPr>
        <w:ind w:firstLine="480"/>
      </w:pPr>
      <w:r>
        <w:t>环境管理是企业管理工作的重要组成部分，其主要目的是通过环境管理工作的开展，落实各项环保措施，制定出详尽的项目环境管理监控（管）计划并实施，避免因管理不善而可能产生的各种环境事故和风险，确保污染物稳定达标排放。为此，企业应加强管理，建立健全环境管理体系，设立专门的环保机构和专职负责人，配备环保人员，确定相应的职责和工作计划，负责全厂的环境管理工作。</w:t>
      </w:r>
    </w:p>
    <w:bookmarkEnd w:id="900"/>
    <w:bookmarkEnd w:id="901"/>
    <w:bookmarkEnd w:id="902"/>
    <w:bookmarkEnd w:id="903"/>
    <w:bookmarkEnd w:id="904"/>
    <w:p>
      <w:pPr>
        <w:pStyle w:val="6"/>
        <w:ind w:firstLine="482"/>
      </w:pPr>
      <w:bookmarkStart w:id="905" w:name="_Toc11733"/>
      <w:bookmarkStart w:id="906" w:name="_Toc18127_WPSOffice_Level1"/>
      <w:bookmarkStart w:id="907" w:name="_Toc16970"/>
      <w:bookmarkStart w:id="908" w:name="_Toc203800798"/>
      <w:bookmarkStart w:id="909" w:name="_Toc29365"/>
      <w:bookmarkStart w:id="910" w:name="_Toc25424"/>
      <w:bookmarkStart w:id="911" w:name="_Toc10110"/>
      <w:r>
        <w:rPr>
          <w:rFonts w:hint="eastAsia"/>
          <w:lang w:val="en-US" w:eastAsia="zh-CN"/>
        </w:rPr>
        <w:t>10</w:t>
      </w:r>
      <w:r>
        <w:t>.</w:t>
      </w:r>
      <w:r>
        <w:rPr>
          <w:rFonts w:hint="eastAsia"/>
        </w:rPr>
        <w:t>1.1、</w:t>
      </w:r>
      <w:r>
        <w:t>环境管理机构与</w:t>
      </w:r>
      <w:bookmarkEnd w:id="905"/>
      <w:bookmarkEnd w:id="906"/>
      <w:bookmarkEnd w:id="907"/>
      <w:bookmarkEnd w:id="908"/>
      <w:bookmarkEnd w:id="909"/>
      <w:bookmarkEnd w:id="910"/>
      <w:r>
        <w:rPr>
          <w:rFonts w:hint="eastAsia"/>
        </w:rPr>
        <w:t>环境管理制度</w:t>
      </w:r>
      <w:bookmarkEnd w:id="911"/>
    </w:p>
    <w:p>
      <w:pPr>
        <w:pStyle w:val="7"/>
        <w:ind w:firstLine="482"/>
      </w:pPr>
      <w:bookmarkStart w:id="912" w:name="_Toc21832"/>
      <w:bookmarkStart w:id="913" w:name="_Toc32010_WPSOffice_Level2"/>
      <w:bookmarkStart w:id="914" w:name="_Toc25017_WPSOffice_Level2"/>
      <w:bookmarkStart w:id="915" w:name="_Toc25809"/>
      <w:r>
        <w:rPr>
          <w:rFonts w:hint="eastAsia"/>
          <w:lang w:val="en-US" w:eastAsia="zh-CN"/>
        </w:rPr>
        <w:t>10</w:t>
      </w:r>
      <w:r>
        <w:t>.</w:t>
      </w:r>
      <w:r>
        <w:rPr>
          <w:rFonts w:hint="eastAsia"/>
        </w:rPr>
        <w:t>1.1.1、</w:t>
      </w:r>
      <w:r>
        <w:t>机构设置与职责</w:t>
      </w:r>
      <w:bookmarkEnd w:id="912"/>
      <w:bookmarkEnd w:id="913"/>
      <w:bookmarkEnd w:id="914"/>
      <w:bookmarkEnd w:id="915"/>
    </w:p>
    <w:p>
      <w:pPr>
        <w:ind w:firstLine="482"/>
        <w:rPr>
          <w:b/>
          <w:bCs/>
        </w:rPr>
      </w:pPr>
      <w:r>
        <w:rPr>
          <w:rFonts w:hint="eastAsia"/>
          <w:b/>
          <w:bCs/>
        </w:rPr>
        <w:t>1、环境管理机构</w:t>
      </w:r>
    </w:p>
    <w:p>
      <w:pPr>
        <w:ind w:firstLine="480"/>
      </w:pPr>
      <w:r>
        <w:t>本项目在建设和营运过程中应设置环境保护管理机构或施工现场环境管理人员，应有2～3人，至少应有1人兼职负责、1人专职经办负责管理项目的环保工作，严格落实该建设项目审批后的环境影响评价报告书的要求进行规范管理。在项目通过环境保护行政主管部门的“三同时”验收后，日常环境管理工作交由项目的管理单位负责。</w:t>
      </w:r>
    </w:p>
    <w:p>
      <w:pPr>
        <w:ind w:firstLine="482"/>
      </w:pPr>
      <w:r>
        <w:rPr>
          <w:rFonts w:hint="eastAsia"/>
          <w:b/>
          <w:bCs/>
        </w:rPr>
        <w:t>2、环境管理职责</w:t>
      </w:r>
    </w:p>
    <w:p>
      <w:pPr>
        <w:ind w:firstLine="480"/>
      </w:pPr>
      <w:r>
        <w:rPr>
          <w:rFonts w:hint="eastAsia"/>
        </w:rPr>
        <w:t>（1）贯彻执行国家与地方制定的有关环境保护法律与政策，协调生产建设与保护环境的关系，处理生产中发生的环境问题，制定可操作的环保管理制度和责任制，并对实施情况进行监督、检查；</w:t>
      </w:r>
    </w:p>
    <w:p>
      <w:pPr>
        <w:ind w:firstLine="480"/>
      </w:pPr>
      <w:r>
        <w:rPr>
          <w:rFonts w:hint="eastAsia"/>
        </w:rPr>
        <w:t>（2）项目建设期间，严格执行“三同时”规定，使本项目的环保措施与主体工程同时设计、同时施工、同时投产，有效的控制环境污染；</w:t>
      </w:r>
    </w:p>
    <w:p>
      <w:pPr>
        <w:ind w:firstLine="480"/>
      </w:pPr>
      <w:r>
        <w:rPr>
          <w:rFonts w:hint="eastAsia"/>
        </w:rPr>
        <w:t>（3）建立各污染源档案和环保设施的运行记录。负责企业各种环保报表的编制，统计上报及污染源档案、监测资料的档案管理工作；</w:t>
      </w:r>
    </w:p>
    <w:p>
      <w:pPr>
        <w:ind w:firstLine="480"/>
      </w:pPr>
      <w:r>
        <w:rPr>
          <w:rFonts w:hint="eastAsia"/>
        </w:rPr>
        <w:t>（4）负责监督检查环保设施的运行状况、治理效果、存在问题，安排落实环保设施的日常维修；</w:t>
      </w:r>
    </w:p>
    <w:p>
      <w:pPr>
        <w:ind w:firstLine="480"/>
      </w:pPr>
      <w:r>
        <w:rPr>
          <w:rFonts w:hint="eastAsia"/>
        </w:rPr>
        <w:t>（5）负责组织制定和实施环保设施出现故障的应急计划；</w:t>
      </w:r>
    </w:p>
    <w:p>
      <w:pPr>
        <w:ind w:firstLine="480"/>
      </w:pPr>
      <w:r>
        <w:rPr>
          <w:rFonts w:hint="eastAsia"/>
        </w:rPr>
        <w:t>（6）作好环境保护知识的宣传工作和环保技能的培训工作，提高工作人员的环保意识和能力，保证各项环保措施的正常有效实施；</w:t>
      </w:r>
    </w:p>
    <w:p>
      <w:pPr>
        <w:ind w:firstLine="480"/>
      </w:pPr>
      <w:r>
        <w:rPr>
          <w:rFonts w:hint="eastAsia"/>
        </w:rPr>
        <w:t>（7）负责组织制定和实施企业日常的环境监测计划，安排各污染源的监测工作，监督检查污染物总量控制与达标情况；</w:t>
      </w:r>
    </w:p>
    <w:p>
      <w:pPr>
        <w:ind w:firstLine="480"/>
      </w:pPr>
      <w:r>
        <w:rPr>
          <w:rFonts w:hint="eastAsia"/>
        </w:rPr>
        <w:t>（8）建立企业与周边民众生活和谐同存的良好生存环境，也是确保企业可持续发展的关键。</w:t>
      </w:r>
    </w:p>
    <w:p>
      <w:pPr>
        <w:pStyle w:val="7"/>
        <w:ind w:firstLine="482"/>
      </w:pPr>
      <w:bookmarkStart w:id="916" w:name="_Toc16509_WPSOffice_Level2"/>
      <w:bookmarkStart w:id="917" w:name="_Toc28894"/>
      <w:bookmarkStart w:id="918" w:name="_Toc29627_WPSOffice_Level2"/>
      <w:bookmarkStart w:id="919" w:name="_Toc10644"/>
      <w:r>
        <w:rPr>
          <w:rFonts w:hint="eastAsia"/>
          <w:lang w:val="en-US" w:eastAsia="zh-CN"/>
        </w:rPr>
        <w:t>10</w:t>
      </w:r>
      <w:r>
        <w:t>.</w:t>
      </w:r>
      <w:r>
        <w:rPr>
          <w:rFonts w:hint="eastAsia"/>
        </w:rPr>
        <w:t>1.1.2、</w:t>
      </w:r>
      <w:r>
        <w:t>环境管理制度</w:t>
      </w:r>
      <w:bookmarkEnd w:id="916"/>
      <w:bookmarkEnd w:id="917"/>
      <w:bookmarkEnd w:id="918"/>
      <w:bookmarkEnd w:id="919"/>
    </w:p>
    <w:p>
      <w:pPr>
        <w:ind w:firstLine="482"/>
        <w:rPr>
          <w:b/>
          <w:bCs/>
        </w:rPr>
      </w:pPr>
      <w:r>
        <w:rPr>
          <w:rFonts w:hint="eastAsia"/>
          <w:b/>
          <w:bCs/>
        </w:rPr>
        <w:t>1、</w:t>
      </w:r>
      <w:r>
        <w:rPr>
          <w:b/>
          <w:bCs/>
        </w:rPr>
        <w:t>建立健全企业环境管理台账和资料</w:t>
      </w:r>
    </w:p>
    <w:p>
      <w:pPr>
        <w:ind w:firstLine="480"/>
      </w:pPr>
      <w:r>
        <w:t>按照“规范、真实、全面、细致”的原则，建立环境管理台账和资料。企业环境管理档案分类分年度装订，资料和台账完善整齐，装订规范，排污许可证齐全，污染物处理装置日常运行状况和监测记录连续、完整，指标符和环境管理要求。环境管理档案有固定场所存放，资料保存应在3年及以上，确保环保部门执法人员随时调阅检查。</w:t>
      </w:r>
    </w:p>
    <w:p>
      <w:pPr>
        <w:ind w:firstLine="482"/>
        <w:rPr>
          <w:b/>
          <w:bCs/>
        </w:rPr>
      </w:pPr>
      <w:r>
        <w:rPr>
          <w:rFonts w:hint="eastAsia"/>
          <w:b/>
          <w:bCs/>
        </w:rPr>
        <w:t>2、</w:t>
      </w:r>
      <w:r>
        <w:rPr>
          <w:b/>
          <w:bCs/>
        </w:rPr>
        <w:t>建立和完善企业内部环境管理制度</w:t>
      </w:r>
    </w:p>
    <w:p>
      <w:pPr>
        <w:ind w:firstLine="480"/>
      </w:pPr>
      <w:r>
        <w:t>企业内部管理制度主要包括：企业环境综合管理制度、企业环境保护设施设备运行管理制度、企业环境应急管理制度、企业环境监督员管理制度、企业内部环境监督管理制度等。</w:t>
      </w:r>
    </w:p>
    <w:p>
      <w:pPr>
        <w:ind w:firstLine="482"/>
      </w:pPr>
      <w:r>
        <w:rPr>
          <w:rFonts w:hint="eastAsia"/>
          <w:b/>
          <w:bCs/>
        </w:rPr>
        <w:t>3、</w:t>
      </w:r>
      <w:r>
        <w:rPr>
          <w:b/>
          <w:bCs/>
        </w:rPr>
        <w:t>建立和完善企业内部环境管理体系</w:t>
      </w:r>
    </w:p>
    <w:p>
      <w:pPr>
        <w:ind w:firstLine="480"/>
      </w:pPr>
      <w:r>
        <w:t>企业设置环境监督管理机构，建立企业领导、环境管理部门、车间负责人和车间环保员组成的企业环境管理责任体系，定期或不定期召开企业环保情况报告会和专题会议，专题研究解决企业的环境保护问题，共同做好本企业的环境保护工作。</w:t>
      </w:r>
    </w:p>
    <w:p>
      <w:pPr>
        <w:pStyle w:val="7"/>
        <w:ind w:firstLine="482"/>
      </w:pPr>
      <w:bookmarkStart w:id="920" w:name="_Toc29688_WPSOffice_Level1"/>
      <w:bookmarkStart w:id="921" w:name="_Toc19103"/>
      <w:bookmarkStart w:id="922" w:name="_Toc3775"/>
      <w:bookmarkStart w:id="923" w:name="_Toc5831"/>
      <w:bookmarkStart w:id="924" w:name="_Toc22613"/>
      <w:r>
        <w:rPr>
          <w:rFonts w:hint="eastAsia"/>
          <w:lang w:val="en-US" w:eastAsia="zh-CN"/>
        </w:rPr>
        <w:t>10</w:t>
      </w:r>
      <w:r>
        <w:rPr>
          <w:rFonts w:hint="eastAsia"/>
        </w:rPr>
        <w:t>.1.1.3、环境管理目标</w:t>
      </w:r>
    </w:p>
    <w:p>
      <w:pPr>
        <w:ind w:firstLine="480"/>
      </w:pPr>
      <w:r>
        <w:rPr>
          <w:rFonts w:hint="eastAsia"/>
        </w:rPr>
        <w:t>环境管理的主要目标是：控制污染物排放量，避免污染物对环境的危害。为了控制污染物的排放，应把环境管理渗透到整个厂区的管理中，将环境管理融合在一起，以减少厂区各污染物的排放。本次环评针对项目特点、环境问题和主要污染物，分别提出了有效的污染防治措施，项目实施期间应认真落实，监督管理环保设施的运行情况，定期监测各污染物的排放浓度以达到预期的效果。</w:t>
      </w:r>
    </w:p>
    <w:p>
      <w:pPr>
        <w:pStyle w:val="6"/>
        <w:ind w:firstLine="482"/>
      </w:pPr>
      <w:bookmarkStart w:id="925" w:name="_Toc24440"/>
      <w:r>
        <w:rPr>
          <w:rFonts w:hint="eastAsia"/>
          <w:lang w:val="en-US" w:eastAsia="zh-CN"/>
        </w:rPr>
        <w:t>10</w:t>
      </w:r>
      <w:r>
        <w:t>.</w:t>
      </w:r>
      <w:r>
        <w:rPr>
          <w:rFonts w:hint="eastAsia"/>
        </w:rPr>
        <w:t>1.2、</w:t>
      </w:r>
      <w:r>
        <w:t>环境管理</w:t>
      </w:r>
      <w:bookmarkEnd w:id="920"/>
      <w:bookmarkEnd w:id="921"/>
      <w:bookmarkEnd w:id="922"/>
      <w:bookmarkEnd w:id="923"/>
      <w:bookmarkEnd w:id="924"/>
      <w:r>
        <w:rPr>
          <w:rFonts w:hint="eastAsia"/>
        </w:rPr>
        <w:t>计划</w:t>
      </w:r>
      <w:bookmarkEnd w:id="925"/>
    </w:p>
    <w:p>
      <w:pPr>
        <w:pStyle w:val="7"/>
        <w:ind w:firstLine="482"/>
      </w:pPr>
      <w:r>
        <w:rPr>
          <w:rFonts w:hint="eastAsia"/>
          <w:lang w:val="en-US" w:eastAsia="zh-CN"/>
        </w:rPr>
        <w:t>10</w:t>
      </w:r>
      <w:r>
        <w:rPr>
          <w:rFonts w:hint="eastAsia"/>
        </w:rPr>
        <w:t>.1.2.1、</w:t>
      </w:r>
      <w:r>
        <w:t>施工期环境管理计划</w:t>
      </w:r>
    </w:p>
    <w:p>
      <w:pPr>
        <w:ind w:firstLine="480"/>
      </w:pPr>
      <w:r>
        <w:rPr>
          <w:rFonts w:hint="eastAsia"/>
        </w:rPr>
        <w:t>1、</w:t>
      </w:r>
      <w:r>
        <w:t>项目建设单位应与施工单位签订合同，在合同中将施工期环境保护要求列入，并严格执行，从而保证施工期的环境保护措施有效实施；</w:t>
      </w:r>
    </w:p>
    <w:p>
      <w:pPr>
        <w:ind w:firstLine="480"/>
      </w:pPr>
      <w:r>
        <w:rPr>
          <w:rFonts w:hint="eastAsia"/>
        </w:rPr>
        <w:t>2、</w:t>
      </w:r>
      <w:r>
        <w:t>环境管理机构对施工期环境保护工作全面负责，履行施工期各施工阶段的环境管理职责；</w:t>
      </w:r>
    </w:p>
    <w:p>
      <w:pPr>
        <w:ind w:firstLine="480"/>
      </w:pPr>
      <w:r>
        <w:t>3</w:t>
      </w:r>
      <w:r>
        <w:rPr>
          <w:rFonts w:hint="eastAsia"/>
        </w:rPr>
        <w:t>、</w:t>
      </w:r>
      <w:r>
        <w:t>对施工队伍实行职责管理，要求施工队伍按要求文明施工，并做好监督、检查和教育工作；</w:t>
      </w:r>
    </w:p>
    <w:p>
      <w:pPr>
        <w:ind w:firstLine="480"/>
      </w:pPr>
      <w:r>
        <w:t>4</w:t>
      </w:r>
      <w:r>
        <w:rPr>
          <w:rFonts w:hint="eastAsia"/>
        </w:rPr>
        <w:t>、</w:t>
      </w:r>
      <w:r>
        <w:t>按照环保主管部门的要求和本报告书中有关环境保护对策措施对施工程序和场地布置实施统一安排；</w:t>
      </w:r>
    </w:p>
    <w:p>
      <w:pPr>
        <w:ind w:firstLine="480"/>
      </w:pPr>
      <w:r>
        <w:t>5</w:t>
      </w:r>
      <w:r>
        <w:rPr>
          <w:rFonts w:hint="eastAsia"/>
        </w:rPr>
        <w:t>、</w:t>
      </w:r>
      <w:r>
        <w:t>在项目施工期间，由于需要进行地面开挖，必然会造成一定程度的水土流失现象，企业应注意做好防范措施；</w:t>
      </w:r>
    </w:p>
    <w:p>
      <w:pPr>
        <w:ind w:firstLine="480"/>
      </w:pPr>
      <w:r>
        <w:t>6</w:t>
      </w:r>
      <w:r>
        <w:rPr>
          <w:rFonts w:hint="eastAsia"/>
        </w:rPr>
        <w:t>、</w:t>
      </w:r>
      <w:r>
        <w:t>合理布置施工场内的机械和设备，把噪声较大的机械设备布置到远离保护区的地点。对于重型施工机械和运输车辆，在施工期间应尽量安排在昼间施工，尽可能不在夜间施工，减少施工噪声和运输噪声对周围企业的影响；如必须在夜间施工，应按有关管理要求办理夜间施工手续，并提前告知周围民众，尽量减少夜间施工噪声的影响；</w:t>
      </w:r>
    </w:p>
    <w:p>
      <w:pPr>
        <w:ind w:firstLine="480"/>
      </w:pPr>
      <w:r>
        <w:t>7</w:t>
      </w:r>
      <w:r>
        <w:rPr>
          <w:rFonts w:hint="eastAsia"/>
        </w:rPr>
        <w:t>、</w:t>
      </w:r>
      <w:r>
        <w:t>环境管理机构有责任配合当地环保主管机构，对施工过程的环境影响进行环境监测和监理，以保证施工期的环保措施得以完善和持续执行。</w:t>
      </w:r>
    </w:p>
    <w:p>
      <w:pPr>
        <w:pStyle w:val="7"/>
        <w:ind w:firstLine="482"/>
      </w:pPr>
      <w:r>
        <w:rPr>
          <w:rFonts w:hint="eastAsia"/>
          <w:lang w:val="en-US" w:eastAsia="zh-CN"/>
        </w:rPr>
        <w:t>10</w:t>
      </w:r>
      <w:r>
        <w:rPr>
          <w:rFonts w:hint="eastAsia"/>
        </w:rPr>
        <w:t>.1.2.2、</w:t>
      </w:r>
      <w:r>
        <w:t>运营期环境管理计划</w:t>
      </w:r>
    </w:p>
    <w:p>
      <w:pPr>
        <w:ind w:firstLine="480"/>
      </w:pPr>
      <w:r>
        <w:t>环保保护管理机构应由熟悉企业情况和污染防治对策系统的管理、技术人员组成，其主要职责为制订企业环保规章制度，检查制度落实情况；制订环保工作年度计划，负责组织实施；提出企业环保设施运行管理计划及改进意见；配合地方环境保护主管部门开展各项环保工作。</w:t>
      </w:r>
    </w:p>
    <w:p>
      <w:pPr>
        <w:ind w:firstLine="480"/>
      </w:pPr>
      <w:r>
        <w:rPr>
          <w:rFonts w:hint="eastAsia"/>
        </w:rPr>
        <w:t>1、</w:t>
      </w:r>
      <w:r>
        <w:t>根据国家环保政策、标准及环境监测要求，制定该项目运行期环境管理规章制度、各种污染物排放指标；</w:t>
      </w:r>
    </w:p>
    <w:p>
      <w:pPr>
        <w:ind w:firstLine="480"/>
      </w:pPr>
      <w:r>
        <w:rPr>
          <w:rFonts w:hint="eastAsia"/>
        </w:rPr>
        <w:t>2、</w:t>
      </w:r>
      <w:r>
        <w:t>确保废气、废水、固体废弃物处理系统的正常运行；</w:t>
      </w:r>
    </w:p>
    <w:p>
      <w:pPr>
        <w:ind w:firstLine="480"/>
      </w:pPr>
      <w:r>
        <w:rPr>
          <w:rFonts w:hint="eastAsia"/>
        </w:rPr>
        <w:t>3、</w:t>
      </w:r>
      <w:r>
        <w:t>绿化能改善区域小气候和起到降噪除尘的作用，对厂区的绿地必须有专人管理、养护。同时，拟建项目在项目建设前期、设计阶段、生产试运行阶段也应当配合相应的施行单位作出相应的环境管理保护工作。具体环境管理计划见表</w:t>
      </w:r>
      <w:r>
        <w:rPr>
          <w:rFonts w:hint="eastAsia"/>
          <w:lang w:val="en-US" w:eastAsia="zh-CN"/>
        </w:rPr>
        <w:t>10</w:t>
      </w:r>
      <w:r>
        <w:rPr>
          <w:rFonts w:hint="eastAsia"/>
        </w:rPr>
        <w:t>.1</w:t>
      </w:r>
      <w:r>
        <w:t>。</w:t>
      </w:r>
    </w:p>
    <w:p>
      <w:pPr>
        <w:spacing w:line="240" w:lineRule="auto"/>
        <w:ind w:firstLine="482"/>
        <w:jc w:val="center"/>
        <w:rPr>
          <w:b/>
          <w:bCs/>
        </w:rPr>
      </w:pPr>
      <w:r>
        <w:rPr>
          <w:b/>
          <w:bCs/>
        </w:rPr>
        <w:t>表</w:t>
      </w:r>
      <w:r>
        <w:rPr>
          <w:rFonts w:hint="eastAsia"/>
          <w:b/>
          <w:bCs/>
          <w:lang w:val="en-US" w:eastAsia="zh-CN"/>
        </w:rPr>
        <w:t>10</w:t>
      </w:r>
      <w:r>
        <w:rPr>
          <w:rFonts w:hint="eastAsia"/>
          <w:b/>
          <w:bCs/>
        </w:rPr>
        <w:t>.1</w:t>
      </w:r>
      <w:r>
        <w:rPr>
          <w:b/>
          <w:bCs/>
        </w:rPr>
        <w:t xml:space="preserve"> </w:t>
      </w:r>
      <w:r>
        <w:rPr>
          <w:rFonts w:hint="eastAsia"/>
          <w:b/>
          <w:bCs/>
        </w:rPr>
        <w:t xml:space="preserve">  </w:t>
      </w:r>
      <w:r>
        <w:rPr>
          <w:b/>
          <w:bCs/>
        </w:rPr>
        <w:t xml:space="preserve"> 环境管理计划</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9"/>
        <w:gridCol w:w="8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tcBorders>
              <w:tl2br w:val="nil"/>
              <w:tr2bl w:val="nil"/>
            </w:tcBorders>
            <w:vAlign w:val="center"/>
          </w:tcPr>
          <w:p>
            <w:pPr>
              <w:spacing w:line="240" w:lineRule="auto"/>
              <w:ind w:firstLine="0" w:firstLineChars="0"/>
              <w:jc w:val="center"/>
              <w:rPr>
                <w:b/>
                <w:bCs/>
                <w:sz w:val="21"/>
                <w:szCs w:val="21"/>
              </w:rPr>
            </w:pPr>
            <w:r>
              <w:rPr>
                <w:b/>
                <w:bCs/>
                <w:sz w:val="21"/>
                <w:szCs w:val="21"/>
              </w:rPr>
              <w:t>阶段</w:t>
            </w:r>
          </w:p>
        </w:tc>
        <w:tc>
          <w:tcPr>
            <w:tcW w:w="4427" w:type="pct"/>
            <w:tcBorders>
              <w:tl2br w:val="nil"/>
              <w:tr2bl w:val="nil"/>
            </w:tcBorders>
            <w:vAlign w:val="center"/>
          </w:tcPr>
          <w:p>
            <w:pPr>
              <w:spacing w:line="240" w:lineRule="auto"/>
              <w:ind w:firstLine="0" w:firstLineChars="0"/>
              <w:jc w:val="center"/>
              <w:rPr>
                <w:b/>
                <w:bCs/>
                <w:sz w:val="21"/>
                <w:szCs w:val="21"/>
              </w:rPr>
            </w:pPr>
            <w:r>
              <w:rPr>
                <w:b/>
                <w:bCs/>
                <w:sz w:val="21"/>
                <w:szCs w:val="21"/>
              </w:rPr>
              <w:t>环境管理工作主要内容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tcBorders>
              <w:tl2br w:val="nil"/>
              <w:tr2bl w:val="nil"/>
            </w:tcBorders>
            <w:vAlign w:val="center"/>
          </w:tcPr>
          <w:p>
            <w:pPr>
              <w:spacing w:line="240" w:lineRule="auto"/>
              <w:ind w:firstLine="0" w:firstLineChars="0"/>
              <w:jc w:val="center"/>
              <w:rPr>
                <w:b/>
                <w:bCs/>
                <w:sz w:val="21"/>
                <w:szCs w:val="21"/>
              </w:rPr>
            </w:pPr>
            <w:r>
              <w:rPr>
                <w:b/>
                <w:bCs/>
                <w:sz w:val="21"/>
                <w:szCs w:val="21"/>
              </w:rPr>
              <w:t>管理机构职能</w:t>
            </w:r>
          </w:p>
        </w:tc>
        <w:tc>
          <w:tcPr>
            <w:tcW w:w="4427" w:type="pct"/>
            <w:tcBorders>
              <w:tl2br w:val="nil"/>
              <w:tr2bl w:val="nil"/>
            </w:tcBorders>
            <w:vAlign w:val="center"/>
          </w:tcPr>
          <w:p>
            <w:pPr>
              <w:spacing w:line="240" w:lineRule="auto"/>
              <w:ind w:firstLine="0" w:firstLineChars="0"/>
              <w:rPr>
                <w:sz w:val="21"/>
                <w:szCs w:val="21"/>
              </w:rPr>
            </w:pPr>
            <w:r>
              <w:rPr>
                <w:sz w:val="21"/>
                <w:szCs w:val="21"/>
              </w:rPr>
              <w:t>根据国家建设项目环境管理规定，认真落实各项环保手续，完成各级主管部门对本企业提出的环境管理要求，对本企业内部各项管理计划的执行及完成情况进行监督、控制，确保环境管理工作真正发挥作用。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tcBorders>
              <w:tl2br w:val="nil"/>
              <w:tr2bl w:val="nil"/>
            </w:tcBorders>
            <w:vAlign w:val="center"/>
          </w:tcPr>
          <w:p>
            <w:pPr>
              <w:spacing w:line="240" w:lineRule="auto"/>
              <w:ind w:firstLine="0" w:firstLineChars="0"/>
              <w:jc w:val="center"/>
              <w:rPr>
                <w:b/>
                <w:bCs/>
                <w:sz w:val="21"/>
                <w:szCs w:val="21"/>
              </w:rPr>
            </w:pPr>
            <w:r>
              <w:rPr>
                <w:b/>
                <w:bCs/>
                <w:sz w:val="21"/>
                <w:szCs w:val="21"/>
              </w:rPr>
              <w:t>项目建设前期</w:t>
            </w:r>
          </w:p>
        </w:tc>
        <w:tc>
          <w:tcPr>
            <w:tcW w:w="4427" w:type="pct"/>
            <w:tcBorders>
              <w:tl2br w:val="nil"/>
              <w:tr2bl w:val="nil"/>
            </w:tcBorders>
            <w:vAlign w:val="center"/>
          </w:tcPr>
          <w:p>
            <w:pPr>
              <w:spacing w:line="240" w:lineRule="auto"/>
              <w:ind w:firstLine="0" w:firstLineChars="0"/>
              <w:rPr>
                <w:sz w:val="21"/>
                <w:szCs w:val="21"/>
              </w:rPr>
            </w:pPr>
            <w:r>
              <w:rPr>
                <w:rFonts w:hint="eastAsia"/>
                <w:sz w:val="21"/>
                <w:szCs w:val="21"/>
              </w:rPr>
              <w:t>1、</w:t>
            </w:r>
            <w:r>
              <w:rPr>
                <w:sz w:val="21"/>
                <w:szCs w:val="21"/>
              </w:rPr>
              <w:t>与项目可行性同期，委托评价单位进行项目的环境影响评价工作；</w:t>
            </w:r>
          </w:p>
          <w:p>
            <w:pPr>
              <w:spacing w:line="240" w:lineRule="auto"/>
              <w:ind w:firstLine="0" w:firstLineChars="0"/>
              <w:rPr>
                <w:sz w:val="21"/>
                <w:szCs w:val="21"/>
              </w:rPr>
            </w:pPr>
            <w:r>
              <w:rPr>
                <w:sz w:val="21"/>
                <w:szCs w:val="21"/>
              </w:rPr>
              <w:t>2、积极配合可研及环评单位所需进行现场调研；</w:t>
            </w:r>
          </w:p>
          <w:p>
            <w:pPr>
              <w:spacing w:line="240" w:lineRule="auto"/>
              <w:ind w:firstLine="0" w:firstLineChars="0"/>
              <w:rPr>
                <w:sz w:val="21"/>
                <w:szCs w:val="21"/>
              </w:rPr>
            </w:pPr>
            <w:r>
              <w:rPr>
                <w:sz w:val="21"/>
                <w:szCs w:val="21"/>
              </w:rPr>
              <w:t>3、针对项目的具体情况，建立企业内部必要的环境管理与监测制度；</w:t>
            </w:r>
          </w:p>
          <w:p>
            <w:pPr>
              <w:spacing w:line="240" w:lineRule="auto"/>
              <w:ind w:firstLine="0" w:firstLineChars="0"/>
              <w:rPr>
                <w:sz w:val="21"/>
                <w:szCs w:val="21"/>
              </w:rPr>
            </w:pPr>
            <w:r>
              <w:rPr>
                <w:sz w:val="21"/>
                <w:szCs w:val="21"/>
              </w:rPr>
              <w:t>4、对全厂职工进行岗位宣传和培训。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tcBorders>
              <w:tl2br w:val="nil"/>
              <w:tr2bl w:val="nil"/>
            </w:tcBorders>
            <w:vAlign w:val="center"/>
          </w:tcPr>
          <w:p>
            <w:pPr>
              <w:spacing w:line="240" w:lineRule="auto"/>
              <w:ind w:firstLine="0" w:firstLineChars="0"/>
              <w:jc w:val="center"/>
              <w:rPr>
                <w:b/>
                <w:bCs/>
                <w:sz w:val="21"/>
                <w:szCs w:val="21"/>
              </w:rPr>
            </w:pPr>
            <w:r>
              <w:rPr>
                <w:b/>
                <w:bCs/>
                <w:sz w:val="21"/>
                <w:szCs w:val="21"/>
              </w:rPr>
              <w:t>设计</w:t>
            </w:r>
          </w:p>
          <w:p>
            <w:pPr>
              <w:spacing w:line="240" w:lineRule="auto"/>
              <w:ind w:firstLine="0" w:firstLineChars="0"/>
              <w:jc w:val="center"/>
              <w:rPr>
                <w:b/>
                <w:bCs/>
                <w:sz w:val="21"/>
                <w:szCs w:val="21"/>
              </w:rPr>
            </w:pPr>
            <w:r>
              <w:rPr>
                <w:b/>
                <w:bCs/>
                <w:sz w:val="21"/>
                <w:szCs w:val="21"/>
              </w:rPr>
              <w:t>阶段</w:t>
            </w:r>
          </w:p>
        </w:tc>
        <w:tc>
          <w:tcPr>
            <w:tcW w:w="4427" w:type="pct"/>
            <w:tcBorders>
              <w:tl2br w:val="nil"/>
              <w:tr2bl w:val="nil"/>
            </w:tcBorders>
            <w:vAlign w:val="center"/>
          </w:tcPr>
          <w:p>
            <w:pPr>
              <w:spacing w:line="240" w:lineRule="auto"/>
              <w:ind w:firstLine="0" w:firstLineChars="0"/>
              <w:rPr>
                <w:sz w:val="21"/>
                <w:szCs w:val="21"/>
              </w:rPr>
            </w:pPr>
            <w:r>
              <w:rPr>
                <w:rFonts w:hint="eastAsia"/>
                <w:sz w:val="21"/>
                <w:szCs w:val="21"/>
              </w:rPr>
              <w:t>1、</w:t>
            </w:r>
            <w:r>
              <w:rPr>
                <w:sz w:val="21"/>
                <w:szCs w:val="21"/>
              </w:rPr>
              <w:t>委托设计单位对项目的环保工程进行设计，与主体工程同步进行；</w:t>
            </w:r>
          </w:p>
          <w:p>
            <w:pPr>
              <w:spacing w:line="240" w:lineRule="auto"/>
              <w:ind w:firstLine="0" w:firstLineChars="0"/>
              <w:rPr>
                <w:sz w:val="21"/>
                <w:szCs w:val="21"/>
              </w:rPr>
            </w:pPr>
            <w:r>
              <w:rPr>
                <w:rFonts w:hint="eastAsia"/>
                <w:sz w:val="21"/>
                <w:szCs w:val="21"/>
              </w:rPr>
              <w:t>2、</w:t>
            </w:r>
            <w:r>
              <w:rPr>
                <w:sz w:val="21"/>
                <w:szCs w:val="21"/>
              </w:rPr>
              <w:t>协助设计单位弄清楚现阶段的环境问题；</w:t>
            </w:r>
          </w:p>
          <w:p>
            <w:pPr>
              <w:spacing w:line="240" w:lineRule="auto"/>
              <w:ind w:firstLine="0" w:firstLineChars="0"/>
              <w:rPr>
                <w:sz w:val="21"/>
                <w:szCs w:val="21"/>
              </w:rPr>
            </w:pPr>
            <w:r>
              <w:rPr>
                <w:sz w:val="21"/>
                <w:szCs w:val="21"/>
              </w:rPr>
              <w:t>3、对污染物大的设备应该严格按照环保规范布置在厂区主导风向的下风向；</w:t>
            </w:r>
          </w:p>
          <w:p>
            <w:pPr>
              <w:spacing w:line="240" w:lineRule="auto"/>
              <w:ind w:firstLine="0" w:firstLineChars="0"/>
              <w:rPr>
                <w:sz w:val="21"/>
                <w:szCs w:val="21"/>
              </w:rPr>
            </w:pPr>
            <w:r>
              <w:rPr>
                <w:sz w:val="21"/>
                <w:szCs w:val="21"/>
              </w:rPr>
              <w:t>4、在设计中落实环境影响报告书提出的环保对策措施。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tcBorders>
              <w:tl2br w:val="nil"/>
              <w:tr2bl w:val="nil"/>
            </w:tcBorders>
            <w:vAlign w:val="center"/>
          </w:tcPr>
          <w:p>
            <w:pPr>
              <w:spacing w:line="240" w:lineRule="auto"/>
              <w:ind w:firstLine="0" w:firstLineChars="0"/>
              <w:jc w:val="center"/>
              <w:rPr>
                <w:b/>
                <w:bCs/>
                <w:sz w:val="21"/>
                <w:szCs w:val="21"/>
              </w:rPr>
            </w:pPr>
            <w:r>
              <w:rPr>
                <w:b/>
                <w:bCs/>
                <w:sz w:val="21"/>
                <w:szCs w:val="21"/>
              </w:rPr>
              <w:t>施工</w:t>
            </w:r>
          </w:p>
          <w:p>
            <w:pPr>
              <w:spacing w:line="240" w:lineRule="auto"/>
              <w:ind w:firstLine="0" w:firstLineChars="0"/>
              <w:jc w:val="center"/>
              <w:rPr>
                <w:b/>
                <w:bCs/>
                <w:sz w:val="21"/>
                <w:szCs w:val="21"/>
              </w:rPr>
            </w:pPr>
            <w:r>
              <w:rPr>
                <w:b/>
                <w:bCs/>
                <w:sz w:val="21"/>
                <w:szCs w:val="21"/>
              </w:rPr>
              <w:t>阶段</w:t>
            </w:r>
          </w:p>
        </w:tc>
        <w:tc>
          <w:tcPr>
            <w:tcW w:w="4427" w:type="pct"/>
            <w:tcBorders>
              <w:tl2br w:val="nil"/>
              <w:tr2bl w:val="nil"/>
            </w:tcBorders>
            <w:vAlign w:val="center"/>
          </w:tcPr>
          <w:p>
            <w:pPr>
              <w:spacing w:line="240" w:lineRule="auto"/>
              <w:ind w:firstLine="0" w:firstLineChars="0"/>
              <w:rPr>
                <w:sz w:val="21"/>
                <w:szCs w:val="21"/>
              </w:rPr>
            </w:pPr>
            <w:r>
              <w:rPr>
                <w:rFonts w:hint="eastAsia"/>
                <w:sz w:val="21"/>
                <w:szCs w:val="21"/>
              </w:rPr>
              <w:t>1、</w:t>
            </w:r>
            <w:r>
              <w:rPr>
                <w:sz w:val="21"/>
                <w:szCs w:val="21"/>
              </w:rPr>
              <w:t>严格执行“三同时”制度；</w:t>
            </w:r>
          </w:p>
          <w:p>
            <w:pPr>
              <w:spacing w:line="240" w:lineRule="auto"/>
              <w:ind w:firstLine="0" w:firstLineChars="0"/>
              <w:rPr>
                <w:sz w:val="21"/>
                <w:szCs w:val="21"/>
              </w:rPr>
            </w:pPr>
            <w:r>
              <w:rPr>
                <w:sz w:val="21"/>
                <w:szCs w:val="21"/>
              </w:rPr>
              <w:t>2、按照环评报告中提出的要求，制定出建设项目施工环保措施实施计划表，并与当地环保部门签订落实计划内的目标责任书；</w:t>
            </w:r>
          </w:p>
          <w:p>
            <w:pPr>
              <w:spacing w:line="240" w:lineRule="auto"/>
              <w:ind w:firstLine="0" w:firstLineChars="0"/>
              <w:rPr>
                <w:sz w:val="21"/>
                <w:szCs w:val="21"/>
              </w:rPr>
            </w:pPr>
            <w:r>
              <w:rPr>
                <w:sz w:val="21"/>
                <w:szCs w:val="21"/>
              </w:rPr>
              <w:t>3、认真监督主体工程与环保设施的同步建设；建立环保设施施工进度档案，确保环保工作的正常实施运行；</w:t>
            </w:r>
          </w:p>
          <w:p>
            <w:pPr>
              <w:spacing w:line="240" w:lineRule="auto"/>
              <w:ind w:firstLine="0" w:firstLineChars="0"/>
              <w:rPr>
                <w:sz w:val="21"/>
                <w:szCs w:val="21"/>
              </w:rPr>
            </w:pPr>
            <w:r>
              <w:rPr>
                <w:sz w:val="21"/>
                <w:szCs w:val="21"/>
              </w:rPr>
              <w:t>4、施工噪声与振动要符合《中华人民共和国环境噪声污染防治法》有关规定，不得干扰周围群众的正常生活和工作；</w:t>
            </w:r>
          </w:p>
          <w:p>
            <w:pPr>
              <w:spacing w:line="240" w:lineRule="auto"/>
              <w:ind w:firstLine="0" w:firstLineChars="0"/>
              <w:rPr>
                <w:sz w:val="21"/>
                <w:szCs w:val="21"/>
              </w:rPr>
            </w:pPr>
            <w:r>
              <w:rPr>
                <w:sz w:val="21"/>
                <w:szCs w:val="21"/>
              </w:rPr>
              <w:t>5、监督环保工程的实施情况，施工阶段的环保工程进展情况和环保投资落实情况定期(每季度)向环保主管部门汇报一次。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2" w:type="pct"/>
            <w:tcBorders>
              <w:tl2br w:val="nil"/>
              <w:tr2bl w:val="nil"/>
            </w:tcBorders>
            <w:vAlign w:val="center"/>
          </w:tcPr>
          <w:p>
            <w:pPr>
              <w:spacing w:line="240" w:lineRule="auto"/>
              <w:ind w:firstLine="0" w:firstLineChars="0"/>
              <w:jc w:val="center"/>
              <w:rPr>
                <w:b/>
                <w:bCs/>
                <w:sz w:val="21"/>
                <w:szCs w:val="21"/>
              </w:rPr>
            </w:pPr>
            <w:r>
              <w:rPr>
                <w:b/>
                <w:bCs/>
                <w:sz w:val="21"/>
                <w:szCs w:val="21"/>
              </w:rPr>
              <w:t>运营期</w:t>
            </w:r>
          </w:p>
        </w:tc>
        <w:tc>
          <w:tcPr>
            <w:tcW w:w="4427" w:type="pct"/>
            <w:tcBorders>
              <w:tl2br w:val="nil"/>
              <w:tr2bl w:val="nil"/>
            </w:tcBorders>
            <w:vAlign w:val="center"/>
          </w:tcPr>
          <w:p>
            <w:pPr>
              <w:spacing w:line="240" w:lineRule="auto"/>
              <w:ind w:firstLine="0" w:firstLineChars="0"/>
              <w:rPr>
                <w:sz w:val="21"/>
                <w:szCs w:val="21"/>
              </w:rPr>
            </w:pPr>
            <w:r>
              <w:rPr>
                <w:sz w:val="21"/>
                <w:szCs w:val="21"/>
              </w:rPr>
              <w:t>1、严格执行各项生产及环境管理制度，保证生产的正常运行；</w:t>
            </w:r>
          </w:p>
          <w:p>
            <w:pPr>
              <w:spacing w:line="240" w:lineRule="auto"/>
              <w:ind w:firstLine="0" w:firstLineChars="0"/>
              <w:rPr>
                <w:sz w:val="21"/>
                <w:szCs w:val="21"/>
              </w:rPr>
            </w:pPr>
            <w:r>
              <w:rPr>
                <w:sz w:val="21"/>
                <w:szCs w:val="21"/>
              </w:rPr>
              <w:t>2、设立环保设施运行卡，对环保设施定期进行检查、维护，做到勤查、勤记、勤养护，按照监测计划定期组织进行全厂污染源监测，对不达标环保设施寻找原因，及时处理；</w:t>
            </w:r>
          </w:p>
          <w:p>
            <w:pPr>
              <w:spacing w:line="240" w:lineRule="auto"/>
              <w:ind w:firstLine="0" w:firstLineChars="0"/>
              <w:rPr>
                <w:sz w:val="21"/>
                <w:szCs w:val="21"/>
              </w:rPr>
            </w:pPr>
            <w:r>
              <w:rPr>
                <w:sz w:val="21"/>
                <w:szCs w:val="21"/>
              </w:rPr>
              <w:t>3、建立运行记录制度，如实记录记载有关运行管理情况，主要包括不同废物的接受情况、入炉情况、设施运行参数、环境监测数据等。 运行情况记录薄应当按照国家的有关档案管理的法律法规进行管理和保管。4、加强技术培训，组织企业内部之间技术交流，提高企业内部员工的业务水平，保持内部职工素质稳定；</w:t>
            </w:r>
          </w:p>
          <w:p>
            <w:pPr>
              <w:spacing w:line="240" w:lineRule="auto"/>
              <w:ind w:firstLine="0" w:firstLineChars="0"/>
              <w:rPr>
                <w:sz w:val="21"/>
                <w:szCs w:val="21"/>
              </w:rPr>
            </w:pPr>
            <w:r>
              <w:rPr>
                <w:sz w:val="21"/>
                <w:szCs w:val="21"/>
              </w:rPr>
              <w:t>5、重视群众监督作用，提高企业职工环境意识，鼓励职工及外部人员对生产状况提出意见，并通过积极吸收宝贵意见，提高企业环境管理水平；6、积极配合环保部门的检查、验收。</w:t>
            </w:r>
          </w:p>
        </w:tc>
      </w:tr>
    </w:tbl>
    <w:p>
      <w:pPr>
        <w:pStyle w:val="6"/>
        <w:ind w:firstLine="482"/>
      </w:pPr>
      <w:bookmarkStart w:id="926" w:name="_Toc9309"/>
      <w:bookmarkStart w:id="927" w:name="_Toc17965"/>
      <w:bookmarkStart w:id="928" w:name="_Toc26980"/>
      <w:bookmarkStart w:id="929" w:name="_Toc10774"/>
      <w:bookmarkStart w:id="930" w:name="_Toc29135_WPSOffice_Level1"/>
      <w:bookmarkStart w:id="931" w:name="_Toc22577"/>
      <w:bookmarkStart w:id="932" w:name="_Toc203800799"/>
      <w:bookmarkStart w:id="933" w:name="_Toc19361"/>
      <w:r>
        <w:rPr>
          <w:rFonts w:hint="eastAsia"/>
          <w:lang w:val="en-US" w:eastAsia="zh-CN"/>
        </w:rPr>
        <w:t>10</w:t>
      </w:r>
      <w:r>
        <w:rPr>
          <w:rFonts w:hint="eastAsia"/>
        </w:rPr>
        <w:t>.1.3、污染物排放管理</w:t>
      </w:r>
      <w:bookmarkEnd w:id="926"/>
      <w:bookmarkEnd w:id="927"/>
    </w:p>
    <w:p>
      <w:pPr>
        <w:pStyle w:val="7"/>
        <w:ind w:firstLine="482"/>
      </w:pPr>
      <w:r>
        <w:rPr>
          <w:rFonts w:hint="eastAsia"/>
          <w:lang w:val="en-US" w:eastAsia="zh-CN"/>
        </w:rPr>
        <w:t>10</w:t>
      </w:r>
      <w:r>
        <w:rPr>
          <w:rFonts w:hint="eastAsia"/>
        </w:rPr>
        <w:t>.1.3.1、污染物排放清单</w:t>
      </w:r>
    </w:p>
    <w:p>
      <w:pPr>
        <w:ind w:firstLine="48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rPr>
        <w:t>项目污染物排放清单见表</w:t>
      </w:r>
      <w:r>
        <w:rPr>
          <w:rFonts w:hint="eastAsia"/>
          <w:lang w:val="en-US" w:eastAsia="zh-CN"/>
        </w:rPr>
        <w:t>10</w:t>
      </w:r>
      <w:r>
        <w:rPr>
          <w:rFonts w:hint="eastAsia"/>
        </w:rPr>
        <w:t>.2。</w:t>
      </w:r>
    </w:p>
    <w:p>
      <w:pPr>
        <w:spacing w:line="240" w:lineRule="auto"/>
        <w:ind w:firstLine="482"/>
        <w:jc w:val="center"/>
        <w:rPr>
          <w:b/>
          <w:bCs/>
        </w:rPr>
      </w:pPr>
      <w:r>
        <w:rPr>
          <w:b/>
          <w:bCs/>
        </w:rPr>
        <w:t>表</w:t>
      </w:r>
      <w:r>
        <w:rPr>
          <w:rFonts w:hint="eastAsia"/>
          <w:b/>
          <w:bCs/>
          <w:lang w:val="en-US" w:eastAsia="zh-CN"/>
        </w:rPr>
        <w:t>10</w:t>
      </w:r>
      <w:r>
        <w:rPr>
          <w:rFonts w:hint="eastAsia"/>
          <w:b/>
          <w:bCs/>
        </w:rPr>
        <w:t>.2</w:t>
      </w:r>
      <w:r>
        <w:rPr>
          <w:b/>
          <w:bCs/>
        </w:rPr>
        <w:t xml:space="preserve">     污染物排放清单一览表</w:t>
      </w:r>
    </w:p>
    <w:tbl>
      <w:tblPr>
        <w:tblStyle w:val="32"/>
        <w:tblW w:w="5185" w:type="pct"/>
        <w:jc w:val="center"/>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Layout w:type="fixed"/>
        <w:tblCellMar>
          <w:top w:w="0" w:type="dxa"/>
          <w:left w:w="108" w:type="dxa"/>
          <w:bottom w:w="0" w:type="dxa"/>
          <w:right w:w="108" w:type="dxa"/>
        </w:tblCellMar>
      </w:tblPr>
      <w:tblGrid>
        <w:gridCol w:w="852"/>
        <w:gridCol w:w="748"/>
        <w:gridCol w:w="1637"/>
        <w:gridCol w:w="1573"/>
        <w:gridCol w:w="559"/>
        <w:gridCol w:w="1847"/>
        <w:gridCol w:w="1690"/>
        <w:gridCol w:w="115"/>
        <w:gridCol w:w="1245"/>
        <w:gridCol w:w="1231"/>
        <w:gridCol w:w="3949"/>
      </w:tblGrid>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tcBorders>
              <w:tl2br w:val="nil"/>
              <w:tr2bl w:val="nil"/>
            </w:tcBorders>
            <w:vAlign w:val="center"/>
          </w:tcPr>
          <w:p>
            <w:pPr>
              <w:spacing w:line="240" w:lineRule="auto"/>
              <w:ind w:firstLine="0" w:firstLineChars="0"/>
              <w:jc w:val="center"/>
              <w:rPr>
                <w:b/>
                <w:bCs/>
                <w:sz w:val="21"/>
                <w:szCs w:val="21"/>
              </w:rPr>
            </w:pPr>
            <w:r>
              <w:rPr>
                <w:b/>
                <w:bCs/>
                <w:sz w:val="21"/>
                <w:szCs w:val="21"/>
              </w:rPr>
              <w:t>序号</w:t>
            </w:r>
          </w:p>
        </w:tc>
        <w:tc>
          <w:tcPr>
            <w:tcW w:w="242" w:type="pc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1219" w:type="pct"/>
            <w:gridSpan w:val="3"/>
            <w:tcBorders>
              <w:tl2br w:val="nil"/>
              <w:tr2bl w:val="nil"/>
            </w:tcBorders>
            <w:vAlign w:val="center"/>
          </w:tcPr>
          <w:p>
            <w:pPr>
              <w:spacing w:line="240" w:lineRule="auto"/>
              <w:ind w:firstLine="0" w:firstLineChars="0"/>
              <w:jc w:val="center"/>
              <w:rPr>
                <w:b/>
                <w:bCs/>
                <w:sz w:val="21"/>
                <w:szCs w:val="21"/>
              </w:rPr>
            </w:pPr>
            <w:r>
              <w:rPr>
                <w:b/>
                <w:bCs/>
                <w:sz w:val="21"/>
                <w:szCs w:val="21"/>
              </w:rPr>
              <w:t>污染源名称</w:t>
            </w:r>
          </w:p>
        </w:tc>
        <w:tc>
          <w:tcPr>
            <w:tcW w:w="1983" w:type="pct"/>
            <w:gridSpan w:val="5"/>
            <w:tcBorders>
              <w:tl2br w:val="nil"/>
              <w:tr2bl w:val="nil"/>
            </w:tcBorders>
            <w:vAlign w:val="center"/>
          </w:tcPr>
          <w:p>
            <w:pPr>
              <w:spacing w:line="240" w:lineRule="auto"/>
              <w:ind w:firstLine="0" w:firstLineChars="0"/>
              <w:jc w:val="center"/>
              <w:rPr>
                <w:b/>
                <w:bCs/>
                <w:sz w:val="21"/>
                <w:szCs w:val="21"/>
              </w:rPr>
            </w:pPr>
            <w:r>
              <w:rPr>
                <w:b/>
                <w:bCs/>
                <w:sz w:val="21"/>
                <w:szCs w:val="21"/>
              </w:rPr>
              <w:t>拟采取的环境保护措施</w:t>
            </w:r>
          </w:p>
        </w:tc>
        <w:tc>
          <w:tcPr>
            <w:tcW w:w="1278" w:type="pct"/>
            <w:tcBorders>
              <w:tl2br w:val="nil"/>
              <w:tr2bl w:val="nil"/>
            </w:tcBorders>
            <w:vAlign w:val="center"/>
          </w:tcPr>
          <w:p>
            <w:pPr>
              <w:spacing w:line="240" w:lineRule="auto"/>
              <w:ind w:firstLine="0" w:firstLineChars="0"/>
              <w:jc w:val="center"/>
              <w:rPr>
                <w:b/>
                <w:bCs/>
                <w:sz w:val="21"/>
                <w:szCs w:val="21"/>
              </w:rPr>
            </w:pPr>
            <w:r>
              <w:rPr>
                <w:b/>
                <w:bCs/>
                <w:sz w:val="21"/>
                <w:szCs w:val="21"/>
              </w:rPr>
              <w:t>执行的排放标准</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00" w:type="pct"/>
            <w:gridSpan w:val="11"/>
            <w:tcBorders>
              <w:tl2br w:val="nil"/>
              <w:tr2bl w:val="nil"/>
            </w:tcBorders>
            <w:vAlign w:val="center"/>
          </w:tcPr>
          <w:p>
            <w:pPr>
              <w:spacing w:line="240" w:lineRule="auto"/>
              <w:ind w:firstLine="0" w:firstLineChars="0"/>
              <w:rPr>
                <w:sz w:val="21"/>
                <w:szCs w:val="21"/>
              </w:rPr>
            </w:pPr>
            <w:r>
              <w:rPr>
                <w:b/>
                <w:bCs/>
                <w:sz w:val="21"/>
                <w:szCs w:val="21"/>
              </w:rPr>
              <w:t>一、污染物排放情况及拟采取的环境保护措施</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restart"/>
            <w:tcBorders>
              <w:tl2br w:val="nil"/>
              <w:tr2bl w:val="nil"/>
            </w:tcBorders>
            <w:vAlign w:val="center"/>
          </w:tcPr>
          <w:p>
            <w:pPr>
              <w:spacing w:line="240" w:lineRule="auto"/>
              <w:ind w:firstLine="0" w:firstLineChars="0"/>
              <w:jc w:val="center"/>
              <w:rPr>
                <w:sz w:val="21"/>
                <w:szCs w:val="21"/>
              </w:rPr>
            </w:pPr>
            <w:r>
              <w:rPr>
                <w:sz w:val="21"/>
                <w:szCs w:val="21"/>
              </w:rPr>
              <w:t>1</w:t>
            </w:r>
          </w:p>
        </w:tc>
        <w:tc>
          <w:tcPr>
            <w:tcW w:w="242" w:type="pct"/>
            <w:vMerge w:val="restart"/>
            <w:tcBorders>
              <w:tl2br w:val="nil"/>
              <w:tr2bl w:val="nil"/>
            </w:tcBorders>
            <w:vAlign w:val="center"/>
          </w:tcPr>
          <w:p>
            <w:pPr>
              <w:spacing w:line="240" w:lineRule="auto"/>
              <w:ind w:firstLine="0" w:firstLineChars="0"/>
              <w:jc w:val="center"/>
              <w:rPr>
                <w:sz w:val="21"/>
                <w:szCs w:val="21"/>
              </w:rPr>
            </w:pPr>
            <w:r>
              <w:rPr>
                <w:sz w:val="21"/>
                <w:szCs w:val="21"/>
              </w:rPr>
              <w:t>废气</w:t>
            </w:r>
          </w:p>
        </w:tc>
        <w:tc>
          <w:tcPr>
            <w:tcW w:w="1219" w:type="pct"/>
            <w:gridSpan w:val="3"/>
            <w:tcBorders>
              <w:tl2br w:val="nil"/>
              <w:tr2bl w:val="nil"/>
            </w:tcBorders>
            <w:vAlign w:val="center"/>
          </w:tcPr>
          <w:p>
            <w:pPr>
              <w:spacing w:line="240" w:lineRule="auto"/>
              <w:ind w:firstLine="0" w:firstLineChars="0"/>
              <w:jc w:val="center"/>
              <w:rPr>
                <w:sz w:val="21"/>
                <w:szCs w:val="21"/>
              </w:rPr>
            </w:pPr>
            <w:r>
              <w:rPr>
                <w:rFonts w:hint="eastAsia"/>
                <w:sz w:val="21"/>
                <w:szCs w:val="21"/>
              </w:rPr>
              <w:t>待宰圈恶臭气体（无组织）</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干清粪工艺（日产日清）+定期喷洒生物除臭剂，NH</w:t>
            </w:r>
            <w:r>
              <w:rPr>
                <w:sz w:val="21"/>
                <w:szCs w:val="21"/>
                <w:vertAlign w:val="subscript"/>
              </w:rPr>
              <w:t>3</w:t>
            </w:r>
            <w:r>
              <w:rPr>
                <w:sz w:val="21"/>
                <w:szCs w:val="21"/>
              </w:rPr>
              <w:t>和H</w:t>
            </w:r>
            <w:r>
              <w:rPr>
                <w:sz w:val="21"/>
                <w:szCs w:val="21"/>
                <w:vertAlign w:val="subscript"/>
              </w:rPr>
              <w:t>2</w:t>
            </w:r>
            <w:r>
              <w:rPr>
                <w:sz w:val="21"/>
                <w:szCs w:val="21"/>
              </w:rPr>
              <w:t>S去除效率不低于80%</w:t>
            </w:r>
          </w:p>
        </w:tc>
        <w:tc>
          <w:tcPr>
            <w:tcW w:w="1278" w:type="pct"/>
            <w:tcBorders>
              <w:tl2br w:val="nil"/>
              <w:tr2bl w:val="nil"/>
            </w:tcBorders>
            <w:vAlign w:val="center"/>
          </w:tcPr>
          <w:p>
            <w:pPr>
              <w:spacing w:line="240" w:lineRule="auto"/>
              <w:ind w:firstLine="0" w:firstLineChars="0"/>
              <w:rPr>
                <w:sz w:val="21"/>
                <w:szCs w:val="21"/>
              </w:rPr>
            </w:pPr>
            <w:r>
              <w:rPr>
                <w:sz w:val="21"/>
                <w:szCs w:val="21"/>
              </w:rPr>
              <w:t>《恶臭污染物排放标准》（GB</w:t>
            </w:r>
            <w:r>
              <w:rPr>
                <w:rFonts w:hint="eastAsia"/>
                <w:sz w:val="21"/>
                <w:szCs w:val="21"/>
              </w:rPr>
              <w:t>14554</w:t>
            </w:r>
            <w:r>
              <w:rPr>
                <w:sz w:val="21"/>
                <w:szCs w:val="21"/>
              </w:rPr>
              <w:t>-9</w:t>
            </w:r>
            <w:r>
              <w:rPr>
                <w:rFonts w:hint="eastAsia"/>
                <w:sz w:val="21"/>
                <w:szCs w:val="21"/>
              </w:rPr>
              <w:t>3</w:t>
            </w:r>
            <w:r>
              <w:rPr>
                <w:sz w:val="21"/>
                <w:szCs w:val="21"/>
              </w:rPr>
              <w:t>）表</w:t>
            </w:r>
            <w:r>
              <w:rPr>
                <w:rFonts w:hint="eastAsia"/>
                <w:sz w:val="21"/>
                <w:szCs w:val="21"/>
              </w:rPr>
              <w:t>1</w:t>
            </w:r>
            <w:r>
              <w:rPr>
                <w:sz w:val="21"/>
                <w:szCs w:val="21"/>
              </w:rPr>
              <w:t>中的</w:t>
            </w:r>
            <w:r>
              <w:rPr>
                <w:rFonts w:hint="eastAsia"/>
                <w:sz w:val="21"/>
                <w:szCs w:val="21"/>
              </w:rPr>
              <w:t>无组织标准</w:t>
            </w:r>
            <w:r>
              <w:rPr>
                <w:rFonts w:hint="eastAsia"/>
                <w:sz w:val="21"/>
                <w:szCs w:val="21"/>
                <w:lang w:val="en-US" w:eastAsia="zh-CN"/>
              </w:rPr>
              <w:t>限值</w:t>
            </w:r>
            <w:r>
              <w:rPr>
                <w:rFonts w:hint="eastAsia"/>
                <w:sz w:val="21"/>
                <w:szCs w:val="21"/>
              </w:rPr>
              <w:t>要求</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rFonts w:hint="eastAsia"/>
                <w:sz w:val="21"/>
                <w:szCs w:val="21"/>
              </w:rPr>
              <w:t>屠宰车间恶臭气体（有组织）</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集气系统+活性炭吸附+15m高排气筒，处理效率不低于70%，集气效率不低于90%</w:t>
            </w:r>
          </w:p>
        </w:tc>
        <w:tc>
          <w:tcPr>
            <w:tcW w:w="1278" w:type="pct"/>
            <w:tcBorders>
              <w:tl2br w:val="nil"/>
              <w:tr2bl w:val="nil"/>
            </w:tcBorders>
            <w:vAlign w:val="center"/>
          </w:tcPr>
          <w:p>
            <w:pPr>
              <w:spacing w:line="240" w:lineRule="auto"/>
              <w:ind w:firstLine="0" w:firstLineChars="0"/>
              <w:rPr>
                <w:sz w:val="21"/>
                <w:szCs w:val="21"/>
              </w:rPr>
            </w:pPr>
            <w:r>
              <w:rPr>
                <w:sz w:val="21"/>
                <w:szCs w:val="21"/>
              </w:rPr>
              <w:t>《恶臭污染物排放标准》（GB</w:t>
            </w:r>
            <w:r>
              <w:rPr>
                <w:rFonts w:hint="eastAsia"/>
                <w:sz w:val="21"/>
                <w:szCs w:val="21"/>
              </w:rPr>
              <w:t>14554</w:t>
            </w:r>
            <w:r>
              <w:rPr>
                <w:sz w:val="21"/>
                <w:szCs w:val="21"/>
              </w:rPr>
              <w:t>-9</w:t>
            </w:r>
            <w:r>
              <w:rPr>
                <w:rFonts w:hint="eastAsia"/>
                <w:sz w:val="21"/>
                <w:szCs w:val="21"/>
              </w:rPr>
              <w:t>3</w:t>
            </w:r>
            <w:r>
              <w:rPr>
                <w:sz w:val="21"/>
                <w:szCs w:val="21"/>
              </w:rPr>
              <w:t>）表</w:t>
            </w:r>
            <w:r>
              <w:rPr>
                <w:rFonts w:hint="eastAsia"/>
                <w:sz w:val="21"/>
                <w:szCs w:val="21"/>
              </w:rPr>
              <w:t>2</w:t>
            </w:r>
            <w:r>
              <w:rPr>
                <w:sz w:val="21"/>
                <w:szCs w:val="21"/>
              </w:rPr>
              <w:t>中的</w:t>
            </w:r>
            <w:r>
              <w:rPr>
                <w:rFonts w:hint="eastAsia"/>
                <w:sz w:val="21"/>
                <w:szCs w:val="21"/>
              </w:rPr>
              <w:t>有组织标准</w:t>
            </w:r>
            <w:r>
              <w:rPr>
                <w:rFonts w:hint="eastAsia"/>
                <w:sz w:val="21"/>
                <w:szCs w:val="21"/>
                <w:lang w:val="en-US" w:eastAsia="zh-CN"/>
              </w:rPr>
              <w:t>限值</w:t>
            </w:r>
            <w:r>
              <w:rPr>
                <w:rFonts w:hint="eastAsia"/>
                <w:sz w:val="21"/>
                <w:szCs w:val="21"/>
              </w:rPr>
              <w:t>要求</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牛羊预制品生产线烹饪油烟</w:t>
            </w:r>
            <w:r>
              <w:rPr>
                <w:rFonts w:hint="eastAsia"/>
                <w:sz w:val="21"/>
                <w:szCs w:val="21"/>
              </w:rPr>
              <w:t>（有组织）</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静电油烟处理</w:t>
            </w:r>
            <w:r>
              <w:rPr>
                <w:rFonts w:hint="eastAsia"/>
                <w:sz w:val="21"/>
                <w:szCs w:val="21"/>
              </w:rPr>
              <w:t>装置</w:t>
            </w:r>
            <w:r>
              <w:rPr>
                <w:sz w:val="21"/>
                <w:szCs w:val="21"/>
              </w:rPr>
              <w:t>，净化效率不低于90%</w:t>
            </w:r>
          </w:p>
        </w:tc>
        <w:tc>
          <w:tcPr>
            <w:tcW w:w="1278" w:type="pct"/>
            <w:tcBorders>
              <w:tl2br w:val="nil"/>
              <w:tr2bl w:val="nil"/>
            </w:tcBorders>
            <w:vAlign w:val="center"/>
          </w:tcPr>
          <w:p>
            <w:pPr>
              <w:spacing w:line="240" w:lineRule="auto"/>
              <w:ind w:firstLine="0" w:firstLineChars="0"/>
              <w:rPr>
                <w:sz w:val="21"/>
                <w:szCs w:val="21"/>
              </w:rPr>
            </w:pPr>
            <w:r>
              <w:rPr>
                <w:sz w:val="21"/>
                <w:szCs w:val="21"/>
              </w:rPr>
              <w:t>《</w:t>
            </w:r>
            <w:r>
              <w:rPr>
                <w:rFonts w:hint="eastAsia"/>
                <w:sz w:val="21"/>
                <w:szCs w:val="21"/>
              </w:rPr>
              <w:t>饮食业油烟排放标准</w:t>
            </w:r>
            <w:r>
              <w:rPr>
                <w:sz w:val="21"/>
                <w:szCs w:val="21"/>
              </w:rPr>
              <w:t>》（GB</w:t>
            </w:r>
            <w:r>
              <w:rPr>
                <w:rFonts w:hint="eastAsia"/>
                <w:sz w:val="21"/>
                <w:szCs w:val="21"/>
              </w:rPr>
              <w:t>18483</w:t>
            </w:r>
            <w:r>
              <w:rPr>
                <w:sz w:val="21"/>
                <w:szCs w:val="21"/>
              </w:rPr>
              <w:t>-</w:t>
            </w:r>
            <w:r>
              <w:rPr>
                <w:rFonts w:hint="eastAsia"/>
                <w:sz w:val="21"/>
                <w:szCs w:val="21"/>
              </w:rPr>
              <w:t>2001</w:t>
            </w:r>
            <w:r>
              <w:rPr>
                <w:sz w:val="21"/>
                <w:szCs w:val="21"/>
              </w:rPr>
              <w:t>）中</w:t>
            </w:r>
            <w:r>
              <w:rPr>
                <w:rFonts w:hint="eastAsia"/>
                <w:sz w:val="21"/>
                <w:szCs w:val="21"/>
              </w:rPr>
              <w:t>大型标准限值要求</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restart"/>
            <w:tcBorders>
              <w:tl2br w:val="nil"/>
              <w:tr2bl w:val="nil"/>
            </w:tcBorders>
            <w:vAlign w:val="center"/>
          </w:tcPr>
          <w:p>
            <w:pPr>
              <w:spacing w:line="240" w:lineRule="auto"/>
              <w:ind w:firstLine="0" w:firstLineChars="0"/>
              <w:jc w:val="center"/>
              <w:rPr>
                <w:sz w:val="21"/>
                <w:szCs w:val="21"/>
              </w:rPr>
            </w:pPr>
            <w:r>
              <w:rPr>
                <w:sz w:val="21"/>
                <w:szCs w:val="21"/>
              </w:rPr>
              <w:t>2</w:t>
            </w:r>
          </w:p>
        </w:tc>
        <w:tc>
          <w:tcPr>
            <w:tcW w:w="242" w:type="pct"/>
            <w:vMerge w:val="restart"/>
            <w:tcBorders>
              <w:tl2br w:val="nil"/>
              <w:tr2bl w:val="nil"/>
            </w:tcBorders>
            <w:vAlign w:val="center"/>
          </w:tcPr>
          <w:p>
            <w:pPr>
              <w:spacing w:line="240" w:lineRule="auto"/>
              <w:ind w:firstLine="0" w:firstLineChars="0"/>
              <w:jc w:val="center"/>
              <w:rPr>
                <w:sz w:val="21"/>
                <w:szCs w:val="21"/>
              </w:rPr>
            </w:pPr>
            <w:r>
              <w:rPr>
                <w:sz w:val="21"/>
                <w:szCs w:val="21"/>
              </w:rPr>
              <w:t>废水</w:t>
            </w: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羊尿液</w:t>
            </w:r>
          </w:p>
        </w:tc>
        <w:tc>
          <w:tcPr>
            <w:tcW w:w="1182" w:type="pct"/>
            <w:gridSpan w:val="3"/>
            <w:vMerge w:val="restart"/>
            <w:tcBorders>
              <w:tl2br w:val="nil"/>
              <w:tr2bl w:val="nil"/>
            </w:tcBorders>
            <w:vAlign w:val="center"/>
          </w:tcPr>
          <w:p>
            <w:pPr>
              <w:spacing w:line="240" w:lineRule="auto"/>
              <w:ind w:firstLine="0" w:firstLineChars="0"/>
              <w:rPr>
                <w:sz w:val="21"/>
                <w:szCs w:val="21"/>
              </w:rPr>
            </w:pPr>
            <w:r>
              <w:rPr>
                <w:rFonts w:hint="eastAsia"/>
                <w:sz w:val="21"/>
                <w:szCs w:val="21"/>
              </w:rPr>
              <w:t>生活污水经厂区隔油池、化粪池预处理后与生产废水一起排入厂区污水处理站进行处理，处理后的达标废水全部用于饲草区灌溉，非灌溉期达标废水全部暂存在达标废水暂存池，暂存后用于灌溉期灌溉</w:t>
            </w:r>
          </w:p>
        </w:tc>
        <w:tc>
          <w:tcPr>
            <w:tcW w:w="801" w:type="pct"/>
            <w:gridSpan w:val="2"/>
            <w:vMerge w:val="restart"/>
            <w:tcBorders>
              <w:tl2br w:val="nil"/>
              <w:tr2bl w:val="nil"/>
            </w:tcBorders>
            <w:vAlign w:val="center"/>
          </w:tcPr>
          <w:p>
            <w:pPr>
              <w:spacing w:line="240" w:lineRule="auto"/>
              <w:ind w:firstLine="0" w:firstLineChars="0"/>
              <w:rPr>
                <w:sz w:val="21"/>
                <w:szCs w:val="21"/>
              </w:rPr>
            </w:pPr>
            <w:r>
              <w:rPr>
                <w:sz w:val="21"/>
                <w:szCs w:val="21"/>
              </w:rPr>
              <w:t>1座污水处理站，处理规模</w:t>
            </w:r>
            <w:r>
              <w:rPr>
                <w:rFonts w:hint="eastAsia"/>
                <w:sz w:val="21"/>
                <w:szCs w:val="21"/>
              </w:rPr>
              <w:t>1</w:t>
            </w:r>
            <w:r>
              <w:rPr>
                <w:rFonts w:hint="eastAsia"/>
                <w:sz w:val="21"/>
                <w:szCs w:val="21"/>
                <w:lang w:val="en-US" w:eastAsia="zh-CN"/>
              </w:rPr>
              <w:t>5</w:t>
            </w:r>
            <w:r>
              <w:rPr>
                <w:rFonts w:hint="eastAsia"/>
                <w:sz w:val="21"/>
                <w:szCs w:val="21"/>
              </w:rPr>
              <w:t>00</w:t>
            </w:r>
            <w:r>
              <w:rPr>
                <w:sz w:val="21"/>
                <w:szCs w:val="21"/>
              </w:rPr>
              <w:t>m</w:t>
            </w:r>
            <w:r>
              <w:rPr>
                <w:sz w:val="21"/>
                <w:szCs w:val="21"/>
                <w:vertAlign w:val="superscript"/>
              </w:rPr>
              <w:t>3</w:t>
            </w:r>
            <w:r>
              <w:rPr>
                <w:sz w:val="21"/>
                <w:szCs w:val="21"/>
              </w:rPr>
              <w:t>/d</w:t>
            </w:r>
            <w:r>
              <w:rPr>
                <w:rFonts w:hint="eastAsia"/>
                <w:sz w:val="21"/>
                <w:szCs w:val="21"/>
              </w:rPr>
              <w:t>，现有的1座2万m</w:t>
            </w:r>
            <w:r>
              <w:rPr>
                <w:rFonts w:hint="eastAsia"/>
                <w:sz w:val="21"/>
                <w:szCs w:val="21"/>
                <w:vertAlign w:val="superscript"/>
              </w:rPr>
              <w:t>3</w:t>
            </w:r>
            <w:r>
              <w:rPr>
                <w:rFonts w:hint="eastAsia"/>
                <w:sz w:val="21"/>
                <w:szCs w:val="21"/>
              </w:rPr>
              <w:t>的达标废水暂存池和新建1座80000</w:t>
            </w:r>
            <w:r>
              <w:rPr>
                <w:sz w:val="21"/>
                <w:szCs w:val="21"/>
              </w:rPr>
              <w:t>m</w:t>
            </w:r>
            <w:r>
              <w:rPr>
                <w:sz w:val="21"/>
                <w:szCs w:val="21"/>
                <w:vertAlign w:val="superscript"/>
              </w:rPr>
              <w:t>3</w:t>
            </w:r>
            <w:r>
              <w:rPr>
                <w:rFonts w:hint="eastAsia"/>
                <w:sz w:val="21"/>
                <w:szCs w:val="21"/>
              </w:rPr>
              <w:t>的达标废水暂存池</w:t>
            </w:r>
          </w:p>
        </w:tc>
        <w:tc>
          <w:tcPr>
            <w:tcW w:w="1278" w:type="pct"/>
            <w:vMerge w:val="restart"/>
            <w:tcBorders>
              <w:tl2br w:val="nil"/>
              <w:tr2bl w:val="nil"/>
            </w:tcBorders>
            <w:vAlign w:val="center"/>
          </w:tcPr>
          <w:p>
            <w:pPr>
              <w:spacing w:line="240" w:lineRule="auto"/>
              <w:ind w:firstLine="0" w:firstLineChars="0"/>
              <w:rPr>
                <w:sz w:val="21"/>
                <w:szCs w:val="21"/>
              </w:rPr>
            </w:pPr>
            <w:r>
              <w:rPr>
                <w:rFonts w:hint="eastAsia"/>
                <w:sz w:val="21"/>
                <w:szCs w:val="21"/>
                <w:lang w:val="en-US" w:eastAsia="zh-CN"/>
              </w:rPr>
              <w:t>《肉类加工工业水污染物排放标准》（GB13457-92）表3中的肉制品加工一级标准和</w:t>
            </w:r>
            <w:r>
              <w:rPr>
                <w:sz w:val="21"/>
                <w:szCs w:val="21"/>
              </w:rPr>
              <w:t>《农田灌溉水质标准》（GB5084-20</w:t>
            </w:r>
            <w:r>
              <w:rPr>
                <w:rFonts w:hint="eastAsia"/>
                <w:sz w:val="21"/>
                <w:szCs w:val="21"/>
              </w:rPr>
              <w:t>21</w:t>
            </w:r>
            <w:r>
              <w:rPr>
                <w:sz w:val="21"/>
                <w:szCs w:val="21"/>
              </w:rPr>
              <w:t>）</w:t>
            </w:r>
            <w:r>
              <w:rPr>
                <w:rFonts w:hint="eastAsia"/>
                <w:sz w:val="21"/>
                <w:szCs w:val="21"/>
                <w:lang w:val="en-US" w:eastAsia="zh-CN"/>
              </w:rPr>
              <w:t>中的旱作标准</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肉羊精深加工生产线屠宰废水</w:t>
            </w:r>
          </w:p>
        </w:tc>
        <w:tc>
          <w:tcPr>
            <w:tcW w:w="1182" w:type="pct"/>
            <w:gridSpan w:val="3"/>
            <w:vMerge w:val="continue"/>
            <w:tcBorders>
              <w:tl2br w:val="nil"/>
              <w:tr2bl w:val="nil"/>
            </w:tcBorders>
            <w:vAlign w:val="center"/>
          </w:tcPr>
          <w:p>
            <w:pPr>
              <w:spacing w:line="240" w:lineRule="auto"/>
              <w:ind w:firstLine="0" w:firstLineChars="0"/>
              <w:rPr>
                <w:sz w:val="21"/>
                <w:szCs w:val="21"/>
              </w:rPr>
            </w:pPr>
          </w:p>
        </w:tc>
        <w:tc>
          <w:tcPr>
            <w:tcW w:w="801" w:type="pct"/>
            <w:gridSpan w:val="2"/>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牛羊预制品生产线生产废水</w:t>
            </w:r>
          </w:p>
        </w:tc>
        <w:tc>
          <w:tcPr>
            <w:tcW w:w="1182" w:type="pct"/>
            <w:gridSpan w:val="3"/>
            <w:vMerge w:val="continue"/>
            <w:tcBorders>
              <w:tl2br w:val="nil"/>
              <w:tr2bl w:val="nil"/>
            </w:tcBorders>
            <w:vAlign w:val="center"/>
          </w:tcPr>
          <w:p>
            <w:pPr>
              <w:spacing w:line="240" w:lineRule="auto"/>
              <w:ind w:firstLine="0" w:firstLineChars="0"/>
              <w:rPr>
                <w:sz w:val="21"/>
                <w:szCs w:val="21"/>
              </w:rPr>
            </w:pPr>
          </w:p>
        </w:tc>
        <w:tc>
          <w:tcPr>
            <w:tcW w:w="801" w:type="pct"/>
            <w:gridSpan w:val="2"/>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羊杂预制品生产线废水</w:t>
            </w:r>
          </w:p>
        </w:tc>
        <w:tc>
          <w:tcPr>
            <w:tcW w:w="1182" w:type="pct"/>
            <w:gridSpan w:val="3"/>
            <w:vMerge w:val="continue"/>
            <w:tcBorders>
              <w:tl2br w:val="nil"/>
              <w:tr2bl w:val="nil"/>
            </w:tcBorders>
            <w:vAlign w:val="center"/>
          </w:tcPr>
          <w:p>
            <w:pPr>
              <w:spacing w:line="240" w:lineRule="auto"/>
              <w:ind w:firstLine="0" w:firstLineChars="0"/>
              <w:rPr>
                <w:sz w:val="21"/>
                <w:szCs w:val="21"/>
              </w:rPr>
            </w:pPr>
          </w:p>
        </w:tc>
        <w:tc>
          <w:tcPr>
            <w:tcW w:w="801" w:type="pct"/>
            <w:gridSpan w:val="2"/>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rFonts w:hint="eastAsia"/>
                <w:sz w:val="21"/>
                <w:szCs w:val="21"/>
              </w:rPr>
              <w:t>不可预见废水</w:t>
            </w:r>
          </w:p>
        </w:tc>
        <w:tc>
          <w:tcPr>
            <w:tcW w:w="1182" w:type="pct"/>
            <w:gridSpan w:val="3"/>
            <w:vMerge w:val="continue"/>
            <w:tcBorders>
              <w:tl2br w:val="nil"/>
              <w:tr2bl w:val="nil"/>
            </w:tcBorders>
            <w:vAlign w:val="center"/>
          </w:tcPr>
          <w:p>
            <w:pPr>
              <w:spacing w:line="240" w:lineRule="auto"/>
              <w:ind w:firstLine="0" w:firstLineChars="0"/>
              <w:rPr>
                <w:sz w:val="21"/>
                <w:szCs w:val="21"/>
              </w:rPr>
            </w:pPr>
          </w:p>
        </w:tc>
        <w:tc>
          <w:tcPr>
            <w:tcW w:w="801" w:type="pct"/>
            <w:gridSpan w:val="2"/>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生活污水</w:t>
            </w:r>
          </w:p>
        </w:tc>
        <w:tc>
          <w:tcPr>
            <w:tcW w:w="1182" w:type="pct"/>
            <w:gridSpan w:val="3"/>
            <w:vMerge w:val="continue"/>
            <w:tcBorders>
              <w:tl2br w:val="nil"/>
              <w:tr2bl w:val="nil"/>
            </w:tcBorders>
            <w:vAlign w:val="center"/>
          </w:tcPr>
          <w:p>
            <w:pPr>
              <w:spacing w:line="240" w:lineRule="auto"/>
              <w:ind w:firstLine="0" w:firstLineChars="0"/>
              <w:rPr>
                <w:sz w:val="21"/>
                <w:szCs w:val="21"/>
              </w:rPr>
            </w:pPr>
          </w:p>
        </w:tc>
        <w:tc>
          <w:tcPr>
            <w:tcW w:w="801" w:type="pct"/>
            <w:gridSpan w:val="2"/>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3</w:t>
            </w:r>
          </w:p>
        </w:tc>
        <w:tc>
          <w:tcPr>
            <w:tcW w:w="242" w:type="pct"/>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固废</w:t>
            </w: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羊粪</w:t>
            </w:r>
          </w:p>
        </w:tc>
        <w:tc>
          <w:tcPr>
            <w:tcW w:w="1983" w:type="pct"/>
            <w:gridSpan w:val="5"/>
            <w:vMerge w:val="restart"/>
            <w:tcBorders>
              <w:tl2br w:val="nil"/>
              <w:tr2bl w:val="nil"/>
            </w:tcBorders>
            <w:vAlign w:val="center"/>
          </w:tcPr>
          <w:p>
            <w:pPr>
              <w:spacing w:line="240" w:lineRule="auto"/>
              <w:ind w:firstLine="0" w:firstLineChars="0"/>
              <w:rPr>
                <w:sz w:val="21"/>
                <w:szCs w:val="21"/>
              </w:rPr>
            </w:pPr>
            <w:r>
              <w:rPr>
                <w:sz w:val="21"/>
                <w:szCs w:val="21"/>
              </w:rPr>
              <w:t>全部集中收集后拉运至厂区现有的有机肥生产车间作为原料使用</w:t>
            </w:r>
          </w:p>
        </w:tc>
        <w:tc>
          <w:tcPr>
            <w:tcW w:w="1278" w:type="pct"/>
            <w:vMerge w:val="restart"/>
            <w:tcBorders>
              <w:tl2br w:val="nil"/>
              <w:tr2bl w:val="nil"/>
            </w:tcBorders>
            <w:vAlign w:val="center"/>
          </w:tcPr>
          <w:p>
            <w:pPr>
              <w:spacing w:line="240" w:lineRule="auto"/>
              <w:ind w:firstLine="0" w:firstLineChars="0"/>
              <w:rPr>
                <w:sz w:val="21"/>
                <w:szCs w:val="21"/>
              </w:rPr>
            </w:pPr>
            <w:r>
              <w:rPr>
                <w:rFonts w:hint="eastAsia"/>
                <w:sz w:val="21"/>
                <w:szCs w:val="21"/>
              </w:rPr>
              <w:t>《</w:t>
            </w:r>
            <w:r>
              <w:rPr>
                <w:sz w:val="21"/>
                <w:szCs w:val="21"/>
              </w:rPr>
              <w:t>一般工业固体废物贮存和填埋污染控制标准》（GB18599-2020）中的相关要求</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屠宰固废</w:t>
            </w:r>
          </w:p>
        </w:tc>
        <w:tc>
          <w:tcPr>
            <w:tcW w:w="1983" w:type="pct"/>
            <w:gridSpan w:val="5"/>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酱卤及蒸煮固废</w:t>
            </w:r>
          </w:p>
        </w:tc>
        <w:tc>
          <w:tcPr>
            <w:tcW w:w="1983" w:type="pct"/>
            <w:gridSpan w:val="5"/>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择菜固废</w:t>
            </w:r>
          </w:p>
        </w:tc>
        <w:tc>
          <w:tcPr>
            <w:tcW w:w="1983" w:type="pct"/>
            <w:gridSpan w:val="5"/>
            <w:vMerge w:val="continue"/>
            <w:tcBorders>
              <w:tl2br w:val="nil"/>
              <w:tr2bl w:val="nil"/>
            </w:tcBorders>
            <w:vAlign w:val="center"/>
          </w:tcPr>
          <w:p>
            <w:pPr>
              <w:spacing w:line="240" w:lineRule="auto"/>
              <w:ind w:firstLine="0" w:firstLineChars="0"/>
              <w:rPr>
                <w:sz w:val="21"/>
                <w:szCs w:val="21"/>
              </w:rPr>
            </w:pP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废包装</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集中收集后外售废旧回收单位统一处置</w:t>
            </w: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生活垃圾</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集中收集后交由园区环卫部门统一处理</w:t>
            </w:r>
          </w:p>
        </w:tc>
        <w:tc>
          <w:tcPr>
            <w:tcW w:w="1278" w:type="pct"/>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病死羊</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全部委托张掖市宏金雁再生能源科技发展有限责任公司进行无害化处理</w:t>
            </w:r>
          </w:p>
        </w:tc>
        <w:tc>
          <w:tcPr>
            <w:tcW w:w="1278" w:type="pct"/>
            <w:tcBorders>
              <w:tl2br w:val="nil"/>
              <w:tr2bl w:val="nil"/>
            </w:tcBorders>
            <w:vAlign w:val="center"/>
          </w:tcPr>
          <w:p>
            <w:pPr>
              <w:spacing w:line="240" w:lineRule="auto"/>
              <w:ind w:firstLine="0" w:firstLineChars="0"/>
              <w:rPr>
                <w:sz w:val="21"/>
                <w:szCs w:val="21"/>
              </w:rPr>
            </w:pPr>
            <w:r>
              <w:rPr>
                <w:rFonts w:hint="eastAsia"/>
                <w:sz w:val="21"/>
                <w:szCs w:val="21"/>
              </w:rPr>
              <w:t>满足</w:t>
            </w:r>
            <w:r>
              <w:rPr>
                <w:rFonts w:hint="eastAsia"/>
                <w:sz w:val="21"/>
                <w:szCs w:val="21"/>
                <w:lang w:val="en-US" w:eastAsia="zh-CN"/>
              </w:rPr>
              <w:t>《病死畜禽和病害畜禽产品无害化处理管理办法》</w:t>
            </w:r>
            <w:r>
              <w:rPr>
                <w:rFonts w:hint="eastAsia"/>
                <w:sz w:val="21"/>
                <w:szCs w:val="21"/>
              </w:rPr>
              <w:t>中</w:t>
            </w:r>
            <w:r>
              <w:rPr>
                <w:sz w:val="21"/>
                <w:szCs w:val="21"/>
              </w:rPr>
              <w:t>的</w:t>
            </w:r>
            <w:r>
              <w:rPr>
                <w:rFonts w:hint="eastAsia"/>
                <w:sz w:val="21"/>
                <w:szCs w:val="21"/>
              </w:rPr>
              <w:t>无害化处理要求</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242" w:type="pct"/>
            <w:vMerge w:val="continue"/>
            <w:tcBorders>
              <w:tl2br w:val="nil"/>
              <w:tr2bl w:val="nil"/>
            </w:tcBorders>
            <w:vAlign w:val="center"/>
          </w:tcPr>
          <w:p>
            <w:pPr>
              <w:spacing w:line="240" w:lineRule="auto"/>
              <w:ind w:firstLine="0" w:firstLineChars="0"/>
              <w:jc w:val="center"/>
              <w:rPr>
                <w:sz w:val="21"/>
                <w:szCs w:val="21"/>
              </w:rPr>
            </w:pPr>
          </w:p>
        </w:tc>
        <w:tc>
          <w:tcPr>
            <w:tcW w:w="1219" w:type="pct"/>
            <w:gridSpan w:val="3"/>
            <w:tcBorders>
              <w:tl2br w:val="nil"/>
              <w:tr2bl w:val="nil"/>
            </w:tcBorders>
            <w:vAlign w:val="center"/>
          </w:tcPr>
          <w:p>
            <w:pPr>
              <w:spacing w:line="240" w:lineRule="auto"/>
              <w:ind w:firstLine="0" w:firstLineChars="0"/>
              <w:jc w:val="center"/>
              <w:rPr>
                <w:sz w:val="21"/>
                <w:szCs w:val="21"/>
              </w:rPr>
            </w:pPr>
            <w:r>
              <w:rPr>
                <w:sz w:val="21"/>
                <w:szCs w:val="21"/>
              </w:rPr>
              <w:t>废活性炭</w:t>
            </w:r>
          </w:p>
        </w:tc>
        <w:tc>
          <w:tcPr>
            <w:tcW w:w="1983" w:type="pct"/>
            <w:gridSpan w:val="5"/>
            <w:tcBorders>
              <w:tl2br w:val="nil"/>
              <w:tr2bl w:val="nil"/>
            </w:tcBorders>
            <w:vAlign w:val="center"/>
          </w:tcPr>
          <w:p>
            <w:pPr>
              <w:spacing w:line="240" w:lineRule="auto"/>
              <w:ind w:firstLine="0" w:firstLineChars="0"/>
              <w:rPr>
                <w:sz w:val="21"/>
                <w:szCs w:val="21"/>
              </w:rPr>
            </w:pPr>
            <w:r>
              <w:rPr>
                <w:sz w:val="21"/>
                <w:szCs w:val="21"/>
              </w:rPr>
              <w:t>集中收集在危废暂存间，暂存后委托有资质的单位处置</w:t>
            </w:r>
          </w:p>
        </w:tc>
        <w:tc>
          <w:tcPr>
            <w:tcW w:w="1278" w:type="pct"/>
            <w:tcBorders>
              <w:tl2br w:val="nil"/>
              <w:tr2bl w:val="nil"/>
            </w:tcBorders>
            <w:vAlign w:val="center"/>
          </w:tcPr>
          <w:p>
            <w:pPr>
              <w:spacing w:line="240" w:lineRule="auto"/>
              <w:ind w:firstLine="0" w:firstLineChars="0"/>
              <w:rPr>
                <w:sz w:val="21"/>
                <w:szCs w:val="21"/>
              </w:rPr>
            </w:pPr>
            <w:r>
              <w:rPr>
                <w:sz w:val="21"/>
                <w:szCs w:val="21"/>
              </w:rPr>
              <w:t>《危险废物贮存污染控制标准》（</w:t>
            </w:r>
            <w:r>
              <w:rPr>
                <w:sz w:val="21"/>
                <w:szCs w:val="21"/>
                <w:lang w:val="en-US" w:eastAsia="zh-CN"/>
              </w:rPr>
              <w:t>GB18597—</w:t>
            </w:r>
            <w:r>
              <w:rPr>
                <w:rFonts w:hint="default"/>
                <w:sz w:val="21"/>
                <w:szCs w:val="21"/>
                <w:lang w:val="en-US" w:eastAsia="zh-CN"/>
              </w:rPr>
              <w:t>2023</w:t>
            </w:r>
            <w:r>
              <w:rPr>
                <w:sz w:val="21"/>
                <w:szCs w:val="21"/>
              </w:rPr>
              <w:t>）中的相关要求</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000" w:type="pct"/>
            <w:gridSpan w:val="11"/>
            <w:tcBorders>
              <w:tl2br w:val="nil"/>
              <w:tr2bl w:val="nil"/>
            </w:tcBorders>
            <w:vAlign w:val="center"/>
          </w:tcPr>
          <w:p>
            <w:pPr>
              <w:spacing w:line="240" w:lineRule="auto"/>
              <w:ind w:firstLine="0" w:firstLineChars="0"/>
              <w:rPr>
                <w:sz w:val="21"/>
                <w:szCs w:val="21"/>
              </w:rPr>
            </w:pPr>
            <w:r>
              <w:rPr>
                <w:b/>
                <w:bCs/>
                <w:sz w:val="21"/>
                <w:szCs w:val="21"/>
              </w:rPr>
              <w:t>二、环保设施运行参数及排污口信息</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771"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污染源</w:t>
            </w:r>
          </w:p>
        </w:tc>
        <w:tc>
          <w:tcPr>
            <w:tcW w:w="509" w:type="pct"/>
            <w:tcBorders>
              <w:tl2br w:val="nil"/>
              <w:tr2bl w:val="nil"/>
            </w:tcBorders>
            <w:vAlign w:val="center"/>
          </w:tcPr>
          <w:p>
            <w:pPr>
              <w:spacing w:line="240" w:lineRule="auto"/>
              <w:ind w:firstLine="0" w:firstLineChars="0"/>
              <w:jc w:val="center"/>
              <w:rPr>
                <w:b/>
                <w:bCs/>
                <w:sz w:val="21"/>
                <w:szCs w:val="21"/>
              </w:rPr>
            </w:pPr>
            <w:r>
              <w:rPr>
                <w:b/>
                <w:bCs/>
                <w:sz w:val="21"/>
                <w:szCs w:val="21"/>
              </w:rPr>
              <w:t>污染物名称</w:t>
            </w:r>
          </w:p>
        </w:tc>
        <w:tc>
          <w:tcPr>
            <w:tcW w:w="778"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处理设施运行参数</w:t>
            </w:r>
          </w:p>
        </w:tc>
        <w:tc>
          <w:tcPr>
            <w:tcW w:w="546" w:type="pct"/>
            <w:tcBorders>
              <w:tl2br w:val="nil"/>
              <w:tr2bl w:val="nil"/>
            </w:tcBorders>
            <w:vAlign w:val="center"/>
          </w:tcPr>
          <w:p>
            <w:pPr>
              <w:spacing w:line="240" w:lineRule="auto"/>
              <w:ind w:firstLine="0" w:firstLineChars="0"/>
              <w:jc w:val="center"/>
              <w:rPr>
                <w:b/>
                <w:bCs/>
                <w:sz w:val="21"/>
                <w:szCs w:val="21"/>
              </w:rPr>
            </w:pPr>
            <w:r>
              <w:rPr>
                <w:b/>
                <w:bCs/>
                <w:sz w:val="21"/>
                <w:szCs w:val="21"/>
              </w:rPr>
              <w:t>排放浓度</w:t>
            </w:r>
          </w:p>
        </w:tc>
        <w:tc>
          <w:tcPr>
            <w:tcW w:w="440"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总量指标</w:t>
            </w:r>
          </w:p>
        </w:tc>
        <w:tc>
          <w:tcPr>
            <w:tcW w:w="1677" w:type="pct"/>
            <w:gridSpan w:val="2"/>
            <w:tcBorders>
              <w:tl2br w:val="nil"/>
              <w:tr2bl w:val="nil"/>
            </w:tcBorders>
            <w:vAlign w:val="center"/>
          </w:tcPr>
          <w:p>
            <w:pPr>
              <w:spacing w:line="240" w:lineRule="auto"/>
              <w:ind w:firstLine="0" w:firstLineChars="0"/>
              <w:jc w:val="center"/>
              <w:rPr>
                <w:b/>
                <w:bCs/>
                <w:sz w:val="21"/>
                <w:szCs w:val="21"/>
              </w:rPr>
            </w:pPr>
            <w:r>
              <w:rPr>
                <w:b/>
                <w:bCs/>
                <w:sz w:val="21"/>
                <w:szCs w:val="21"/>
              </w:rPr>
              <w:t>排污口信息</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75" w:type="pct"/>
            <w:vMerge w:val="restart"/>
            <w:tcBorders>
              <w:tl2br w:val="nil"/>
              <w:tr2bl w:val="nil"/>
            </w:tcBorders>
            <w:vAlign w:val="center"/>
          </w:tcPr>
          <w:p>
            <w:pPr>
              <w:spacing w:line="240" w:lineRule="auto"/>
              <w:ind w:firstLine="0" w:firstLineChars="0"/>
              <w:jc w:val="center"/>
              <w:rPr>
                <w:sz w:val="21"/>
                <w:szCs w:val="21"/>
              </w:rPr>
            </w:pPr>
            <w:r>
              <w:rPr>
                <w:sz w:val="21"/>
                <w:szCs w:val="21"/>
              </w:rPr>
              <w:t>废气</w:t>
            </w:r>
          </w:p>
        </w:tc>
        <w:tc>
          <w:tcPr>
            <w:tcW w:w="771" w:type="pct"/>
            <w:gridSpan w:val="2"/>
            <w:tcBorders>
              <w:tl2br w:val="nil"/>
              <w:tr2bl w:val="nil"/>
            </w:tcBorders>
            <w:vAlign w:val="center"/>
          </w:tcPr>
          <w:p>
            <w:pPr>
              <w:spacing w:line="240" w:lineRule="auto"/>
              <w:ind w:firstLine="0" w:firstLineChars="0"/>
              <w:jc w:val="center"/>
              <w:rPr>
                <w:sz w:val="21"/>
                <w:szCs w:val="21"/>
              </w:rPr>
            </w:pPr>
            <w:r>
              <w:rPr>
                <w:sz w:val="21"/>
                <w:szCs w:val="21"/>
              </w:rPr>
              <w:t>屠宰车间恶臭气体</w:t>
            </w: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r>
              <w:rPr>
                <w:rFonts w:hint="eastAsia"/>
                <w:sz w:val="21"/>
                <w:szCs w:val="21"/>
              </w:rPr>
              <w:t>、</w:t>
            </w:r>
            <w:r>
              <w:rPr>
                <w:sz w:val="21"/>
                <w:szCs w:val="21"/>
              </w:rPr>
              <w:t>H</w:t>
            </w:r>
            <w:r>
              <w:rPr>
                <w:sz w:val="21"/>
                <w:szCs w:val="21"/>
                <w:vertAlign w:val="subscript"/>
              </w:rPr>
              <w:t>2</w:t>
            </w:r>
            <w:r>
              <w:rPr>
                <w:sz w:val="21"/>
                <w:szCs w:val="21"/>
              </w:rPr>
              <w:t>S</w:t>
            </w:r>
          </w:p>
        </w:tc>
        <w:tc>
          <w:tcPr>
            <w:tcW w:w="778"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546" w:type="pct"/>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tcBorders>
              <w:tl2br w:val="nil"/>
              <w:tr2bl w:val="nil"/>
            </w:tcBorders>
            <w:vAlign w:val="center"/>
          </w:tcPr>
          <w:p>
            <w:pPr>
              <w:spacing w:line="240" w:lineRule="auto"/>
              <w:ind w:firstLine="0" w:firstLineChars="0"/>
              <w:rPr>
                <w:sz w:val="21"/>
                <w:szCs w:val="21"/>
              </w:rPr>
            </w:pPr>
            <w:r>
              <w:rPr>
                <w:rFonts w:hint="eastAsia"/>
                <w:sz w:val="21"/>
                <w:szCs w:val="21"/>
              </w:rPr>
              <w: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771" w:type="pct"/>
            <w:gridSpan w:val="2"/>
            <w:vMerge w:val="restart"/>
            <w:tcBorders>
              <w:tl2br w:val="nil"/>
              <w:tr2bl w:val="nil"/>
            </w:tcBorders>
            <w:vAlign w:val="center"/>
          </w:tcPr>
          <w:p>
            <w:pPr>
              <w:spacing w:line="240" w:lineRule="auto"/>
              <w:ind w:firstLine="0" w:firstLineChars="0"/>
              <w:jc w:val="center"/>
              <w:rPr>
                <w:sz w:val="21"/>
                <w:szCs w:val="21"/>
              </w:rPr>
            </w:pPr>
            <w:r>
              <w:rPr>
                <w:sz w:val="21"/>
                <w:szCs w:val="21"/>
              </w:rPr>
              <w:t>屠宰车间恶臭气体</w:t>
            </w: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p>
        </w:tc>
        <w:tc>
          <w:tcPr>
            <w:tcW w:w="778" w:type="pct"/>
            <w:gridSpan w:val="2"/>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年运行</w:t>
            </w:r>
            <w:r>
              <w:rPr>
                <w:rFonts w:hint="eastAsia"/>
                <w:sz w:val="21"/>
                <w:szCs w:val="21"/>
                <w:lang w:val="en-US" w:eastAsia="zh-CN"/>
              </w:rPr>
              <w:t>8760</w:t>
            </w:r>
            <w:r>
              <w:rPr>
                <w:rFonts w:hint="eastAsia"/>
                <w:sz w:val="21"/>
                <w:szCs w:val="21"/>
              </w:rPr>
              <w:t>h，总风量50000m</w:t>
            </w:r>
            <w:r>
              <w:rPr>
                <w:rFonts w:hint="eastAsia"/>
                <w:sz w:val="21"/>
                <w:szCs w:val="21"/>
                <w:vertAlign w:val="superscript"/>
              </w:rPr>
              <w:t>3</w:t>
            </w:r>
            <w:r>
              <w:rPr>
                <w:rFonts w:hint="eastAsia"/>
                <w:sz w:val="21"/>
                <w:szCs w:val="21"/>
              </w:rPr>
              <w:t>/h</w:t>
            </w:r>
          </w:p>
        </w:tc>
        <w:tc>
          <w:tcPr>
            <w:tcW w:w="546" w:type="pct"/>
            <w:tcBorders>
              <w:tl2br w:val="nil"/>
              <w:tr2bl w:val="nil"/>
            </w:tcBorders>
            <w:vAlign w:val="center"/>
          </w:tcPr>
          <w:p>
            <w:pPr>
              <w:spacing w:line="240" w:lineRule="auto"/>
              <w:ind w:firstLine="0" w:firstLineChars="0"/>
              <w:jc w:val="center"/>
              <w:rPr>
                <w:sz w:val="21"/>
                <w:szCs w:val="21"/>
              </w:rPr>
            </w:pPr>
            <w:r>
              <w:rPr>
                <w:sz w:val="21"/>
                <w:szCs w:val="21"/>
              </w:rPr>
              <w:t>0.54mg/m</w:t>
            </w:r>
            <w:r>
              <w:rPr>
                <w:sz w:val="21"/>
                <w:szCs w:val="21"/>
                <w:vertAlign w:val="superscript"/>
              </w:rPr>
              <w:t>3</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restart"/>
            <w:tcBorders>
              <w:tl2br w:val="nil"/>
              <w:tr2bl w:val="nil"/>
            </w:tcBorders>
            <w:vAlign w:val="center"/>
          </w:tcPr>
          <w:p>
            <w:pPr>
              <w:spacing w:line="240" w:lineRule="auto"/>
              <w:ind w:firstLine="0" w:firstLineChars="0"/>
              <w:rPr>
                <w:rFonts w:hint="eastAsia" w:eastAsia="宋体"/>
                <w:sz w:val="21"/>
                <w:szCs w:val="21"/>
                <w:lang w:eastAsia="zh-CN"/>
              </w:rPr>
            </w:pPr>
            <w:r>
              <w:rPr>
                <w:sz w:val="21"/>
                <w:szCs w:val="21"/>
              </w:rPr>
              <w:t>排污口编号DA001，排气筒地理坐标分别为东经100.25318°，北纬</w:t>
            </w:r>
            <w:r>
              <w:rPr>
                <w:rFonts w:hint="eastAsia"/>
                <w:sz w:val="21"/>
                <w:szCs w:val="21"/>
                <w:lang w:val="en-US" w:eastAsia="zh-CN"/>
              </w:rPr>
              <w:t>38.956019</w:t>
            </w:r>
            <w:r>
              <w:rPr>
                <w:sz w:val="21"/>
                <w:szCs w:val="21"/>
              </w:rPr>
              <w:t>°，排气筒高度为15m，内径为</w:t>
            </w:r>
            <w:r>
              <w:rPr>
                <w:rFonts w:hint="eastAsia"/>
                <w:sz w:val="21"/>
                <w:szCs w:val="21"/>
                <w:lang w:val="en-US" w:eastAsia="zh-CN"/>
              </w:rPr>
              <w:t>1.2</w:t>
            </w:r>
            <w:r>
              <w:rPr>
                <w:sz w:val="21"/>
                <w:szCs w:val="21"/>
              </w:rPr>
              <w:t>m</w:t>
            </w:r>
            <w:r>
              <w:rPr>
                <w:rFonts w:hint="eastAsia"/>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771" w:type="pct"/>
            <w:gridSpan w:val="2"/>
            <w:vMerge w:val="continue"/>
            <w:tcBorders>
              <w:tl2br w:val="nil"/>
              <w:tr2bl w:val="nil"/>
            </w:tcBorders>
            <w:vAlign w:val="center"/>
          </w:tcPr>
          <w:p>
            <w:pPr>
              <w:spacing w:line="240" w:lineRule="auto"/>
              <w:ind w:firstLine="0" w:firstLineChars="0"/>
              <w:jc w:val="center"/>
              <w:rPr>
                <w:sz w:val="21"/>
                <w:szCs w:val="21"/>
              </w:rPr>
            </w:pP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H</w:t>
            </w:r>
            <w:r>
              <w:rPr>
                <w:sz w:val="21"/>
                <w:szCs w:val="21"/>
                <w:vertAlign w:val="subscript"/>
              </w:rPr>
              <w:t>2</w:t>
            </w:r>
            <w:r>
              <w:rPr>
                <w:sz w:val="21"/>
                <w:szCs w:val="21"/>
              </w:rPr>
              <w:t>S</w:t>
            </w:r>
          </w:p>
        </w:tc>
        <w:tc>
          <w:tcPr>
            <w:tcW w:w="778" w:type="pct"/>
            <w:gridSpan w:val="2"/>
            <w:vMerge w:val="continue"/>
            <w:tcBorders>
              <w:tl2br w:val="nil"/>
              <w:tr2bl w:val="nil"/>
            </w:tcBorders>
            <w:vAlign w:val="center"/>
          </w:tcPr>
          <w:p>
            <w:pPr>
              <w:spacing w:line="240" w:lineRule="auto"/>
              <w:ind w:firstLine="0" w:firstLineChars="0"/>
              <w:jc w:val="center"/>
              <w:rPr>
                <w:sz w:val="21"/>
                <w:szCs w:val="21"/>
              </w:rPr>
            </w:pPr>
          </w:p>
        </w:tc>
        <w:tc>
          <w:tcPr>
            <w:tcW w:w="546" w:type="pct"/>
            <w:tcBorders>
              <w:tl2br w:val="nil"/>
              <w:tr2bl w:val="nil"/>
            </w:tcBorders>
            <w:vAlign w:val="center"/>
          </w:tcPr>
          <w:p>
            <w:pPr>
              <w:spacing w:line="240" w:lineRule="auto"/>
              <w:ind w:firstLine="0" w:firstLineChars="0"/>
              <w:jc w:val="center"/>
              <w:rPr>
                <w:sz w:val="21"/>
                <w:szCs w:val="21"/>
              </w:rPr>
            </w:pPr>
            <w:r>
              <w:rPr>
                <w:sz w:val="21"/>
                <w:szCs w:val="21"/>
              </w:rPr>
              <w:t>0.01</w:t>
            </w:r>
            <w:r>
              <w:rPr>
                <w:rFonts w:hint="eastAsia"/>
                <w:sz w:val="21"/>
                <w:szCs w:val="21"/>
                <w:lang w:val="en-US" w:eastAsia="zh-CN"/>
              </w:rPr>
              <w:t>8</w:t>
            </w:r>
            <w:r>
              <w:rPr>
                <w:sz w:val="21"/>
                <w:szCs w:val="21"/>
              </w:rPr>
              <w:t>mg/m</w:t>
            </w:r>
            <w:r>
              <w:rPr>
                <w:sz w:val="21"/>
                <w:szCs w:val="21"/>
                <w:vertAlign w:val="superscript"/>
              </w:rPr>
              <w:t>3</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771" w:type="pct"/>
            <w:gridSpan w:val="2"/>
            <w:tcBorders>
              <w:tl2br w:val="nil"/>
              <w:tr2bl w:val="nil"/>
            </w:tcBorders>
            <w:vAlign w:val="center"/>
          </w:tcPr>
          <w:p>
            <w:pPr>
              <w:spacing w:line="240" w:lineRule="auto"/>
              <w:ind w:firstLine="0" w:firstLineChars="0"/>
              <w:jc w:val="center"/>
              <w:rPr>
                <w:sz w:val="21"/>
                <w:szCs w:val="21"/>
              </w:rPr>
            </w:pPr>
            <w:r>
              <w:rPr>
                <w:sz w:val="21"/>
                <w:szCs w:val="21"/>
              </w:rPr>
              <w:t>牛羊预制品生产线烹饪油烟</w:t>
            </w:r>
          </w:p>
        </w:tc>
        <w:tc>
          <w:tcPr>
            <w:tcW w:w="509" w:type="pct"/>
            <w:tcBorders>
              <w:tl2br w:val="nil"/>
              <w:tr2bl w:val="nil"/>
            </w:tcBorders>
            <w:vAlign w:val="center"/>
          </w:tcPr>
          <w:p>
            <w:pPr>
              <w:spacing w:line="240" w:lineRule="auto"/>
              <w:ind w:firstLine="0" w:firstLineChars="0"/>
              <w:jc w:val="center"/>
              <w:rPr>
                <w:sz w:val="21"/>
                <w:szCs w:val="21"/>
              </w:rPr>
            </w:pPr>
            <w:r>
              <w:rPr>
                <w:rFonts w:hint="eastAsia"/>
                <w:sz w:val="21"/>
                <w:szCs w:val="21"/>
              </w:rPr>
              <w:t>油烟</w:t>
            </w:r>
          </w:p>
        </w:tc>
        <w:tc>
          <w:tcPr>
            <w:tcW w:w="778"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年运行</w:t>
            </w:r>
            <w:r>
              <w:rPr>
                <w:rFonts w:hint="eastAsia"/>
                <w:sz w:val="21"/>
                <w:szCs w:val="21"/>
                <w:lang w:val="en-US" w:eastAsia="zh-CN"/>
              </w:rPr>
              <w:t>8760</w:t>
            </w:r>
            <w:r>
              <w:rPr>
                <w:rFonts w:hint="eastAsia"/>
                <w:sz w:val="21"/>
                <w:szCs w:val="21"/>
              </w:rPr>
              <w:t>h，总风量80000m</w:t>
            </w:r>
            <w:r>
              <w:rPr>
                <w:rFonts w:hint="eastAsia"/>
                <w:sz w:val="21"/>
                <w:szCs w:val="21"/>
                <w:vertAlign w:val="superscript"/>
              </w:rPr>
              <w:t>3</w:t>
            </w:r>
            <w:r>
              <w:rPr>
                <w:rFonts w:hint="eastAsia"/>
                <w:sz w:val="21"/>
                <w:szCs w:val="21"/>
              </w:rPr>
              <w:t>/h</w:t>
            </w:r>
          </w:p>
        </w:tc>
        <w:tc>
          <w:tcPr>
            <w:tcW w:w="546" w:type="pct"/>
            <w:tcBorders>
              <w:tl2br w:val="nil"/>
              <w:tr2bl w:val="nil"/>
            </w:tcBorders>
            <w:vAlign w:val="center"/>
          </w:tcPr>
          <w:p>
            <w:pPr>
              <w:spacing w:line="240" w:lineRule="auto"/>
              <w:ind w:firstLine="0" w:firstLineChars="0"/>
              <w:jc w:val="center"/>
              <w:rPr>
                <w:sz w:val="21"/>
                <w:szCs w:val="21"/>
              </w:rPr>
            </w:pPr>
            <w:r>
              <w:rPr>
                <w:sz w:val="21"/>
                <w:szCs w:val="21"/>
              </w:rPr>
              <w:t>1.05mg/m</w:t>
            </w:r>
            <w:r>
              <w:rPr>
                <w:sz w:val="21"/>
                <w:szCs w:val="21"/>
                <w:vertAlign w:val="superscript"/>
              </w:rPr>
              <w:t>3</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tcBorders>
              <w:tl2br w:val="nil"/>
              <w:tr2bl w:val="nil"/>
            </w:tcBorders>
            <w:vAlign w:val="center"/>
          </w:tcPr>
          <w:p>
            <w:pPr>
              <w:spacing w:line="240" w:lineRule="auto"/>
              <w:ind w:firstLine="0" w:firstLineChars="0"/>
              <w:rPr>
                <w:rFonts w:hint="eastAsia" w:eastAsia="宋体"/>
                <w:sz w:val="21"/>
                <w:szCs w:val="21"/>
                <w:lang w:eastAsia="zh-CN"/>
              </w:rPr>
            </w:pPr>
            <w:r>
              <w:rPr>
                <w:sz w:val="21"/>
                <w:szCs w:val="21"/>
              </w:rPr>
              <w:t>排污口编号DA00</w:t>
            </w:r>
            <w:r>
              <w:rPr>
                <w:rFonts w:hint="eastAsia"/>
                <w:sz w:val="21"/>
                <w:szCs w:val="21"/>
              </w:rPr>
              <w:t>2</w:t>
            </w:r>
            <w:r>
              <w:rPr>
                <w:sz w:val="21"/>
                <w:szCs w:val="21"/>
              </w:rPr>
              <w:t>，排气筒地理坐标分别为东经00.25414</w:t>
            </w:r>
            <w:r>
              <w:rPr>
                <w:rFonts w:hint="eastAsia"/>
                <w:sz w:val="21"/>
                <w:szCs w:val="21"/>
                <w:lang w:val="en-US" w:eastAsia="zh-CN"/>
              </w:rPr>
              <w:t>9</w:t>
            </w:r>
            <w:r>
              <w:rPr>
                <w:sz w:val="21"/>
                <w:szCs w:val="21"/>
              </w:rPr>
              <w:t>°，北纬38.955897°，排气筒高度为</w:t>
            </w:r>
            <w:r>
              <w:rPr>
                <w:rFonts w:hint="eastAsia"/>
                <w:sz w:val="21"/>
                <w:szCs w:val="21"/>
                <w:lang w:val="en-US" w:eastAsia="zh-CN"/>
              </w:rPr>
              <w:t>8</w:t>
            </w:r>
            <w:r>
              <w:rPr>
                <w:sz w:val="21"/>
                <w:szCs w:val="21"/>
              </w:rPr>
              <w:t>m，内径为</w:t>
            </w:r>
            <w:r>
              <w:rPr>
                <w:rFonts w:hint="eastAsia"/>
                <w:sz w:val="21"/>
                <w:szCs w:val="21"/>
                <w:lang w:val="en-US" w:eastAsia="zh-CN"/>
              </w:rPr>
              <w:t>0.5</w:t>
            </w:r>
            <w:r>
              <w:rPr>
                <w:sz w:val="21"/>
                <w:szCs w:val="21"/>
              </w:rPr>
              <w:t>m</w:t>
            </w:r>
            <w:r>
              <w:rPr>
                <w:rFonts w:hint="eastAsia"/>
                <w:sz w:val="21"/>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restart"/>
            <w:tcBorders>
              <w:tl2br w:val="nil"/>
              <w:tr2bl w:val="nil"/>
            </w:tcBorders>
            <w:vAlign w:val="center"/>
          </w:tcPr>
          <w:p>
            <w:pPr>
              <w:spacing w:line="240" w:lineRule="auto"/>
              <w:ind w:firstLine="0" w:firstLineChars="0"/>
              <w:jc w:val="center"/>
              <w:rPr>
                <w:sz w:val="21"/>
                <w:szCs w:val="21"/>
              </w:rPr>
            </w:pPr>
            <w:r>
              <w:rPr>
                <w:sz w:val="21"/>
                <w:szCs w:val="21"/>
              </w:rPr>
              <w:t>废水</w:t>
            </w:r>
          </w:p>
        </w:tc>
        <w:tc>
          <w:tcPr>
            <w:tcW w:w="771" w:type="pct"/>
            <w:gridSpan w:val="2"/>
            <w:vMerge w:val="restart"/>
            <w:tcBorders>
              <w:tl2br w:val="nil"/>
              <w:tr2bl w:val="nil"/>
            </w:tcBorders>
            <w:vAlign w:val="center"/>
          </w:tcPr>
          <w:p>
            <w:pPr>
              <w:spacing w:line="240" w:lineRule="auto"/>
              <w:ind w:firstLine="0" w:firstLineChars="0"/>
              <w:jc w:val="center"/>
              <w:rPr>
                <w:sz w:val="21"/>
                <w:szCs w:val="21"/>
              </w:rPr>
            </w:pPr>
            <w:r>
              <w:rPr>
                <w:sz w:val="21"/>
                <w:szCs w:val="21"/>
              </w:rPr>
              <w:t>综合污水</w:t>
            </w: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CODcr</w:t>
            </w:r>
          </w:p>
        </w:tc>
        <w:tc>
          <w:tcPr>
            <w:tcW w:w="778" w:type="pct"/>
            <w:gridSpan w:val="2"/>
            <w:vMerge w:val="restart"/>
            <w:tcBorders>
              <w:tl2br w:val="nil"/>
              <w:tr2bl w:val="nil"/>
            </w:tcBorders>
            <w:vAlign w:val="center"/>
          </w:tcPr>
          <w:p>
            <w:pPr>
              <w:spacing w:line="240" w:lineRule="auto"/>
              <w:ind w:firstLine="0" w:firstLineChars="0"/>
              <w:jc w:val="center"/>
              <w:rPr>
                <w:sz w:val="21"/>
                <w:szCs w:val="21"/>
              </w:rPr>
            </w:pPr>
            <w:r>
              <w:rPr>
                <w:rFonts w:hint="eastAsia"/>
                <w:sz w:val="21"/>
                <w:szCs w:val="21"/>
              </w:rPr>
              <w:t>依托厂区扩容后的污水处理站，</w:t>
            </w:r>
            <w:r>
              <w:rPr>
                <w:sz w:val="21"/>
                <w:szCs w:val="21"/>
              </w:rPr>
              <w:t>污水处理规模1</w:t>
            </w:r>
            <w:r>
              <w:rPr>
                <w:rFonts w:hint="eastAsia"/>
                <w:sz w:val="21"/>
                <w:szCs w:val="21"/>
              </w:rPr>
              <w:t>5</w:t>
            </w:r>
            <w:r>
              <w:rPr>
                <w:sz w:val="21"/>
                <w:szCs w:val="21"/>
              </w:rPr>
              <w:t>00m</w:t>
            </w:r>
            <w:r>
              <w:rPr>
                <w:sz w:val="21"/>
                <w:szCs w:val="21"/>
                <w:vertAlign w:val="superscript"/>
              </w:rPr>
              <w:t>3</w:t>
            </w:r>
            <w:r>
              <w:rPr>
                <w:sz w:val="21"/>
                <w:szCs w:val="21"/>
              </w:rPr>
              <w:t>/d</w:t>
            </w:r>
          </w:p>
        </w:tc>
        <w:tc>
          <w:tcPr>
            <w:tcW w:w="546"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42.280mg/L</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restart"/>
            <w:tcBorders>
              <w:tl2br w:val="nil"/>
              <w:tr2bl w:val="nil"/>
            </w:tcBorders>
            <w:vAlign w:val="center"/>
          </w:tcPr>
          <w:p>
            <w:pPr>
              <w:spacing w:line="240" w:lineRule="auto"/>
              <w:ind w:firstLine="0" w:firstLineChars="0"/>
              <w:rPr>
                <w:sz w:val="21"/>
                <w:szCs w:val="21"/>
              </w:rPr>
            </w:pPr>
            <w:r>
              <w:rPr>
                <w:sz w:val="21"/>
                <w:szCs w:val="21"/>
              </w:rPr>
              <w:t>排污口编号为DW001，排污口地理坐标为东经100.254107029°，北纬38.956306373°</w:t>
            </w:r>
            <w:r>
              <w:rPr>
                <w:rFonts w:hint="eastAsia"/>
                <w:sz w:val="21"/>
                <w:szCs w:val="21"/>
              </w:rPr>
              <w:t>。</w:t>
            </w: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771" w:type="pct"/>
            <w:gridSpan w:val="2"/>
            <w:vMerge w:val="continue"/>
            <w:tcBorders>
              <w:tl2br w:val="nil"/>
              <w:tr2bl w:val="nil"/>
            </w:tcBorders>
            <w:vAlign w:val="center"/>
          </w:tcPr>
          <w:p>
            <w:pPr>
              <w:spacing w:line="240" w:lineRule="auto"/>
              <w:ind w:firstLine="0" w:firstLineChars="0"/>
              <w:jc w:val="center"/>
              <w:rPr>
                <w:sz w:val="21"/>
                <w:szCs w:val="21"/>
              </w:rPr>
            </w:pP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778" w:type="pct"/>
            <w:gridSpan w:val="2"/>
            <w:vMerge w:val="continue"/>
            <w:tcBorders>
              <w:tl2br w:val="nil"/>
              <w:tr2bl w:val="nil"/>
            </w:tcBorders>
            <w:vAlign w:val="center"/>
          </w:tcPr>
          <w:p>
            <w:pPr>
              <w:spacing w:line="240" w:lineRule="auto"/>
              <w:ind w:firstLine="0" w:firstLineChars="0"/>
              <w:jc w:val="center"/>
              <w:rPr>
                <w:sz w:val="21"/>
                <w:szCs w:val="21"/>
              </w:rPr>
            </w:pPr>
          </w:p>
        </w:tc>
        <w:tc>
          <w:tcPr>
            <w:tcW w:w="546"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6.525</w:t>
            </w:r>
            <w:r>
              <w:rPr>
                <w:sz w:val="21"/>
                <w:szCs w:val="21"/>
              </w:rPr>
              <w:t>mg/L</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771" w:type="pct"/>
            <w:gridSpan w:val="2"/>
            <w:vMerge w:val="continue"/>
            <w:tcBorders>
              <w:tl2br w:val="nil"/>
              <w:tr2bl w:val="nil"/>
            </w:tcBorders>
            <w:vAlign w:val="center"/>
          </w:tcPr>
          <w:p>
            <w:pPr>
              <w:spacing w:line="240" w:lineRule="auto"/>
              <w:ind w:firstLine="0" w:firstLineChars="0"/>
              <w:jc w:val="center"/>
              <w:rPr>
                <w:sz w:val="21"/>
                <w:szCs w:val="21"/>
              </w:rPr>
            </w:pP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SS</w:t>
            </w:r>
          </w:p>
        </w:tc>
        <w:tc>
          <w:tcPr>
            <w:tcW w:w="778" w:type="pct"/>
            <w:gridSpan w:val="2"/>
            <w:vMerge w:val="continue"/>
            <w:tcBorders>
              <w:tl2br w:val="nil"/>
              <w:tr2bl w:val="nil"/>
            </w:tcBorders>
            <w:vAlign w:val="center"/>
          </w:tcPr>
          <w:p>
            <w:pPr>
              <w:spacing w:line="240" w:lineRule="auto"/>
              <w:ind w:firstLine="0" w:firstLineChars="0"/>
              <w:jc w:val="center"/>
              <w:rPr>
                <w:sz w:val="21"/>
                <w:szCs w:val="21"/>
              </w:rPr>
            </w:pPr>
          </w:p>
        </w:tc>
        <w:tc>
          <w:tcPr>
            <w:tcW w:w="546"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35.030</w:t>
            </w:r>
            <w:r>
              <w:rPr>
                <w:sz w:val="21"/>
                <w:szCs w:val="21"/>
              </w:rPr>
              <w:t>mg/L</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75" w:type="pct"/>
            <w:vMerge w:val="continue"/>
            <w:tcBorders>
              <w:tl2br w:val="nil"/>
              <w:tr2bl w:val="nil"/>
            </w:tcBorders>
            <w:vAlign w:val="center"/>
          </w:tcPr>
          <w:p>
            <w:pPr>
              <w:spacing w:line="240" w:lineRule="auto"/>
              <w:ind w:firstLine="0" w:firstLineChars="0"/>
              <w:jc w:val="center"/>
              <w:rPr>
                <w:sz w:val="21"/>
                <w:szCs w:val="21"/>
              </w:rPr>
            </w:pPr>
          </w:p>
        </w:tc>
        <w:tc>
          <w:tcPr>
            <w:tcW w:w="771" w:type="pct"/>
            <w:gridSpan w:val="2"/>
            <w:vMerge w:val="continue"/>
            <w:tcBorders>
              <w:tl2br w:val="nil"/>
              <w:tr2bl w:val="nil"/>
            </w:tcBorders>
            <w:vAlign w:val="center"/>
          </w:tcPr>
          <w:p>
            <w:pPr>
              <w:spacing w:line="240" w:lineRule="auto"/>
              <w:ind w:firstLine="0" w:firstLineChars="0"/>
              <w:jc w:val="center"/>
              <w:rPr>
                <w:sz w:val="21"/>
                <w:szCs w:val="21"/>
              </w:rPr>
            </w:pP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NH</w:t>
            </w:r>
            <w:r>
              <w:rPr>
                <w:sz w:val="21"/>
                <w:szCs w:val="21"/>
                <w:vertAlign w:val="subscript"/>
              </w:rPr>
              <w:t>3</w:t>
            </w:r>
            <w:r>
              <w:rPr>
                <w:sz w:val="21"/>
                <w:szCs w:val="21"/>
              </w:rPr>
              <w:t>-N</w:t>
            </w:r>
          </w:p>
        </w:tc>
        <w:tc>
          <w:tcPr>
            <w:tcW w:w="778" w:type="pct"/>
            <w:gridSpan w:val="2"/>
            <w:vMerge w:val="continue"/>
            <w:tcBorders>
              <w:tl2br w:val="nil"/>
              <w:tr2bl w:val="nil"/>
            </w:tcBorders>
            <w:vAlign w:val="center"/>
          </w:tcPr>
          <w:p>
            <w:pPr>
              <w:spacing w:line="240" w:lineRule="auto"/>
              <w:ind w:firstLine="0" w:firstLineChars="0"/>
              <w:jc w:val="center"/>
              <w:rPr>
                <w:sz w:val="21"/>
                <w:szCs w:val="21"/>
              </w:rPr>
            </w:pPr>
          </w:p>
        </w:tc>
        <w:tc>
          <w:tcPr>
            <w:tcW w:w="546"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9.193</w:t>
            </w:r>
            <w:r>
              <w:rPr>
                <w:sz w:val="21"/>
                <w:szCs w:val="21"/>
              </w:rPr>
              <w:t>mg/L</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continue"/>
            <w:tcBorders>
              <w:tl2br w:val="nil"/>
              <w:tr2bl w:val="nil"/>
            </w:tcBorders>
            <w:vAlign w:val="center"/>
          </w:tcPr>
          <w:p>
            <w:pPr>
              <w:spacing w:line="240" w:lineRule="auto"/>
              <w:ind w:firstLine="0" w:firstLineChars="0"/>
              <w:rPr>
                <w:sz w:val="21"/>
                <w:szCs w:val="21"/>
              </w:rPr>
            </w:pPr>
          </w:p>
        </w:tc>
      </w:tr>
      <w:tr>
        <w:tblPrEx>
          <w:tblBorders>
            <w:top w:val="single" w:color="auto" w:sz="2" w:space="0"/>
            <w:left w:val="single" w:color="auto" w:sz="2" w:space="0"/>
            <w:bottom w:val="single" w:color="auto" w:sz="2" w:space="0"/>
            <w:right w:val="single" w:color="auto" w:sz="2"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75" w:type="pct"/>
            <w:vMerge w:val="continue"/>
            <w:tcBorders>
              <w:tl2br w:val="nil"/>
              <w:tr2bl w:val="nil"/>
            </w:tcBorders>
            <w:vAlign w:val="center"/>
          </w:tcPr>
          <w:p>
            <w:pPr>
              <w:spacing w:line="240" w:lineRule="auto"/>
              <w:jc w:val="center"/>
              <w:rPr>
                <w:sz w:val="21"/>
                <w:szCs w:val="21"/>
              </w:rPr>
            </w:pPr>
          </w:p>
        </w:tc>
        <w:tc>
          <w:tcPr>
            <w:tcW w:w="771" w:type="pct"/>
            <w:gridSpan w:val="2"/>
            <w:vMerge w:val="continue"/>
            <w:tcBorders>
              <w:tl2br w:val="nil"/>
              <w:tr2bl w:val="nil"/>
            </w:tcBorders>
            <w:vAlign w:val="center"/>
          </w:tcPr>
          <w:p>
            <w:pPr>
              <w:spacing w:line="240" w:lineRule="auto"/>
              <w:jc w:val="center"/>
              <w:rPr>
                <w:sz w:val="21"/>
                <w:szCs w:val="21"/>
              </w:rPr>
            </w:pPr>
          </w:p>
        </w:tc>
        <w:tc>
          <w:tcPr>
            <w:tcW w:w="509" w:type="pct"/>
            <w:tcBorders>
              <w:tl2br w:val="nil"/>
              <w:tr2bl w:val="nil"/>
            </w:tcBorders>
            <w:vAlign w:val="center"/>
          </w:tcPr>
          <w:p>
            <w:pPr>
              <w:spacing w:line="240" w:lineRule="auto"/>
              <w:ind w:firstLine="0" w:firstLineChars="0"/>
              <w:jc w:val="center"/>
              <w:rPr>
                <w:sz w:val="21"/>
                <w:szCs w:val="21"/>
              </w:rPr>
            </w:pPr>
            <w:r>
              <w:rPr>
                <w:sz w:val="21"/>
                <w:szCs w:val="21"/>
              </w:rPr>
              <w:t>动植物油类</w:t>
            </w:r>
          </w:p>
        </w:tc>
        <w:tc>
          <w:tcPr>
            <w:tcW w:w="778" w:type="pct"/>
            <w:gridSpan w:val="2"/>
            <w:vMerge w:val="continue"/>
            <w:tcBorders>
              <w:tl2br w:val="nil"/>
              <w:tr2bl w:val="nil"/>
            </w:tcBorders>
            <w:vAlign w:val="center"/>
          </w:tcPr>
          <w:p>
            <w:pPr>
              <w:spacing w:line="240" w:lineRule="auto"/>
              <w:ind w:firstLine="0" w:firstLineChars="0"/>
              <w:jc w:val="center"/>
              <w:rPr>
                <w:sz w:val="21"/>
                <w:szCs w:val="21"/>
              </w:rPr>
            </w:pPr>
          </w:p>
        </w:tc>
        <w:tc>
          <w:tcPr>
            <w:tcW w:w="546" w:type="pct"/>
            <w:tcBorders>
              <w:tl2br w:val="nil"/>
              <w:tr2bl w:val="nil"/>
            </w:tcBorders>
            <w:vAlign w:val="center"/>
          </w:tcPr>
          <w:p>
            <w:pPr>
              <w:spacing w:line="240" w:lineRule="auto"/>
              <w:ind w:firstLine="0" w:firstLineChars="0"/>
              <w:jc w:val="center"/>
              <w:rPr>
                <w:sz w:val="21"/>
                <w:szCs w:val="21"/>
              </w:rPr>
            </w:pPr>
            <w:r>
              <w:rPr>
                <w:rFonts w:hint="eastAsia"/>
                <w:sz w:val="21"/>
                <w:szCs w:val="21"/>
                <w:lang w:val="en-US" w:eastAsia="zh-CN"/>
              </w:rPr>
              <w:t>4.806</w:t>
            </w:r>
            <w:r>
              <w:rPr>
                <w:sz w:val="21"/>
                <w:szCs w:val="21"/>
              </w:rPr>
              <w:t>mg/L</w:t>
            </w:r>
          </w:p>
        </w:tc>
        <w:tc>
          <w:tcPr>
            <w:tcW w:w="440" w:type="pct"/>
            <w:gridSpan w:val="2"/>
            <w:tcBorders>
              <w:tl2br w:val="nil"/>
              <w:tr2bl w:val="nil"/>
            </w:tcBorders>
            <w:vAlign w:val="center"/>
          </w:tcPr>
          <w:p>
            <w:pPr>
              <w:spacing w:line="240" w:lineRule="auto"/>
              <w:ind w:firstLine="0" w:firstLineChars="0"/>
              <w:jc w:val="center"/>
              <w:rPr>
                <w:sz w:val="21"/>
                <w:szCs w:val="21"/>
              </w:rPr>
            </w:pPr>
            <w:r>
              <w:rPr>
                <w:rFonts w:hint="eastAsia"/>
                <w:sz w:val="21"/>
                <w:szCs w:val="21"/>
              </w:rPr>
              <w:t>/</w:t>
            </w:r>
          </w:p>
        </w:tc>
        <w:tc>
          <w:tcPr>
            <w:tcW w:w="1677" w:type="pct"/>
            <w:gridSpan w:val="2"/>
            <w:vMerge w:val="continue"/>
            <w:tcBorders>
              <w:tl2br w:val="nil"/>
              <w:tr2bl w:val="nil"/>
            </w:tcBorders>
            <w:vAlign w:val="center"/>
          </w:tcPr>
          <w:p>
            <w:pPr>
              <w:spacing w:line="240" w:lineRule="auto"/>
              <w:rPr>
                <w:sz w:val="21"/>
                <w:szCs w:val="21"/>
              </w:rPr>
            </w:pPr>
          </w:p>
        </w:tc>
      </w:tr>
    </w:tbl>
    <w:p>
      <w:pPr>
        <w:ind w:firstLine="480"/>
      </w:pPr>
    </w:p>
    <w:p>
      <w:pPr>
        <w:pStyle w:val="2"/>
        <w:sectPr>
          <w:pgSz w:w="16838" w:h="11906" w:orient="landscape"/>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pStyle w:val="5"/>
        <w:spacing w:before="78" w:after="78"/>
        <w:ind w:firstLine="562"/>
      </w:pPr>
      <w:bookmarkStart w:id="934" w:name="_Toc8993"/>
      <w:bookmarkStart w:id="935" w:name="_Toc365"/>
      <w:bookmarkStart w:id="936" w:name="_Toc28044"/>
      <w:r>
        <w:rPr>
          <w:rFonts w:hint="eastAsia"/>
          <w:lang w:val="en-US" w:eastAsia="zh-CN"/>
        </w:rPr>
        <w:t>10</w:t>
      </w:r>
      <w:r>
        <w:rPr>
          <w:rFonts w:hint="eastAsia"/>
        </w:rPr>
        <w:t>.2、排污许可及台账管理</w:t>
      </w:r>
      <w:bookmarkEnd w:id="934"/>
      <w:bookmarkEnd w:id="935"/>
      <w:bookmarkEnd w:id="936"/>
    </w:p>
    <w:p>
      <w:pPr>
        <w:pStyle w:val="6"/>
        <w:ind w:firstLine="482"/>
      </w:pPr>
      <w:bookmarkStart w:id="937" w:name="_Toc17069"/>
      <w:r>
        <w:rPr>
          <w:rFonts w:hint="eastAsia"/>
          <w:lang w:val="en-US" w:eastAsia="zh-CN"/>
        </w:rPr>
        <w:t>10</w:t>
      </w:r>
      <w:r>
        <w:rPr>
          <w:rFonts w:hint="eastAsia"/>
        </w:rPr>
        <w:t>.2.1、排污许可制度</w:t>
      </w:r>
      <w:bookmarkEnd w:id="937"/>
    </w:p>
    <w:p>
      <w:pPr>
        <w:ind w:firstLine="480"/>
        <w:rPr>
          <w:color w:val="FF0000"/>
        </w:rPr>
      </w:pPr>
      <w:r>
        <w:rPr>
          <w:color w:val="FF0000"/>
        </w:rPr>
        <w:t>根据《固定污染源排污许可分类管理名录（2017年版）》</w:t>
      </w:r>
      <w:r>
        <w:rPr>
          <w:rFonts w:hint="eastAsia"/>
          <w:color w:val="FF0000"/>
        </w:rPr>
        <w:t>可知</w:t>
      </w:r>
      <w:r>
        <w:rPr>
          <w:color w:val="FF0000"/>
        </w:rPr>
        <w:t>，本项目</w:t>
      </w:r>
      <w:r>
        <w:rPr>
          <w:rFonts w:hint="eastAsia"/>
          <w:color w:val="FF0000"/>
        </w:rPr>
        <w:t>为“八、农副食品加工业/13屠宰及肉类加工/年屠宰肉羊15万头及以上的”，实行重点管理。根据现场调查，现阶段公司已获得张掖市生态环境局核发申请排污许可证（证书编号：91620702MA74N7307H001V），同时结合《排污许可证管理暂行规定》（环水体〔2016〕186号）中的要求，排污单位在原场址内实施新改扩建项目应当开展环境影响评价的，在通过环境影响评价审批或者备案后，产生实际排污行为之前二十日内应当向原核发机关提出变更排污许可证的申请。因此本项目建成后，在产生实际排污行为之前二十日内应当向张掖</w:t>
      </w:r>
      <w:r>
        <w:rPr>
          <w:rFonts w:hint="eastAsia"/>
          <w:color w:val="FF0000"/>
          <w:lang w:val="en-US" w:eastAsia="zh-CN"/>
        </w:rPr>
        <w:t>经济技术开放区</w:t>
      </w:r>
      <w:r>
        <w:rPr>
          <w:rFonts w:hint="eastAsia"/>
          <w:color w:val="FF0000"/>
        </w:rPr>
        <w:t>生态环境局提交变更</w:t>
      </w:r>
      <w:r>
        <w:rPr>
          <w:color w:val="FF0000"/>
        </w:rPr>
        <w:t>排污许可</w:t>
      </w:r>
      <w:r>
        <w:rPr>
          <w:rFonts w:hint="eastAsia"/>
          <w:color w:val="FF0000"/>
        </w:rPr>
        <w:t>的</w:t>
      </w:r>
      <w:r>
        <w:rPr>
          <w:color w:val="FF0000"/>
        </w:rPr>
        <w:t>申请，经</w:t>
      </w:r>
      <w:r>
        <w:rPr>
          <w:rFonts w:hint="eastAsia"/>
          <w:color w:val="FF0000"/>
        </w:rPr>
        <w:t>张掖</w:t>
      </w:r>
      <w:r>
        <w:rPr>
          <w:rFonts w:hint="eastAsia"/>
          <w:color w:val="FF0000"/>
          <w:lang w:val="en-US" w:eastAsia="zh-CN"/>
        </w:rPr>
        <w:t>经济技术开放区</w:t>
      </w:r>
      <w:r>
        <w:rPr>
          <w:rFonts w:hint="eastAsia"/>
          <w:color w:val="FF0000"/>
        </w:rPr>
        <w:t>生态环境局审核通过并</w:t>
      </w:r>
      <w:r>
        <w:rPr>
          <w:color w:val="FF0000"/>
        </w:rPr>
        <w:t>核发</w:t>
      </w:r>
      <w:r>
        <w:rPr>
          <w:rFonts w:hint="eastAsia"/>
          <w:color w:val="FF0000"/>
        </w:rPr>
        <w:t>变更后的</w:t>
      </w:r>
      <w:r>
        <w:rPr>
          <w:color w:val="FF0000"/>
        </w:rPr>
        <w:t>排污许可证后方可排污。</w:t>
      </w:r>
    </w:p>
    <w:p>
      <w:pPr>
        <w:pStyle w:val="6"/>
        <w:ind w:firstLine="482"/>
      </w:pPr>
      <w:bookmarkStart w:id="938" w:name="_Toc17398"/>
      <w:r>
        <w:rPr>
          <w:rFonts w:hint="eastAsia"/>
          <w:lang w:val="en-US" w:eastAsia="zh-CN"/>
        </w:rPr>
        <w:t>10</w:t>
      </w:r>
      <w:r>
        <w:rPr>
          <w:rFonts w:hint="eastAsia"/>
        </w:rPr>
        <w:t>.2.2、环境管理台账记录要求</w:t>
      </w:r>
      <w:bookmarkEnd w:id="938"/>
    </w:p>
    <w:p>
      <w:pPr>
        <w:ind w:firstLine="480"/>
      </w:pPr>
      <w:r>
        <w:rPr>
          <w:rFonts w:hint="eastAsia"/>
        </w:rPr>
        <w:t>根据《排污单位环境管理台账及排污许可证执行报告技术规范 总则（试行）》（HJ944—2018）环境管理台账记录要求主要有以下几个方面：</w:t>
      </w:r>
    </w:p>
    <w:p>
      <w:pPr>
        <w:ind w:firstLine="482"/>
        <w:rPr>
          <w:b/>
          <w:bCs/>
        </w:rPr>
      </w:pPr>
      <w:r>
        <w:rPr>
          <w:rFonts w:hint="eastAsia"/>
          <w:b/>
          <w:bCs/>
        </w:rPr>
        <w:t>1、记录形式</w:t>
      </w:r>
    </w:p>
    <w:p>
      <w:pPr>
        <w:ind w:firstLine="480"/>
      </w:pPr>
      <w:r>
        <w:rPr>
          <w:rFonts w:hint="eastAsia"/>
        </w:rPr>
        <w:t>记录形式分为电子台账和纸质台账两种形式。电子台账保持3年以上，纸质台账保持5年以上。</w:t>
      </w:r>
    </w:p>
    <w:p>
      <w:pPr>
        <w:ind w:firstLine="482"/>
        <w:rPr>
          <w:b/>
          <w:bCs/>
        </w:rPr>
      </w:pPr>
      <w:r>
        <w:rPr>
          <w:rFonts w:hint="eastAsia"/>
          <w:b/>
          <w:bCs/>
        </w:rPr>
        <w:t>2、记录内容</w:t>
      </w:r>
    </w:p>
    <w:p>
      <w:pPr>
        <w:ind w:firstLine="480"/>
      </w:pPr>
      <w:r>
        <w:rPr>
          <w:rFonts w:hint="eastAsia"/>
        </w:rPr>
        <w:t>记录内容包括基本信息、生产设施运行管理信息、污染防治设施运行管理信息、监测记录信息及其他环境管理信息等。生产设施、污染防治设施、排放口编码应与排污许可证副本中载明的编码一致。</w:t>
      </w:r>
    </w:p>
    <w:p>
      <w:pPr>
        <w:ind w:firstLine="482"/>
        <w:rPr>
          <w:b/>
          <w:bCs/>
        </w:rPr>
      </w:pPr>
      <w:r>
        <w:rPr>
          <w:rFonts w:hint="eastAsia"/>
          <w:b/>
          <w:bCs/>
        </w:rPr>
        <w:t>3、基本信息</w:t>
      </w:r>
    </w:p>
    <w:p>
      <w:pPr>
        <w:ind w:firstLine="480"/>
      </w:pPr>
      <w:r>
        <w:rPr>
          <w:rFonts w:hint="eastAsia"/>
        </w:rPr>
        <w:t>基本信息包括排污单位生产设施基本信息、污染防治设施基本信息。</w:t>
      </w:r>
    </w:p>
    <w:p>
      <w:pPr>
        <w:ind w:firstLine="480"/>
      </w:pPr>
      <w:r>
        <w:rPr>
          <w:rFonts w:hint="eastAsia"/>
        </w:rPr>
        <w:t>（1）生产设施基本信息：主要技术参数及设计值等。</w:t>
      </w:r>
    </w:p>
    <w:p>
      <w:pPr>
        <w:ind w:firstLine="480"/>
      </w:pPr>
      <w:r>
        <w:rPr>
          <w:rFonts w:hint="eastAsia"/>
        </w:rPr>
        <w:t>（2）污染防治设施基本信息：主要技术参数及设计值；对于防渗漏、防泄漏等污染防治措施，还应记录落实情况及问题整改情况等。</w:t>
      </w:r>
    </w:p>
    <w:p>
      <w:pPr>
        <w:ind w:firstLine="482"/>
        <w:rPr>
          <w:b/>
          <w:bCs/>
        </w:rPr>
      </w:pPr>
      <w:r>
        <w:rPr>
          <w:rFonts w:hint="eastAsia"/>
          <w:b/>
          <w:bCs/>
        </w:rPr>
        <w:t>4、生产设施运行管理信息</w:t>
      </w:r>
    </w:p>
    <w:p>
      <w:pPr>
        <w:ind w:firstLine="480"/>
      </w:pPr>
      <w:r>
        <w:rPr>
          <w:rFonts w:hint="eastAsia"/>
        </w:rPr>
        <w:t>生产设施运行管理信息包括主体工程、公用工程、辅助工程、储运工程等单元的生产设施运行管理信息。</w:t>
      </w:r>
    </w:p>
    <w:p>
      <w:pPr>
        <w:ind w:firstLine="482"/>
        <w:rPr>
          <w:b/>
          <w:bCs/>
        </w:rPr>
      </w:pPr>
      <w:r>
        <w:rPr>
          <w:rFonts w:hint="eastAsia"/>
          <w:b/>
          <w:bCs/>
        </w:rPr>
        <w:t>（1）正常工况：运行状态、生产负荷、主要产品产量、原辅料及燃料等。</w:t>
      </w:r>
    </w:p>
    <w:p>
      <w:pPr>
        <w:ind w:firstLine="480"/>
      </w:pPr>
      <w:r>
        <w:rPr>
          <w:rFonts w:hint="eastAsia"/>
        </w:rPr>
        <w:t>①运行状态：是否正常运行，主要参数名称及数值。</w:t>
      </w:r>
    </w:p>
    <w:p>
      <w:pPr>
        <w:ind w:firstLine="480"/>
      </w:pPr>
      <w:r>
        <w:rPr>
          <w:rFonts w:hint="eastAsia"/>
        </w:rPr>
        <w:t>②生产负荷：主要产品产量与设计生产能力之比。</w:t>
      </w:r>
    </w:p>
    <w:p>
      <w:pPr>
        <w:ind w:firstLine="480"/>
      </w:pPr>
      <w:r>
        <w:rPr>
          <w:rFonts w:hint="eastAsia"/>
        </w:rPr>
        <w:t>③主要产品产量：名称、产量。</w:t>
      </w:r>
    </w:p>
    <w:p>
      <w:pPr>
        <w:ind w:firstLine="480"/>
      </w:pPr>
      <w:r>
        <w:rPr>
          <w:rFonts w:hint="eastAsia"/>
        </w:rPr>
        <w:t>④原辅料：名称、用量、硫元素占比、有毒有害物质及成分占比（如有）。</w:t>
      </w:r>
    </w:p>
    <w:p>
      <w:pPr>
        <w:ind w:firstLine="480"/>
      </w:pPr>
      <w:r>
        <w:rPr>
          <w:rFonts w:hint="eastAsia"/>
        </w:rPr>
        <w:t>⑤燃料：名称、用量、硫元素占比、热值等。</w:t>
      </w:r>
    </w:p>
    <w:p>
      <w:pPr>
        <w:ind w:firstLine="480"/>
      </w:pPr>
      <w:r>
        <w:rPr>
          <w:rFonts w:hint="eastAsia"/>
        </w:rPr>
        <w:t>⑥其他：用电量等。</w:t>
      </w:r>
    </w:p>
    <w:p>
      <w:pPr>
        <w:ind w:firstLine="482"/>
        <w:rPr>
          <w:b/>
          <w:bCs/>
        </w:rPr>
      </w:pPr>
      <w:r>
        <w:rPr>
          <w:rFonts w:hint="eastAsia"/>
          <w:b/>
          <w:bCs/>
        </w:rPr>
        <w:t>（2）非正常工况：起止时间、产品产量、原辅料及燃料消耗量、事件原因、应对措施、是否报告等。</w:t>
      </w:r>
    </w:p>
    <w:p>
      <w:pPr>
        <w:ind w:firstLine="480"/>
      </w:pPr>
      <w:r>
        <w:rPr>
          <w:rFonts w:hint="eastAsia"/>
        </w:rPr>
        <w:t>对于无实际产品、燃料消耗、非正常工况的辅助工程及储运工程的相关生产设施，仅记录正常工况下的运行状态和生产负荷信息。</w:t>
      </w:r>
    </w:p>
    <w:p>
      <w:pPr>
        <w:ind w:firstLine="482"/>
        <w:rPr>
          <w:b/>
          <w:bCs/>
        </w:rPr>
      </w:pPr>
      <w:r>
        <w:rPr>
          <w:rFonts w:hint="eastAsia"/>
          <w:b/>
          <w:bCs/>
        </w:rPr>
        <w:t>5、污染防治设施运行管理信息</w:t>
      </w:r>
    </w:p>
    <w:p>
      <w:pPr>
        <w:ind w:firstLine="482"/>
        <w:rPr>
          <w:b/>
          <w:bCs/>
        </w:rPr>
      </w:pPr>
      <w:r>
        <w:rPr>
          <w:rFonts w:hint="eastAsia"/>
          <w:b/>
          <w:bCs/>
        </w:rPr>
        <w:t>（1）正常情况：运行情况、主要药剂添加情况等。</w:t>
      </w:r>
    </w:p>
    <w:p>
      <w:pPr>
        <w:ind w:firstLine="480"/>
      </w:pPr>
      <w:r>
        <w:rPr>
          <w:rFonts w:hint="eastAsia"/>
        </w:rPr>
        <w:t>①运行情况：是否正常运行；治理效率、副产物产生量等。</w:t>
      </w:r>
    </w:p>
    <w:p>
      <w:pPr>
        <w:ind w:firstLine="480"/>
      </w:pPr>
      <w:r>
        <w:rPr>
          <w:rFonts w:hint="eastAsia"/>
        </w:rPr>
        <w:t>②主要药剂（吸附剂）添加情况：添加（更换）时间、添加量等。</w:t>
      </w:r>
    </w:p>
    <w:p>
      <w:pPr>
        <w:ind w:firstLine="480"/>
      </w:pPr>
      <w:r>
        <w:rPr>
          <w:rFonts w:hint="eastAsia"/>
        </w:rPr>
        <w:t>③涉及DCS系统的，还应记录DCS曲线图。DCS曲线图应按不同污染物分别记录，至少包括烟气量、污染物进出口浓度等。</w:t>
      </w:r>
    </w:p>
    <w:p>
      <w:pPr>
        <w:ind w:firstLine="482"/>
        <w:rPr>
          <w:b w:val="0"/>
          <w:bCs w:val="0"/>
        </w:rPr>
      </w:pPr>
      <w:r>
        <w:rPr>
          <w:rFonts w:hint="eastAsia"/>
          <w:b/>
          <w:bCs/>
        </w:rPr>
        <w:t>（2）异常情况：</w:t>
      </w:r>
      <w:r>
        <w:rPr>
          <w:rFonts w:hint="eastAsia"/>
          <w:b w:val="0"/>
          <w:bCs w:val="0"/>
        </w:rPr>
        <w:t>起止时间、污染物排放浓度、异常原因、应对措施、是否报告等。</w:t>
      </w:r>
    </w:p>
    <w:p>
      <w:pPr>
        <w:ind w:firstLine="482"/>
        <w:rPr>
          <w:b/>
          <w:bCs/>
        </w:rPr>
      </w:pPr>
      <w:r>
        <w:rPr>
          <w:rFonts w:hint="eastAsia"/>
          <w:b/>
          <w:bCs/>
        </w:rPr>
        <w:t>6、监测记录信息</w:t>
      </w:r>
    </w:p>
    <w:p>
      <w:pPr>
        <w:ind w:firstLine="480"/>
      </w:pPr>
      <w:r>
        <w:rPr>
          <w:rFonts w:hint="eastAsia"/>
        </w:rPr>
        <w:t>按照</w:t>
      </w:r>
      <w:r>
        <w:rPr>
          <w:rFonts w:hint="eastAsia"/>
          <w:lang w:val="en-US" w:eastAsia="zh-CN"/>
        </w:rPr>
        <w:t>《排污单位自行监测技术指南 总则》（HJ819-2017）</w:t>
      </w:r>
      <w:r>
        <w:rPr>
          <w:rFonts w:hint="eastAsia"/>
          <w:lang w:eastAsia="zh-CN"/>
        </w:rPr>
        <w:t>、</w:t>
      </w:r>
      <w:r>
        <w:rPr>
          <w:rFonts w:hint="eastAsia"/>
          <w:lang w:val="en-US" w:eastAsia="zh-CN"/>
        </w:rPr>
        <w:t>《排污单位自行监测技术指南 农副食品加工业》（HJ986-2018）等</w:t>
      </w:r>
      <w:r>
        <w:rPr>
          <w:rFonts w:hint="eastAsia"/>
        </w:rPr>
        <w:t>自行监测技术指南规定执行。每次监测都需进行记录，记录监测因子及检测结果数据并保留有资质单位出具的报告。</w:t>
      </w:r>
    </w:p>
    <w:p>
      <w:pPr>
        <w:ind w:firstLine="482"/>
      </w:pPr>
      <w:r>
        <w:rPr>
          <w:rFonts w:hint="eastAsia"/>
          <w:b/>
          <w:bCs/>
        </w:rPr>
        <w:t>7、其他环境管理信息</w:t>
      </w:r>
    </w:p>
    <w:p>
      <w:pPr>
        <w:ind w:firstLine="480"/>
      </w:pPr>
      <w:r>
        <w:rPr>
          <w:rFonts w:hint="eastAsia"/>
        </w:rPr>
        <w:t>无组织废气污染防治措施管理维护信息：管理维护时间及主要内容等。</w:t>
      </w:r>
    </w:p>
    <w:p>
      <w:pPr>
        <w:ind w:firstLine="480"/>
      </w:pPr>
      <w:r>
        <w:rPr>
          <w:rFonts w:hint="eastAsia"/>
        </w:rPr>
        <w:t>特殊时段环境管理信息：具体管理要求及其执行情况。</w:t>
      </w:r>
    </w:p>
    <w:p>
      <w:pPr>
        <w:ind w:firstLine="480"/>
      </w:pPr>
      <w:r>
        <w:rPr>
          <w:rFonts w:hint="eastAsia"/>
        </w:rPr>
        <w:t>其他信息：法律法规、标准规范确定的其他信息，企业自主记录的环境管理信息。</w:t>
      </w:r>
    </w:p>
    <w:p>
      <w:pPr>
        <w:pStyle w:val="5"/>
        <w:spacing w:before="78" w:after="78"/>
        <w:ind w:firstLine="562"/>
      </w:pPr>
      <w:bookmarkStart w:id="939" w:name="_Toc17920"/>
      <w:bookmarkStart w:id="940" w:name="_Toc394"/>
      <w:r>
        <w:rPr>
          <w:rFonts w:hint="eastAsia"/>
          <w:lang w:val="en-US" w:eastAsia="zh-CN"/>
        </w:rPr>
        <w:t>10</w:t>
      </w:r>
      <w:r>
        <w:rPr>
          <w:rFonts w:hint="eastAsia"/>
        </w:rPr>
        <w:t>.3、排污口规范化管理</w:t>
      </w:r>
      <w:bookmarkEnd w:id="939"/>
      <w:bookmarkEnd w:id="940"/>
    </w:p>
    <w:p>
      <w:pPr>
        <w:ind w:firstLine="480"/>
      </w:pPr>
      <w:r>
        <w:rPr>
          <w:rFonts w:hint="eastAsia"/>
        </w:rPr>
        <w:t>排污口是企业排放污染物进入环境的通道，强化排污口的管理是实施污染物总量控制的基础工作之一，也是区域环境管理逐步实现污染物排放科学化、定量化的重要手段。根据国家、省、市环保主管部门的有关要求，拟建项目废气等排放口必须实施排污口规范化。通过对排污口规范化，促进企业加强管理和污染治理，有利于加强对污染的监督管理，逐步实现污染物排放口的科学化，定量的管理，改善环境质量。</w:t>
      </w:r>
    </w:p>
    <w:p>
      <w:pPr>
        <w:ind w:firstLine="480"/>
      </w:pPr>
      <w:r>
        <w:rPr>
          <w:rFonts w:hint="eastAsia"/>
        </w:rPr>
        <w:t>本项目运行过程主要污染影响包括废气、废水、固废和厂界噪声等。因此，必须重点搞好废气、污水水质、设备噪声的监测工作。建设单位对其排放的污水及设备噪声应具有监测能力。按照《环境保护部办公厅关于做好环境影响评价制度和排污许可制衔接相关工作的通知》（环办环评〔2017〕84号）的要求，本次环评建议建设单位在项目竣工环境保护验收前完成排污许可申请，同时，建设单位应在本项目排污口安装排放口标牌，标牌内容应包含单位名称、排污口编号和污染物种类。</w:t>
      </w:r>
    </w:p>
    <w:p>
      <w:pPr>
        <w:pStyle w:val="6"/>
        <w:ind w:firstLine="482"/>
      </w:pPr>
      <w:bookmarkStart w:id="941" w:name="_Toc32031"/>
      <w:r>
        <w:rPr>
          <w:rFonts w:hint="eastAsia"/>
          <w:lang w:val="en-US" w:eastAsia="zh-CN"/>
        </w:rPr>
        <w:t>10</w:t>
      </w:r>
      <w:r>
        <w:rPr>
          <w:rFonts w:hint="eastAsia"/>
        </w:rPr>
        <w:t>.3.1、排污口立标管理原则</w:t>
      </w:r>
      <w:bookmarkEnd w:id="941"/>
    </w:p>
    <w:p>
      <w:pPr>
        <w:ind w:firstLine="480"/>
      </w:pPr>
      <w:r>
        <w:rPr>
          <w:rFonts w:hint="eastAsia"/>
        </w:rPr>
        <w:t>1、向环境排放污染物的排污口必须规范化。</w:t>
      </w:r>
    </w:p>
    <w:p>
      <w:pPr>
        <w:ind w:firstLine="480"/>
      </w:pPr>
      <w:r>
        <w:rPr>
          <w:rFonts w:hint="eastAsia"/>
        </w:rPr>
        <w:t>2、排污口应便于采样与计量监测，便于日常现场监督检查。</w:t>
      </w:r>
    </w:p>
    <w:p>
      <w:pPr>
        <w:ind w:firstLine="480"/>
      </w:pPr>
      <w:r>
        <w:rPr>
          <w:rFonts w:hint="eastAsia"/>
        </w:rPr>
        <w:t>3、各污染物排放口，应按国家《环境保护图形标志》（15562.1-1995）与（GB15562.2-1995）规定设置国家环保部统一制作的环境保护图形标志牌。</w:t>
      </w:r>
    </w:p>
    <w:p>
      <w:pPr>
        <w:ind w:firstLine="480"/>
      </w:pPr>
      <w:r>
        <w:rPr>
          <w:rFonts w:hint="eastAsia"/>
        </w:rPr>
        <w:t>4、污染物排放口的环保图形标志牌应设置在靠近采样点的醒目处，标志牌设置高度为其上缘距地面2m。</w:t>
      </w:r>
    </w:p>
    <w:p>
      <w:pPr>
        <w:ind w:firstLine="480"/>
      </w:pPr>
      <w:r>
        <w:rPr>
          <w:rFonts w:hint="eastAsia"/>
        </w:rPr>
        <w:t>5、各排气筒设置便于采样、监测的采样口和采样监测平台。废气净化设施的进出口均设置采样口。</w:t>
      </w:r>
    </w:p>
    <w:p>
      <w:pPr>
        <w:ind w:firstLine="480"/>
      </w:pPr>
      <w:r>
        <w:rPr>
          <w:rFonts w:hint="eastAsia"/>
        </w:rPr>
        <w:t>6、在固定噪声源风机对厂界噪声影响最大处设置环境保护图形标志牌。</w:t>
      </w:r>
    </w:p>
    <w:p>
      <w:pPr>
        <w:ind w:firstLine="480"/>
      </w:pPr>
      <w:r>
        <w:rPr>
          <w:rFonts w:hint="eastAsia"/>
        </w:rPr>
        <w:t>7、固体废物储存场所要有防火、防扬散、防流失、防渗漏、防雨措施，固体废物贮存场，尤其是危险废物贮存场所在醒目处设置一个标志牌。</w:t>
      </w:r>
    </w:p>
    <w:p>
      <w:pPr>
        <w:ind w:firstLine="480"/>
      </w:pPr>
      <w:r>
        <w:rPr>
          <w:rFonts w:hint="eastAsia"/>
        </w:rPr>
        <w:t>8、项目建设单位必须负责日常的维护保养，任何单位和个人不得擅自拆除，如需变更的需报环境监理部门同意并办理变更手续。</w:t>
      </w:r>
    </w:p>
    <w:p>
      <w:pPr>
        <w:pStyle w:val="6"/>
        <w:ind w:firstLine="482"/>
      </w:pPr>
      <w:bookmarkStart w:id="942" w:name="_Toc29503"/>
      <w:r>
        <w:rPr>
          <w:rFonts w:hint="eastAsia"/>
          <w:lang w:val="en-US" w:eastAsia="zh-CN"/>
        </w:rPr>
        <w:t>10</w:t>
      </w:r>
      <w:r>
        <w:rPr>
          <w:rFonts w:hint="eastAsia"/>
        </w:rPr>
        <w:t>.3.2、排污口的技术要求</w:t>
      </w:r>
      <w:bookmarkEnd w:id="942"/>
    </w:p>
    <w:p>
      <w:pPr>
        <w:ind w:firstLine="480"/>
      </w:pPr>
      <w:r>
        <w:rPr>
          <w:rFonts w:hint="eastAsia"/>
        </w:rPr>
        <w:t>1、排污口位置须合理确定，依据</w:t>
      </w:r>
      <w:r>
        <w:rPr>
          <w:rFonts w:hint="eastAsia"/>
          <w:lang w:val="en-US" w:eastAsia="zh-CN"/>
        </w:rPr>
        <w:t>《《环境保护图形标志》实施细则（试行）》（</w:t>
      </w:r>
      <w:r>
        <w:rPr>
          <w:rFonts w:hint="eastAsia"/>
        </w:rPr>
        <w:t>环监〔1996〕470号</w:t>
      </w:r>
      <w:r>
        <w:rPr>
          <w:rFonts w:hint="eastAsia"/>
          <w:lang w:val="en-US" w:eastAsia="zh-CN"/>
        </w:rPr>
        <w:t>）</w:t>
      </w:r>
      <w:r>
        <w:rPr>
          <w:rFonts w:hint="eastAsia"/>
        </w:rPr>
        <w:t>文件要求进行规范化管理。</w:t>
      </w:r>
    </w:p>
    <w:p>
      <w:pPr>
        <w:ind w:firstLine="480"/>
      </w:pPr>
      <w:r>
        <w:rPr>
          <w:rFonts w:hint="eastAsia"/>
        </w:rPr>
        <w:t>2、排放污染物的采样点设置，应按照污染源监测技术规范的要求进行设置，设置在废气排放口，污水处理设施出水口等位置。</w:t>
      </w:r>
    </w:p>
    <w:p>
      <w:pPr>
        <w:pStyle w:val="6"/>
        <w:ind w:firstLine="482"/>
      </w:pPr>
      <w:bookmarkStart w:id="943" w:name="_Toc1235"/>
      <w:r>
        <w:rPr>
          <w:rFonts w:hint="eastAsia"/>
          <w:lang w:val="en-US" w:eastAsia="zh-CN"/>
        </w:rPr>
        <w:t>10</w:t>
      </w:r>
      <w:r>
        <w:rPr>
          <w:rFonts w:hint="eastAsia"/>
        </w:rPr>
        <w:t>.3.3、排污口立标管理</w:t>
      </w:r>
      <w:bookmarkEnd w:id="943"/>
    </w:p>
    <w:p>
      <w:pPr>
        <w:ind w:firstLine="480"/>
      </w:pPr>
      <w:r>
        <w:rPr>
          <w:rFonts w:hint="eastAsia"/>
        </w:rPr>
        <w:t>根据国家标准《环境保护图形标志</w:t>
      </w:r>
      <w:r>
        <w:rPr>
          <w:rFonts w:hint="eastAsia"/>
          <w:lang w:eastAsia="zh-CN"/>
        </w:rPr>
        <w:t>—</w:t>
      </w:r>
      <w:r>
        <w:rPr>
          <w:rFonts w:hint="eastAsia"/>
        </w:rPr>
        <w:t>排放口（源）》</w:t>
      </w:r>
      <w:r>
        <w:rPr>
          <w:rFonts w:hint="eastAsia"/>
          <w:lang w:eastAsia="zh-CN"/>
        </w:rPr>
        <w:t>（</w:t>
      </w:r>
      <w:r>
        <w:rPr>
          <w:rFonts w:hint="eastAsia"/>
          <w:lang w:val="en-US" w:eastAsia="zh-CN"/>
        </w:rPr>
        <w:t>GB15562.1—1995</w:t>
      </w:r>
      <w:r>
        <w:rPr>
          <w:rFonts w:hint="eastAsia"/>
          <w:lang w:eastAsia="zh-CN"/>
        </w:rPr>
        <w:t>）</w:t>
      </w:r>
      <w:r>
        <w:rPr>
          <w:rFonts w:hint="eastAsia"/>
        </w:rPr>
        <w:t>和国家环保总局《</w:t>
      </w:r>
      <w:r>
        <w:rPr>
          <w:rFonts w:hint="eastAsia"/>
          <w:lang w:val="en-US" w:eastAsia="zh-CN"/>
        </w:rPr>
        <w:t>排污口规范化整治技术要求（试行）</w:t>
      </w:r>
      <w:r>
        <w:rPr>
          <w:rFonts w:hint="eastAsia"/>
        </w:rPr>
        <w:t>》</w:t>
      </w:r>
      <w:r>
        <w:rPr>
          <w:rFonts w:hint="eastAsia"/>
          <w:lang w:eastAsia="zh-CN"/>
        </w:rPr>
        <w:t>（</w:t>
      </w:r>
      <w:r>
        <w:rPr>
          <w:rFonts w:hint="eastAsia"/>
          <w:lang w:val="en-US" w:eastAsia="zh-CN"/>
        </w:rPr>
        <w:t>环监〔1996〕470号</w:t>
      </w:r>
      <w:r>
        <w:rPr>
          <w:rFonts w:hint="eastAsia"/>
          <w:lang w:eastAsia="zh-CN"/>
        </w:rPr>
        <w:t>）</w:t>
      </w:r>
      <w:r>
        <w:rPr>
          <w:rFonts w:hint="eastAsia"/>
        </w:rPr>
        <w:t>的技术要求，企业所有排放口，包括水、气、声、固体废物，必须按照“便于计量监测、便于日常现场监督检查”的原则和规范化要求，设置与之相适应的环境保护图形标志牌，绘制企业排污口分布图，同时对污水排放口安装流量计，对治理设施安装运行监控装置。排污口的规范化要符合环境监理部门的有关要求。项目建设单位各污染物排放口标志，应按照《环境保护图形标志</w:t>
      </w:r>
      <w:r>
        <w:rPr>
          <w:rFonts w:hint="eastAsia"/>
          <w:lang w:eastAsia="zh-CN"/>
        </w:rPr>
        <w:t>—</w:t>
      </w:r>
      <w:r>
        <w:rPr>
          <w:rFonts w:hint="eastAsia"/>
        </w:rPr>
        <w:t>排放口（源）》</w:t>
      </w:r>
      <w:r>
        <w:rPr>
          <w:rFonts w:hint="eastAsia"/>
          <w:lang w:eastAsia="zh-CN"/>
        </w:rPr>
        <w:t>（</w:t>
      </w:r>
      <w:r>
        <w:rPr>
          <w:rFonts w:hint="eastAsia"/>
          <w:lang w:val="en-US" w:eastAsia="zh-CN"/>
        </w:rPr>
        <w:t>GB15562.1—1995</w:t>
      </w:r>
      <w:r>
        <w:rPr>
          <w:rFonts w:hint="eastAsia"/>
          <w:lang w:eastAsia="zh-CN"/>
        </w:rPr>
        <w:t>）</w:t>
      </w:r>
      <w:r>
        <w:rPr>
          <w:rFonts w:hint="eastAsia"/>
        </w:rPr>
        <w:t>及《</w:t>
      </w:r>
      <w:r>
        <w:rPr>
          <w:rFonts w:hint="eastAsia"/>
          <w:lang w:val="en-US" w:eastAsia="zh-CN"/>
        </w:rPr>
        <w:t>环境保护图形标志—固体废物贮存（处置）场</w:t>
      </w:r>
      <w:r>
        <w:rPr>
          <w:rFonts w:hint="eastAsia"/>
        </w:rPr>
        <w:t>》（</w:t>
      </w:r>
      <w:r>
        <w:rPr>
          <w:rFonts w:hint="eastAsia"/>
          <w:lang w:val="en-US" w:eastAsia="zh-CN"/>
        </w:rPr>
        <w:t>GB15562.2-1995</w:t>
      </w:r>
      <w:r>
        <w:rPr>
          <w:rFonts w:hint="eastAsia"/>
        </w:rPr>
        <w:t>）</w:t>
      </w:r>
      <w:r>
        <w:rPr>
          <w:rFonts w:hint="eastAsia"/>
          <w:lang w:val="en-US" w:eastAsia="zh-CN"/>
        </w:rPr>
        <w:t>及修改单</w:t>
      </w:r>
      <w:r>
        <w:rPr>
          <w:rFonts w:hint="eastAsia"/>
        </w:rPr>
        <w:t>等的规定</w:t>
      </w:r>
      <w:r>
        <w:rPr>
          <w:rFonts w:hint="eastAsia"/>
          <w:lang w:val="en-US" w:eastAsia="zh-CN"/>
        </w:rPr>
        <w:t>要求</w:t>
      </w:r>
      <w:r>
        <w:rPr>
          <w:rFonts w:hint="eastAsia"/>
        </w:rPr>
        <w:t>，设置环保部统一制作的环境保护图形标志牌，具体见图</w:t>
      </w:r>
      <w:r>
        <w:rPr>
          <w:rFonts w:hint="eastAsia"/>
          <w:lang w:val="en-US" w:eastAsia="zh-CN"/>
        </w:rPr>
        <w:t>10</w:t>
      </w:r>
      <w:r>
        <w:rPr>
          <w:rFonts w:hint="eastAsia"/>
        </w:rPr>
        <w:t>-1。</w:t>
      </w:r>
    </w:p>
    <w:p>
      <w:pPr>
        <w:ind w:firstLine="0" w:firstLineChars="0"/>
        <w:jc w:val="center"/>
      </w:pPr>
      <w:r>
        <w:drawing>
          <wp:inline distT="0" distB="0" distL="114300" distR="114300">
            <wp:extent cx="6218555" cy="3231515"/>
            <wp:effectExtent l="0" t="0" r="10795" b="6985"/>
            <wp:docPr id="1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5"/>
                    <pic:cNvPicPr>
                      <a:picLocks noChangeAspect="1"/>
                    </pic:cNvPicPr>
                  </pic:nvPicPr>
                  <pic:blipFill>
                    <a:blip r:embed="rId91"/>
                    <a:stretch>
                      <a:fillRect/>
                    </a:stretch>
                  </pic:blipFill>
                  <pic:spPr>
                    <a:xfrm>
                      <a:off x="0" y="0"/>
                      <a:ext cx="6218555" cy="3231515"/>
                    </a:xfrm>
                    <a:prstGeom prst="rect">
                      <a:avLst/>
                    </a:prstGeom>
                    <a:noFill/>
                    <a:ln>
                      <a:noFill/>
                    </a:ln>
                  </pic:spPr>
                </pic:pic>
              </a:graphicData>
            </a:graphic>
          </wp:inline>
        </w:drawing>
      </w:r>
    </w:p>
    <w:p>
      <w:pPr>
        <w:spacing w:line="240" w:lineRule="auto"/>
        <w:ind w:firstLine="482"/>
        <w:jc w:val="center"/>
        <w:rPr>
          <w:b/>
          <w:bCs/>
        </w:rPr>
      </w:pPr>
      <w:r>
        <w:rPr>
          <w:b/>
          <w:bCs/>
        </w:rPr>
        <w:t>图</w:t>
      </w:r>
      <w:r>
        <w:rPr>
          <w:rFonts w:hint="eastAsia"/>
          <w:b/>
          <w:bCs/>
          <w:lang w:val="en-US" w:eastAsia="zh-CN"/>
        </w:rPr>
        <w:t>10</w:t>
      </w:r>
      <w:r>
        <w:rPr>
          <w:b/>
          <w:bCs/>
        </w:rPr>
        <w:t xml:space="preserve">-1   </w:t>
      </w:r>
      <w:r>
        <w:rPr>
          <w:rFonts w:hint="eastAsia"/>
          <w:b/>
          <w:bCs/>
        </w:rPr>
        <w:t xml:space="preserve"> </w:t>
      </w:r>
      <w:r>
        <w:rPr>
          <w:b/>
          <w:bCs/>
        </w:rPr>
        <w:t>环境保护图形标志示意图</w:t>
      </w:r>
    </w:p>
    <w:p>
      <w:pPr>
        <w:pStyle w:val="6"/>
        <w:ind w:firstLine="482"/>
      </w:pPr>
      <w:bookmarkStart w:id="944" w:name="_Toc24812"/>
      <w:r>
        <w:rPr>
          <w:rFonts w:hint="eastAsia"/>
          <w:lang w:val="en-US" w:eastAsia="zh-CN"/>
        </w:rPr>
        <w:t>10</w:t>
      </w:r>
      <w:r>
        <w:rPr>
          <w:rFonts w:hint="eastAsia"/>
        </w:rPr>
        <w:t>.3.4、排污口建档管理</w:t>
      </w:r>
      <w:bookmarkEnd w:id="944"/>
    </w:p>
    <w:p>
      <w:pPr>
        <w:ind w:firstLine="480"/>
      </w:pPr>
      <w:r>
        <w:rPr>
          <w:rFonts w:hint="eastAsia"/>
        </w:rPr>
        <w:t>1、</w:t>
      </w:r>
      <w:r>
        <w:rPr>
          <w:rFonts w:hint="eastAsia"/>
          <w:lang w:val="en-US" w:eastAsia="zh-CN"/>
        </w:rPr>
        <w:t>标志牌要按照</w:t>
      </w:r>
      <w:r>
        <w:rPr>
          <w:rFonts w:hint="eastAsia"/>
        </w:rPr>
        <w:t>《</w:t>
      </w:r>
      <w:r>
        <w:rPr>
          <w:rFonts w:hint="eastAsia"/>
          <w:lang w:val="en-US" w:eastAsia="zh-CN"/>
        </w:rPr>
        <w:t>国家环保总局关于印发排污口标志牌技术规范的通知</w:t>
      </w:r>
      <w:r>
        <w:rPr>
          <w:rFonts w:hint="eastAsia"/>
        </w:rPr>
        <w:t>》</w:t>
      </w:r>
      <w:r>
        <w:rPr>
          <w:rFonts w:hint="eastAsia"/>
          <w:lang w:eastAsia="zh-CN"/>
        </w:rPr>
        <w:t>（</w:t>
      </w:r>
      <w:r>
        <w:rPr>
          <w:rFonts w:hint="eastAsia"/>
          <w:lang w:val="en-US" w:eastAsia="zh-CN"/>
        </w:rPr>
        <w:t>环监〔1996〕470号</w:t>
      </w:r>
      <w:r>
        <w:rPr>
          <w:rFonts w:hint="eastAsia"/>
          <w:lang w:eastAsia="zh-CN"/>
        </w:rPr>
        <w:t>）</w:t>
      </w:r>
      <w:r>
        <w:rPr>
          <w:rFonts w:hint="eastAsia"/>
          <w:lang w:val="en-US" w:eastAsia="zh-CN"/>
        </w:rPr>
        <w:t>中的相关要求进行制作</w:t>
      </w:r>
      <w:r>
        <w:rPr>
          <w:rFonts w:hint="eastAsia"/>
        </w:rPr>
        <w:t>，并按要求填写有关内容。</w:t>
      </w:r>
    </w:p>
    <w:p>
      <w:pPr>
        <w:ind w:firstLine="480"/>
      </w:pPr>
      <w:r>
        <w:rPr>
          <w:rFonts w:hint="eastAsia"/>
        </w:rPr>
        <w:t>2、根据排污口管理档案内容要求，项目建成后，应将主要污染物种类、数量、浓度、排放去向、达标情况及设施运行情况记录与档案。</w:t>
      </w:r>
    </w:p>
    <w:p>
      <w:pPr>
        <w:pStyle w:val="5"/>
        <w:spacing w:before="78" w:after="78"/>
        <w:ind w:firstLine="562"/>
      </w:pPr>
      <w:bookmarkStart w:id="945" w:name="_Toc6539"/>
      <w:bookmarkStart w:id="946" w:name="_Toc5137"/>
      <w:r>
        <w:rPr>
          <w:rFonts w:hint="eastAsia"/>
          <w:lang w:val="en-US" w:eastAsia="zh-CN"/>
        </w:rPr>
        <w:t>10</w:t>
      </w:r>
      <w:r>
        <w:rPr>
          <w:rFonts w:hint="eastAsia"/>
        </w:rPr>
        <w:t>.4、企业环境信息公开</w:t>
      </w:r>
      <w:bookmarkEnd w:id="945"/>
      <w:bookmarkEnd w:id="946"/>
    </w:p>
    <w:p>
      <w:pPr>
        <w:bidi w:val="0"/>
      </w:pPr>
      <w:r>
        <w:rPr>
          <w:rFonts w:hint="eastAsia"/>
        </w:rPr>
        <w:t>根据《企业环境信息依法披露管理办法》（生态环境部部令</w:t>
      </w:r>
      <w:r>
        <w:rPr>
          <w:rFonts w:hint="eastAsia"/>
          <w:lang w:eastAsia="zh-CN"/>
        </w:rPr>
        <w:t>，</w:t>
      </w:r>
      <w:r>
        <w:rPr>
          <w:rFonts w:hint="eastAsia"/>
        </w:rPr>
        <w:t>第24号，自2022年2月8日起施行）要求，建设单位需公开以下信息：</w:t>
      </w:r>
    </w:p>
    <w:p>
      <w:pPr>
        <w:ind w:firstLine="482"/>
        <w:rPr>
          <w:b/>
          <w:bCs/>
        </w:rPr>
      </w:pPr>
      <w:r>
        <w:rPr>
          <w:rFonts w:hint="eastAsia"/>
          <w:b/>
          <w:bCs/>
        </w:rPr>
        <w:t>1、公开建设项目开工前的信息</w:t>
      </w:r>
    </w:p>
    <w:p>
      <w:pPr>
        <w:ind w:firstLine="480"/>
      </w:pPr>
      <w:r>
        <w:rPr>
          <w:rFonts w:hint="eastAsia"/>
        </w:rPr>
        <w:t>建设项目开工建设前，建设单位应当向社会公开建设项目开工日期、设计单位、施工单位和环境监理单位、工程基本情况、实际选址选线、拟采取的环境保护措施清单和实施计划、由地方政府或相关部门负责配套的环境保护措施清单和实施计划等，并确保上述信息在整个施工期内均处于公开状态。</w:t>
      </w:r>
    </w:p>
    <w:p>
      <w:pPr>
        <w:ind w:firstLine="482"/>
        <w:rPr>
          <w:b/>
          <w:bCs/>
        </w:rPr>
      </w:pPr>
      <w:r>
        <w:rPr>
          <w:rFonts w:hint="eastAsia"/>
          <w:b/>
          <w:bCs/>
        </w:rPr>
        <w:t>2、公开建设项目施工过程中的信息</w:t>
      </w:r>
    </w:p>
    <w:p>
      <w:pPr>
        <w:ind w:firstLine="480"/>
      </w:pPr>
      <w:r>
        <w:rPr>
          <w:rFonts w:hint="eastAsia"/>
        </w:rPr>
        <w:t>项目建设过程中，建设单位应当在施工中期向社会公开建设项目环境保护措施进展情况、施工期的环境保护措施落实情况、施工期环境监理情况、施工期环境监测结果等。</w:t>
      </w:r>
    </w:p>
    <w:p>
      <w:pPr>
        <w:ind w:firstLine="482"/>
      </w:pPr>
      <w:r>
        <w:rPr>
          <w:rFonts w:hint="eastAsia"/>
          <w:b/>
          <w:bCs/>
        </w:rPr>
        <w:t>3、公开建设项目建成后的信息</w:t>
      </w:r>
    </w:p>
    <w:p>
      <w:pPr>
        <w:ind w:firstLine="480"/>
      </w:pPr>
      <w:r>
        <w:rPr>
          <w:rFonts w:hint="eastAsia"/>
        </w:rPr>
        <w:t>建设项目建成后，建设单位应当向社会公开建设项目环评提出的各项环境保护设施和措施执行情况、竣工环境保护验收监测和调查结果。对主要因排放污染物对环境产生影响的建设项目，投入生产或使用后，应当定期向社会特别是周边社区公开主要污染物排放情况。</w:t>
      </w:r>
    </w:p>
    <w:p>
      <w:pPr>
        <w:ind w:firstLine="480"/>
      </w:pPr>
      <w:r>
        <w:rPr>
          <w:rFonts w:hint="eastAsia"/>
        </w:rPr>
        <w:t>另外，根据《企业环境信息依法披露管理办法》（生态环境部部令</w:t>
      </w:r>
      <w:r>
        <w:rPr>
          <w:rFonts w:hint="eastAsia"/>
          <w:lang w:eastAsia="zh-CN"/>
        </w:rPr>
        <w:t>，</w:t>
      </w:r>
      <w:r>
        <w:rPr>
          <w:rFonts w:hint="eastAsia"/>
        </w:rPr>
        <w:t>第24号），建设单位</w:t>
      </w:r>
      <w:r>
        <w:rPr>
          <w:rFonts w:hint="eastAsia"/>
          <w:lang w:val="en-US" w:eastAsia="zh-CN"/>
        </w:rPr>
        <w:t>应</w:t>
      </w:r>
      <w:r>
        <w:rPr>
          <w:rFonts w:hint="eastAsia"/>
        </w:rPr>
        <w:t>当于每年3月15日前披露上一年度1月1日至12月31日的环境信息</w:t>
      </w:r>
      <w:r>
        <w:rPr>
          <w:rFonts w:hint="eastAsia"/>
          <w:lang w:eastAsia="zh-CN"/>
        </w:rPr>
        <w:t>，</w:t>
      </w:r>
      <w:r>
        <w:rPr>
          <w:rFonts w:hint="eastAsia"/>
        </w:rPr>
        <w:t>在信息披露时应披露以下信息：</w:t>
      </w:r>
    </w:p>
    <w:p>
      <w:pPr>
        <w:ind w:firstLine="480"/>
        <w:rPr>
          <w:rFonts w:hint="eastAsia"/>
        </w:rPr>
      </w:pPr>
      <w:r>
        <w:rPr>
          <w:rFonts w:hint="eastAsia"/>
        </w:rPr>
        <w:t>①企业基本信息，包括企业生产和生态环境保护等方面的基础信息；</w:t>
      </w:r>
    </w:p>
    <w:p>
      <w:pPr>
        <w:ind w:firstLine="480"/>
        <w:rPr>
          <w:rFonts w:hint="eastAsia"/>
        </w:rPr>
      </w:pPr>
      <w:r>
        <w:rPr>
          <w:rFonts w:hint="eastAsia"/>
        </w:rPr>
        <w:t>②企业环境管理信息，包括生态环境行政许可、环境保护税、环境污染责任保险、环保信用评价等方面的信息；</w:t>
      </w:r>
    </w:p>
    <w:p>
      <w:pPr>
        <w:ind w:firstLine="480"/>
        <w:rPr>
          <w:rFonts w:hint="eastAsia"/>
        </w:rPr>
      </w:pPr>
      <w:r>
        <w:rPr>
          <w:rFonts w:hint="eastAsia"/>
        </w:rPr>
        <w:t>③污染物产生、治理与排放信息，包括污染防治设施，污染物排放，有毒有害物质排放，工业固体废物和危险废物产生、贮存、流向、利用、处置，自行监测等方面的信息；</w:t>
      </w:r>
    </w:p>
    <w:p>
      <w:pPr>
        <w:bidi w:val="0"/>
        <w:rPr>
          <w:rFonts w:hint="eastAsia"/>
        </w:rPr>
      </w:pPr>
      <w:r>
        <w:rPr>
          <w:rFonts w:hint="eastAsia"/>
        </w:rPr>
        <w:t>④碳排放信息，包括排放量、排放设施等方面的信息；</w:t>
      </w:r>
    </w:p>
    <w:p>
      <w:pPr>
        <w:bidi w:val="0"/>
        <w:rPr>
          <w:rFonts w:hint="eastAsia"/>
        </w:rPr>
      </w:pPr>
      <w:r>
        <w:rPr>
          <w:rFonts w:hint="eastAsia"/>
        </w:rPr>
        <w:t>⑤生态环境应急信息，包括突发环境事件应急预案、重污染天气应急响应等方面的信息；</w:t>
      </w:r>
    </w:p>
    <w:p>
      <w:pPr>
        <w:bidi w:val="0"/>
        <w:rPr>
          <w:rFonts w:hint="eastAsia"/>
        </w:rPr>
      </w:pPr>
      <w:r>
        <w:rPr>
          <w:rFonts w:hint="eastAsia"/>
        </w:rPr>
        <w:t>⑥生态环境违法信息；</w:t>
      </w:r>
    </w:p>
    <w:p>
      <w:pPr>
        <w:bidi w:val="0"/>
        <w:rPr>
          <w:rFonts w:hint="eastAsia"/>
        </w:rPr>
      </w:pPr>
      <w:r>
        <w:rPr>
          <w:rFonts w:hint="default"/>
        </w:rPr>
        <w:t>⑦</w:t>
      </w:r>
      <w:r>
        <w:rPr>
          <w:rFonts w:hint="eastAsia"/>
        </w:rPr>
        <w:t>本年度临时环境信息依法披露情况；</w:t>
      </w:r>
    </w:p>
    <w:p>
      <w:pPr>
        <w:bidi w:val="0"/>
        <w:rPr>
          <w:rFonts w:hint="eastAsia"/>
        </w:rPr>
      </w:pPr>
      <w:r>
        <w:rPr>
          <w:rFonts w:hint="default"/>
        </w:rPr>
        <w:t>⑧</w:t>
      </w:r>
      <w:r>
        <w:rPr>
          <w:rFonts w:hint="eastAsia"/>
        </w:rPr>
        <w:t>法律法规规定的其他环境信息。</w:t>
      </w:r>
    </w:p>
    <w:p>
      <w:pPr>
        <w:pStyle w:val="5"/>
        <w:spacing w:before="78" w:after="78"/>
        <w:ind w:firstLine="562"/>
      </w:pPr>
      <w:bookmarkStart w:id="947" w:name="_Toc28780"/>
      <w:bookmarkStart w:id="948" w:name="_Toc30341"/>
      <w:r>
        <w:rPr>
          <w:rFonts w:hint="eastAsia"/>
          <w:lang w:val="en-US" w:eastAsia="zh-CN"/>
        </w:rPr>
        <w:t>10</w:t>
      </w:r>
      <w:r>
        <w:rPr>
          <w:rFonts w:hint="eastAsia"/>
        </w:rPr>
        <w:t>.5、</w:t>
      </w:r>
      <w:bookmarkStart w:id="949" w:name="_Toc10652"/>
      <w:r>
        <w:rPr>
          <w:rFonts w:hint="eastAsia"/>
        </w:rPr>
        <w:t>总量控制</w:t>
      </w:r>
      <w:bookmarkEnd w:id="947"/>
      <w:bookmarkEnd w:id="948"/>
      <w:bookmarkEnd w:id="949"/>
    </w:p>
    <w:p>
      <w:pPr>
        <w:pStyle w:val="6"/>
        <w:ind w:firstLine="482"/>
      </w:pPr>
      <w:bookmarkStart w:id="950" w:name="_Toc9453"/>
      <w:r>
        <w:rPr>
          <w:rFonts w:hint="eastAsia"/>
          <w:lang w:val="en-US" w:eastAsia="zh-CN"/>
        </w:rPr>
        <w:t>10</w:t>
      </w:r>
      <w:r>
        <w:rPr>
          <w:rFonts w:hint="eastAsia"/>
        </w:rPr>
        <w:t>.5.1、污染物排放总量确定原则</w:t>
      </w:r>
      <w:bookmarkEnd w:id="950"/>
    </w:p>
    <w:p>
      <w:pPr>
        <w:ind w:firstLine="480"/>
      </w:pPr>
      <w:r>
        <w:rPr>
          <w:rFonts w:hint="eastAsia"/>
        </w:rPr>
        <w:t>在确定项目污染物排放总量控制指标时，遵循以下原则：</w:t>
      </w:r>
    </w:p>
    <w:p>
      <w:pPr>
        <w:ind w:firstLine="480"/>
      </w:pPr>
      <w:r>
        <w:rPr>
          <w:rFonts w:hint="eastAsia"/>
        </w:rPr>
        <w:t>1、按项目污染排放源强，确定各污染物排放总量控制指标。</w:t>
      </w:r>
    </w:p>
    <w:p>
      <w:pPr>
        <w:ind w:firstLine="480"/>
      </w:pPr>
      <w:r>
        <w:rPr>
          <w:rFonts w:hint="eastAsia"/>
        </w:rPr>
        <w:t>2、根据项目生产规模的变化，确定项目最初投产时及达到最大生产规模时的污染物总量控制指标。</w:t>
      </w:r>
    </w:p>
    <w:p>
      <w:pPr>
        <w:ind w:firstLine="480"/>
      </w:pPr>
      <w:r>
        <w:rPr>
          <w:rFonts w:hint="eastAsia"/>
        </w:rPr>
        <w:t>3、总量控制指标的确定必须服从区域排放总量计划。</w:t>
      </w:r>
    </w:p>
    <w:p>
      <w:pPr>
        <w:pStyle w:val="6"/>
        <w:ind w:firstLine="482"/>
      </w:pPr>
      <w:bookmarkStart w:id="951" w:name="_Toc31766"/>
      <w:r>
        <w:rPr>
          <w:rFonts w:hint="eastAsia"/>
          <w:lang w:val="en-US" w:eastAsia="zh-CN"/>
        </w:rPr>
        <w:t>10</w:t>
      </w:r>
      <w:r>
        <w:rPr>
          <w:rFonts w:hint="eastAsia"/>
        </w:rPr>
        <w:t>.5.2、污染控制总量指标分析</w:t>
      </w:r>
      <w:bookmarkEnd w:id="951"/>
    </w:p>
    <w:p>
      <w:pPr>
        <w:ind w:firstLine="482"/>
        <w:rPr>
          <w:b/>
          <w:bCs/>
        </w:rPr>
      </w:pPr>
      <w:r>
        <w:rPr>
          <w:rFonts w:hint="eastAsia"/>
          <w:b/>
          <w:bCs/>
        </w:rPr>
        <w:t>（1）水污染物总量控制指标</w:t>
      </w:r>
    </w:p>
    <w:p>
      <w:pPr>
        <w:ind w:firstLine="480"/>
      </w:pPr>
      <w:r>
        <w:t>本项目运营期产生的废水</w:t>
      </w:r>
      <w:r>
        <w:rPr>
          <w:rFonts w:hint="eastAsia"/>
        </w:rPr>
        <w:t>主要有：</w:t>
      </w:r>
      <w:r>
        <w:t>待宰圈羊尿液</w:t>
      </w:r>
      <w:r>
        <w:rPr>
          <w:rFonts w:hint="eastAsia"/>
        </w:rPr>
        <w:t>、</w:t>
      </w:r>
      <w:r>
        <w:t>肉羊精深加工生产线屠宰废水</w:t>
      </w:r>
      <w:r>
        <w:rPr>
          <w:rFonts w:hint="eastAsia"/>
        </w:rPr>
        <w:t>、</w:t>
      </w:r>
      <w:r>
        <w:t>牛羊预制品生产线生产废水</w:t>
      </w:r>
      <w:r>
        <w:rPr>
          <w:rFonts w:hint="eastAsia"/>
        </w:rPr>
        <w:t>、</w:t>
      </w:r>
      <w:r>
        <w:t>羊杂预制品生产线废水</w:t>
      </w:r>
      <w:r>
        <w:rPr>
          <w:rFonts w:hint="eastAsia"/>
        </w:rPr>
        <w:t>、</w:t>
      </w:r>
      <w:r>
        <w:t>冷凝废水</w:t>
      </w:r>
      <w:r>
        <w:rPr>
          <w:rFonts w:hint="eastAsia"/>
        </w:rPr>
        <w:t>、</w:t>
      </w:r>
      <w:r>
        <w:t>生活污水。</w:t>
      </w:r>
    </w:p>
    <w:p>
      <w:pPr>
        <w:ind w:firstLine="480"/>
      </w:pPr>
      <w:r>
        <w:t>冷凝废水</w:t>
      </w:r>
      <w:r>
        <w:rPr>
          <w:rFonts w:hint="eastAsia"/>
        </w:rPr>
        <w:t>循环使用不外排；生活污水经厂区化粪池、隔油池预处理后与羊尿液、生产废水一起排入厂区污水处理站处理，处理后的达标废水用于厂区饲草区灌溉，且本项目运营期产生的废水不涉及重金属等第一污染物，废水中污染因子较为简单，且含量较小。因此本项目无需申请水污染物总量控制指标。</w:t>
      </w:r>
    </w:p>
    <w:p>
      <w:pPr>
        <w:ind w:firstLine="482"/>
        <w:rPr>
          <w:b/>
          <w:bCs/>
        </w:rPr>
      </w:pPr>
      <w:r>
        <w:rPr>
          <w:rFonts w:hint="eastAsia"/>
          <w:b/>
          <w:bCs/>
        </w:rPr>
        <w:t>（2）大气污染物总量控制指标</w:t>
      </w:r>
    </w:p>
    <w:p>
      <w:pPr>
        <w:ind w:firstLine="480"/>
      </w:pPr>
      <w:r>
        <w:rPr>
          <w:bCs/>
        </w:rPr>
        <w:t>根据《建设项目主要污染物排放总量指标审核及管理暂行办法》（环发〔2014〕197号）和《甘肃省国民经济和社会发展第十四个五年规划和二〇三五年远景目标纲要》</w:t>
      </w:r>
      <w:r>
        <w:rPr>
          <w:rFonts w:hint="eastAsia"/>
          <w:bCs/>
        </w:rPr>
        <w:t>（甘政发〔2021〕18号）</w:t>
      </w:r>
      <w:r>
        <w:rPr>
          <w:bCs/>
        </w:rPr>
        <w:t>可知，</w:t>
      </w:r>
      <w:r>
        <w:rPr>
          <w:rFonts w:hint="eastAsia"/>
          <w:bCs/>
        </w:rPr>
        <w:t>大气污染物总量控制项目为</w:t>
      </w:r>
      <w:r>
        <w:rPr>
          <w:bCs/>
        </w:rPr>
        <w:t>二氧化硫、氮氧化物、</w:t>
      </w:r>
      <w:r>
        <w:rPr>
          <w:rFonts w:hint="eastAsia"/>
          <w:bCs/>
        </w:rPr>
        <w:t>挥发性有机物</w:t>
      </w:r>
      <w:r>
        <w:rPr>
          <w:bCs/>
        </w:rPr>
        <w:t>。</w:t>
      </w:r>
      <w:r>
        <w:rPr>
          <w:rFonts w:hint="eastAsia"/>
          <w:bCs/>
        </w:rPr>
        <w:t>本项目运营期产生的废气主要为硫化氢和氨，无</w:t>
      </w:r>
      <w:r>
        <w:rPr>
          <w:bCs/>
        </w:rPr>
        <w:t>二氧化硫、氮氧化物、</w:t>
      </w:r>
      <w:r>
        <w:rPr>
          <w:rFonts w:hint="eastAsia"/>
          <w:bCs/>
        </w:rPr>
        <w:t>挥发性有机物产生，因此，本环评不设置大气污染物总量控制指标。</w:t>
      </w:r>
    </w:p>
    <w:p>
      <w:pPr>
        <w:pStyle w:val="5"/>
        <w:spacing w:before="78" w:after="78"/>
        <w:ind w:firstLine="562"/>
      </w:pPr>
      <w:bookmarkStart w:id="952" w:name="_Toc25705"/>
      <w:bookmarkStart w:id="953" w:name="_Toc15189"/>
      <w:bookmarkStart w:id="954" w:name="_Toc5963"/>
      <w:r>
        <w:rPr>
          <w:rFonts w:hint="eastAsia"/>
          <w:lang w:val="en-US" w:eastAsia="zh-CN"/>
        </w:rPr>
        <w:t>10</w:t>
      </w:r>
      <w:r>
        <w:rPr>
          <w:rFonts w:hint="eastAsia"/>
        </w:rPr>
        <w:t>.6、环境监控计划</w:t>
      </w:r>
      <w:bookmarkEnd w:id="952"/>
      <w:bookmarkEnd w:id="953"/>
      <w:bookmarkEnd w:id="954"/>
    </w:p>
    <w:p>
      <w:pPr>
        <w:ind w:firstLine="480"/>
      </w:pPr>
      <w:r>
        <w:t>建设单位必须按照国家或地方污染物排放（控制）标准、环境监测技术规范以及《排污单位自行监测技术指南 总则》（HJ819-2017）</w:t>
      </w:r>
      <w:r>
        <w:rPr>
          <w:rFonts w:hint="eastAsia"/>
        </w:rPr>
        <w:t>、《排污单位自行监测技术指南 农副食品加工业》</w:t>
      </w:r>
      <w:r>
        <w:t>（HJ986-2018）等有关要求，制定企业自行监测方案及监测计划。为便于监测工作的进行，各污染源应设监测取样点及监测平台。</w:t>
      </w:r>
    </w:p>
    <w:p>
      <w:pPr>
        <w:pStyle w:val="6"/>
        <w:ind w:firstLine="482"/>
      </w:pPr>
      <w:bookmarkStart w:id="955" w:name="_Toc25397"/>
      <w:r>
        <w:rPr>
          <w:rFonts w:hint="eastAsia"/>
          <w:lang w:val="en-US" w:eastAsia="zh-CN"/>
        </w:rPr>
        <w:t>10</w:t>
      </w:r>
      <w:r>
        <w:rPr>
          <w:rFonts w:hint="eastAsia"/>
        </w:rPr>
        <w:t>.6.1、环境监控主要任务</w:t>
      </w:r>
      <w:bookmarkEnd w:id="955"/>
    </w:p>
    <w:p>
      <w:pPr>
        <w:ind w:firstLine="480"/>
      </w:pPr>
      <w:r>
        <w:rPr>
          <w:rFonts w:hint="eastAsia"/>
        </w:rPr>
        <w:t>监测内容主要包括委托有资质的环境监测单位在项目建成后，对其环保实施进行验收监测和运营期定期监测。</w:t>
      </w:r>
    </w:p>
    <w:p>
      <w:pPr>
        <w:ind w:firstLine="480"/>
      </w:pPr>
      <w:r>
        <w:rPr>
          <w:rFonts w:hint="eastAsia"/>
        </w:rPr>
        <w:t>验收监测的内容主要包括废气的排放浓度，排放量监测和治理效率监测；各主要噪声设备源强、各类治理措施的降噪效果及厂界噪声进行监测、污水处理效率及排放浓度的监测。</w:t>
      </w:r>
    </w:p>
    <w:p>
      <w:pPr>
        <w:ind w:firstLine="480"/>
      </w:pPr>
      <w:r>
        <w:rPr>
          <w:rFonts w:hint="eastAsia"/>
        </w:rPr>
        <w:t>定期监测内容主要包括对项目建成废气的排放监测、废水排放监测、厂界噪声的监测以及地下水污染情况监测。</w:t>
      </w:r>
    </w:p>
    <w:p>
      <w:pPr>
        <w:pStyle w:val="6"/>
        <w:ind w:firstLine="482"/>
      </w:pPr>
      <w:bookmarkStart w:id="956" w:name="_Toc31734"/>
      <w:r>
        <w:rPr>
          <w:rFonts w:hint="eastAsia"/>
          <w:lang w:val="en-US" w:eastAsia="zh-CN"/>
        </w:rPr>
        <w:t>10</w:t>
      </w:r>
      <w:r>
        <w:rPr>
          <w:rFonts w:hint="eastAsia"/>
        </w:rPr>
        <w:t>.6.2、环境监测计划</w:t>
      </w:r>
      <w:bookmarkEnd w:id="956"/>
    </w:p>
    <w:p>
      <w:pPr>
        <w:ind w:firstLine="482"/>
        <w:rPr>
          <w:b/>
          <w:bCs/>
        </w:rPr>
      </w:pPr>
      <w:bookmarkStart w:id="957" w:name="_Toc358753759"/>
      <w:r>
        <w:rPr>
          <w:rFonts w:hint="eastAsia"/>
          <w:b/>
          <w:bCs/>
        </w:rPr>
        <w:t>1、</w:t>
      </w:r>
      <w:r>
        <w:rPr>
          <w:b/>
          <w:bCs/>
        </w:rPr>
        <w:t>监测目的</w:t>
      </w:r>
      <w:bookmarkEnd w:id="957"/>
    </w:p>
    <w:p>
      <w:pPr>
        <w:ind w:firstLine="480"/>
      </w:pPr>
      <w:r>
        <w:t>项目环境监测主要针对运营期，其目的是为全面、及时掌握拟建项目污染动态，了解项目建设对所在地区的环境质量变化程度、影响范围及运营期的环境质量动态，及时向主管部门反馈信息，为项目的环境管理提供科学依据。</w:t>
      </w:r>
    </w:p>
    <w:p>
      <w:pPr>
        <w:ind w:firstLine="482"/>
        <w:rPr>
          <w:b/>
          <w:bCs/>
        </w:rPr>
      </w:pPr>
      <w:bookmarkStart w:id="958" w:name="_Toc358753760"/>
      <w:r>
        <w:rPr>
          <w:rFonts w:hint="eastAsia"/>
          <w:b/>
          <w:bCs/>
        </w:rPr>
        <w:t>2、</w:t>
      </w:r>
      <w:r>
        <w:rPr>
          <w:b/>
          <w:bCs/>
        </w:rPr>
        <w:t>监测内容</w:t>
      </w:r>
      <w:bookmarkEnd w:id="958"/>
    </w:p>
    <w:p>
      <w:pPr>
        <w:ind w:firstLine="480"/>
      </w:pPr>
      <w:r>
        <w:t>监测实施根据运营期的污染情况，监测内容选择受影响较大的环境空气、地</w:t>
      </w:r>
      <w:r>
        <w:rPr>
          <w:rFonts w:hint="eastAsia"/>
        </w:rPr>
        <w:t>下</w:t>
      </w:r>
      <w:r>
        <w:t>水环境</w:t>
      </w:r>
      <w:r>
        <w:rPr>
          <w:rFonts w:hint="eastAsia"/>
        </w:rPr>
        <w:t>等</w:t>
      </w:r>
      <w:r>
        <w:t>，监测因子根据工程分析中污染特征因子确定，监测分析方法采用国家环保局颁布的环境监测技术规范中相应项目的监测分析方法，评价标准执行环评确认的国家标准，实行在环境敏感点处进行监督性监测。监测内容</w:t>
      </w:r>
      <w:r>
        <w:rPr>
          <w:rFonts w:hint="eastAsia"/>
        </w:rPr>
        <w:t>根据《排污单位自行监测技术指南 农副食品加工业》</w:t>
      </w:r>
      <w:r>
        <w:t>（HJ986-2018）</w:t>
      </w:r>
      <w:r>
        <w:rPr>
          <w:rFonts w:hint="eastAsia"/>
        </w:rPr>
        <w:t>中的要求进行，</w:t>
      </w:r>
      <w:r>
        <w:t>具体监测内容见表</w:t>
      </w:r>
      <w:r>
        <w:rPr>
          <w:rFonts w:hint="eastAsia"/>
          <w:lang w:val="en-US" w:eastAsia="zh-CN"/>
        </w:rPr>
        <w:t>10</w:t>
      </w:r>
      <w:r>
        <w:rPr>
          <w:rFonts w:hint="eastAsia"/>
        </w:rPr>
        <w:t>.3</w:t>
      </w:r>
      <w:r>
        <w:t>。</w:t>
      </w:r>
    </w:p>
    <w:p>
      <w:pPr>
        <w:spacing w:line="240" w:lineRule="auto"/>
        <w:ind w:left="480" w:leftChars="200" w:firstLine="0" w:firstLineChars="0"/>
        <w:jc w:val="center"/>
        <w:rPr>
          <w:b/>
          <w:bCs/>
        </w:rPr>
      </w:pPr>
      <w:r>
        <w:rPr>
          <w:b/>
          <w:bCs/>
        </w:rPr>
        <w:t>表</w:t>
      </w:r>
      <w:r>
        <w:rPr>
          <w:rFonts w:hint="eastAsia"/>
          <w:b/>
          <w:bCs/>
          <w:lang w:val="en-US" w:eastAsia="zh-CN"/>
        </w:rPr>
        <w:t>10</w:t>
      </w:r>
      <w:r>
        <w:rPr>
          <w:rFonts w:hint="eastAsia"/>
          <w:b/>
          <w:bCs/>
        </w:rPr>
        <w:t>.3</w:t>
      </w:r>
      <w:r>
        <w:rPr>
          <w:b/>
          <w:bCs/>
        </w:rPr>
        <w:t xml:space="preserve">    运营期环境监测内容一览表</w:t>
      </w:r>
    </w:p>
    <w:tbl>
      <w:tblPr>
        <w:tblStyle w:val="32"/>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031"/>
        <w:gridCol w:w="1494"/>
        <w:gridCol w:w="2860"/>
        <w:gridCol w:w="1344"/>
        <w:gridCol w:w="1877"/>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23" w:type="pct"/>
            <w:tcBorders>
              <w:tl2br w:val="nil"/>
              <w:tr2bl w:val="nil"/>
            </w:tcBorders>
            <w:tcMar>
              <w:top w:w="0" w:type="dxa"/>
              <w:left w:w="68" w:type="dxa"/>
              <w:bottom w:w="0" w:type="dxa"/>
              <w:right w:w="68" w:type="dxa"/>
            </w:tcMar>
            <w:vAlign w:val="center"/>
          </w:tcPr>
          <w:p>
            <w:pPr>
              <w:spacing w:line="240" w:lineRule="auto"/>
              <w:ind w:firstLine="0" w:firstLineChars="0"/>
              <w:jc w:val="center"/>
              <w:rPr>
                <w:b/>
                <w:sz w:val="21"/>
                <w:szCs w:val="21"/>
              </w:rPr>
            </w:pPr>
            <w:r>
              <w:rPr>
                <w:b/>
                <w:sz w:val="21"/>
                <w:szCs w:val="21"/>
              </w:rPr>
              <w:t>环境要素</w:t>
            </w:r>
          </w:p>
        </w:tc>
        <w:tc>
          <w:tcPr>
            <w:tcW w:w="2209"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b/>
                <w:sz w:val="21"/>
                <w:szCs w:val="21"/>
              </w:rPr>
            </w:pPr>
            <w:r>
              <w:rPr>
                <w:b/>
                <w:sz w:val="21"/>
                <w:szCs w:val="21"/>
              </w:rPr>
              <w:t>监测项目</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b/>
                <w:sz w:val="21"/>
                <w:szCs w:val="21"/>
              </w:rPr>
            </w:pPr>
            <w:r>
              <w:rPr>
                <w:b/>
                <w:sz w:val="21"/>
                <w:szCs w:val="21"/>
              </w:rPr>
              <w:t>监测频次</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b/>
                <w:sz w:val="21"/>
                <w:szCs w:val="21"/>
              </w:rPr>
            </w:pPr>
            <w:r>
              <w:rPr>
                <w:b/>
                <w:sz w:val="21"/>
                <w:szCs w:val="21"/>
              </w:rPr>
              <w:t>监测地点</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b/>
                <w:sz w:val="21"/>
                <w:szCs w:val="21"/>
              </w:rPr>
            </w:pPr>
            <w:r>
              <w:rPr>
                <w:b/>
                <w:sz w:val="21"/>
                <w:szCs w:val="21"/>
              </w:rPr>
              <w:t>负责单位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23" w:type="pct"/>
            <w:vMerge w:val="restar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废气</w:t>
            </w:r>
          </w:p>
        </w:tc>
        <w:tc>
          <w:tcPr>
            <w:tcW w:w="758"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综合生产车间排气筒</w:t>
            </w:r>
          </w:p>
        </w:tc>
        <w:tc>
          <w:tcPr>
            <w:tcW w:w="145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硫化氢、氨、臭气浓度</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每季度1次</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废气处理装置进、出口</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lang w:val="en-US" w:eastAsia="zh-CN"/>
              </w:rPr>
              <w:t>委托</w:t>
            </w:r>
            <w:r>
              <w:rPr>
                <w:sz w:val="21"/>
                <w:szCs w:val="21"/>
              </w:rPr>
              <w:t>有资质</w:t>
            </w:r>
            <w:r>
              <w:rPr>
                <w:rFonts w:hint="eastAsia"/>
                <w:sz w:val="21"/>
                <w:szCs w:val="21"/>
                <w:lang w:val="en-US" w:eastAsia="zh-CN"/>
              </w:rPr>
              <w:t>的</w:t>
            </w:r>
            <w:r>
              <w:rPr>
                <w:sz w:val="21"/>
                <w:szCs w:val="21"/>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23" w:type="pct"/>
            <w:vMerge w:val="continue"/>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p>
        </w:tc>
        <w:tc>
          <w:tcPr>
            <w:tcW w:w="758"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厂界无组织</w:t>
            </w:r>
          </w:p>
        </w:tc>
        <w:tc>
          <w:tcPr>
            <w:tcW w:w="1451" w:type="pct"/>
            <w:tcBorders>
              <w:tl2br w:val="nil"/>
              <w:tr2bl w:val="nil"/>
            </w:tcBorders>
            <w:tcMar>
              <w:top w:w="0" w:type="dxa"/>
              <w:left w:w="68" w:type="dxa"/>
              <w:bottom w:w="0" w:type="dxa"/>
              <w:right w:w="68" w:type="dxa"/>
            </w:tcMar>
            <w:vAlign w:val="center"/>
          </w:tcPr>
          <w:p>
            <w:pPr>
              <w:pStyle w:val="96"/>
              <w:spacing w:line="240" w:lineRule="auto"/>
              <w:ind w:firstLine="0" w:firstLineChars="0"/>
              <w:jc w:val="both"/>
              <w:rPr>
                <w:rFonts w:ascii="Times New Roman" w:hAnsi="Times New Roman"/>
                <w:sz w:val="21"/>
                <w:szCs w:val="21"/>
              </w:rPr>
            </w:pPr>
            <w:r>
              <w:rPr>
                <w:rFonts w:ascii="Times New Roman" w:hAnsi="Times New Roman"/>
                <w:sz w:val="21"/>
                <w:szCs w:val="21"/>
              </w:rPr>
              <w:t>硫化氢、氨、臭气浓度</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半年1次</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厂区上风向及下风向2-50m范围内各设1个监测点</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lang w:val="en-US" w:eastAsia="zh-CN"/>
              </w:rPr>
              <w:t>委托</w:t>
            </w:r>
            <w:r>
              <w:rPr>
                <w:sz w:val="21"/>
                <w:szCs w:val="21"/>
              </w:rPr>
              <w:t>有资质</w:t>
            </w:r>
            <w:r>
              <w:rPr>
                <w:rFonts w:hint="eastAsia"/>
                <w:sz w:val="21"/>
                <w:szCs w:val="21"/>
                <w:lang w:val="en-US" w:eastAsia="zh-CN"/>
              </w:rPr>
              <w:t>的</w:t>
            </w:r>
            <w:r>
              <w:rPr>
                <w:sz w:val="21"/>
                <w:szCs w:val="21"/>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523" w:type="pct"/>
            <w:vMerge w:val="restar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废水</w:t>
            </w:r>
          </w:p>
        </w:tc>
        <w:tc>
          <w:tcPr>
            <w:tcW w:w="2209"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流量、pH值、化学需氧量、氨氮、总磷、总氮</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自动监测</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污水处理站出口</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出口安装在线自动监测装置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jc w:val="center"/>
        </w:trPr>
        <w:tc>
          <w:tcPr>
            <w:tcW w:w="523" w:type="pct"/>
            <w:vMerge w:val="continue"/>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p>
        </w:tc>
        <w:tc>
          <w:tcPr>
            <w:tcW w:w="2209"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悬浮物、五日生化需氧量、动植物油、大肠菌群数、阴离子表面活性剂、色度、粪大肠菌群数、总余氯</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每季度1次</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污水处理站</w:t>
            </w:r>
            <w:r>
              <w:rPr>
                <w:rFonts w:hint="eastAsia"/>
                <w:sz w:val="21"/>
                <w:szCs w:val="21"/>
              </w:rPr>
              <w:t>进、</w:t>
            </w:r>
            <w:r>
              <w:rPr>
                <w:sz w:val="21"/>
                <w:szCs w:val="21"/>
              </w:rPr>
              <w:t>出口</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lang w:val="en-US" w:eastAsia="zh-CN"/>
              </w:rPr>
              <w:t>委托</w:t>
            </w:r>
            <w:r>
              <w:rPr>
                <w:sz w:val="21"/>
                <w:szCs w:val="21"/>
              </w:rPr>
              <w:t>有资质</w:t>
            </w:r>
            <w:r>
              <w:rPr>
                <w:rFonts w:hint="eastAsia"/>
                <w:sz w:val="21"/>
                <w:szCs w:val="21"/>
                <w:lang w:val="en-US" w:eastAsia="zh-CN"/>
              </w:rPr>
              <w:t>的</w:t>
            </w:r>
            <w:r>
              <w:rPr>
                <w:sz w:val="21"/>
                <w:szCs w:val="21"/>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23"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地下水</w:t>
            </w:r>
          </w:p>
        </w:tc>
        <w:tc>
          <w:tcPr>
            <w:tcW w:w="2209"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色、嗅和味、浑浊度、肉眼可见物、pH、总硬度、溶解性总固体、硫酸盐、氯化物、铁、锰、铜、锌、铝、挥发性酚类、阴离子表面活性剂、耗氧量、氨氮、硫化物、钠、总大肠菌群、菌落总数、亚硝酸盐、硝酸盐、氰化物、氟化物、碘化物、汞、砷、硒、镉、铬（六价）、铅、三氯甲烷、四氯化碳、苯、甲苯</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每年1次</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厂区用水井</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lang w:val="en-US" w:eastAsia="zh-CN"/>
              </w:rPr>
              <w:t>委托</w:t>
            </w:r>
            <w:r>
              <w:rPr>
                <w:sz w:val="21"/>
                <w:szCs w:val="21"/>
              </w:rPr>
              <w:t>有资质</w:t>
            </w:r>
            <w:r>
              <w:rPr>
                <w:rFonts w:hint="eastAsia"/>
                <w:sz w:val="21"/>
                <w:szCs w:val="21"/>
                <w:lang w:val="en-US" w:eastAsia="zh-CN"/>
              </w:rPr>
              <w:t>的</w:t>
            </w:r>
            <w:r>
              <w:rPr>
                <w:sz w:val="21"/>
                <w:szCs w:val="21"/>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23"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噪声</w:t>
            </w:r>
          </w:p>
        </w:tc>
        <w:tc>
          <w:tcPr>
            <w:tcW w:w="2209" w:type="pct"/>
            <w:gridSpan w:val="2"/>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等效连续A声级</w:t>
            </w:r>
          </w:p>
        </w:tc>
        <w:tc>
          <w:tcPr>
            <w:tcW w:w="68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每</w:t>
            </w:r>
            <w:r>
              <w:rPr>
                <w:rFonts w:hint="eastAsia"/>
                <w:sz w:val="21"/>
                <w:szCs w:val="21"/>
              </w:rPr>
              <w:t>季度1</w:t>
            </w:r>
            <w:r>
              <w:rPr>
                <w:sz w:val="21"/>
                <w:szCs w:val="21"/>
              </w:rPr>
              <w:t>次</w:t>
            </w:r>
          </w:p>
        </w:tc>
        <w:tc>
          <w:tcPr>
            <w:tcW w:w="952"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sz w:val="21"/>
                <w:szCs w:val="21"/>
              </w:rPr>
              <w:t>厂界</w:t>
            </w:r>
            <w:r>
              <w:rPr>
                <w:rFonts w:hint="eastAsia"/>
                <w:sz w:val="21"/>
                <w:szCs w:val="21"/>
              </w:rPr>
              <w:t>四周</w:t>
            </w:r>
          </w:p>
        </w:tc>
        <w:tc>
          <w:tcPr>
            <w:tcW w:w="631" w:type="pct"/>
            <w:tcBorders>
              <w:tl2br w:val="nil"/>
              <w:tr2bl w:val="nil"/>
            </w:tcBorders>
            <w:tcMar>
              <w:top w:w="0" w:type="dxa"/>
              <w:left w:w="68" w:type="dxa"/>
              <w:bottom w:w="0" w:type="dxa"/>
              <w:right w:w="68" w:type="dxa"/>
            </w:tcMar>
            <w:vAlign w:val="center"/>
          </w:tcPr>
          <w:p>
            <w:pPr>
              <w:spacing w:line="240" w:lineRule="auto"/>
              <w:ind w:firstLine="0" w:firstLineChars="0"/>
              <w:jc w:val="center"/>
              <w:rPr>
                <w:sz w:val="21"/>
                <w:szCs w:val="21"/>
              </w:rPr>
            </w:pPr>
            <w:r>
              <w:rPr>
                <w:rFonts w:hint="eastAsia"/>
                <w:sz w:val="21"/>
                <w:szCs w:val="21"/>
                <w:lang w:val="en-US" w:eastAsia="zh-CN"/>
              </w:rPr>
              <w:t>委托</w:t>
            </w:r>
            <w:r>
              <w:rPr>
                <w:sz w:val="21"/>
                <w:szCs w:val="21"/>
              </w:rPr>
              <w:t>有资质</w:t>
            </w:r>
            <w:r>
              <w:rPr>
                <w:rFonts w:hint="eastAsia"/>
                <w:sz w:val="21"/>
                <w:szCs w:val="21"/>
                <w:lang w:val="en-US" w:eastAsia="zh-CN"/>
              </w:rPr>
              <w:t>的</w:t>
            </w:r>
            <w:r>
              <w:rPr>
                <w:sz w:val="21"/>
                <w:szCs w:val="21"/>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0" w:hRule="atLeast"/>
          <w:jc w:val="center"/>
        </w:trPr>
        <w:tc>
          <w:tcPr>
            <w:tcW w:w="5000" w:type="pct"/>
            <w:gridSpan w:val="6"/>
            <w:tcBorders>
              <w:tl2br w:val="nil"/>
              <w:tr2bl w:val="nil"/>
            </w:tcBorders>
            <w:tcMar>
              <w:top w:w="0" w:type="dxa"/>
              <w:left w:w="68" w:type="dxa"/>
              <w:bottom w:w="0" w:type="dxa"/>
              <w:right w:w="68" w:type="dxa"/>
            </w:tcMar>
            <w:vAlign w:val="center"/>
          </w:tcPr>
          <w:p>
            <w:pPr>
              <w:spacing w:line="240" w:lineRule="auto"/>
              <w:ind w:firstLine="0" w:firstLineChars="0"/>
              <w:rPr>
                <w:sz w:val="21"/>
                <w:szCs w:val="21"/>
              </w:rPr>
            </w:pPr>
            <w:r>
              <w:rPr>
                <w:sz w:val="21"/>
                <w:szCs w:val="21"/>
              </w:rPr>
              <w:t>注：事故状态应跟踪监测，并适当增加监测频次。</w:t>
            </w:r>
          </w:p>
        </w:tc>
      </w:tr>
    </w:tbl>
    <w:p>
      <w:pPr>
        <w:pStyle w:val="5"/>
        <w:spacing w:before="78" w:after="78"/>
        <w:ind w:firstLine="562"/>
      </w:pPr>
      <w:bookmarkStart w:id="959" w:name="_Toc18325"/>
      <w:bookmarkStart w:id="960" w:name="_Toc31993"/>
      <w:bookmarkStart w:id="961" w:name="_Toc24346"/>
      <w:r>
        <w:rPr>
          <w:rFonts w:hint="eastAsia"/>
          <w:lang w:val="en-US" w:eastAsia="zh-CN"/>
        </w:rPr>
        <w:t>10</w:t>
      </w:r>
      <w:r>
        <w:rPr>
          <w:rFonts w:hint="eastAsia"/>
        </w:rPr>
        <w:t>.7、环保“三同时”验收</w:t>
      </w:r>
      <w:bookmarkEnd w:id="959"/>
      <w:bookmarkEnd w:id="960"/>
      <w:bookmarkEnd w:id="961"/>
    </w:p>
    <w:p>
      <w:pPr>
        <w:ind w:firstLine="480"/>
      </w:pPr>
      <w:r>
        <w:rPr>
          <w:rFonts w:hint="eastAsia"/>
        </w:rPr>
        <w:t>根据国家环境保护部关于发布《建设项目竣工环境保护验收暂行办法》（国环规环评〔2017〕4号）</w:t>
      </w:r>
      <w:r>
        <w:rPr>
          <w:rFonts w:hint="eastAsia"/>
          <w:lang w:val="en-US" w:eastAsia="zh-CN"/>
        </w:rPr>
        <w:t>中的要求</w:t>
      </w:r>
      <w:r>
        <w:rPr>
          <w:rFonts w:hint="eastAsia"/>
        </w:rPr>
        <w:t>，建设单位是建设项目竣工环境保护验收的责任主体，应当按照该办法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不得在验收过程中弄虛作假。建设单位应严格按照该暂行办法，自主开展项目竣工验收工作。</w:t>
      </w:r>
    </w:p>
    <w:p>
      <w:pPr>
        <w:ind w:firstLine="480"/>
      </w:pPr>
      <w:r>
        <w:rPr>
          <w:rFonts w:hint="eastAsia"/>
        </w:rPr>
        <w:t>另外，根据该暂行办法的规定，</w:t>
      </w:r>
      <w:r>
        <w:rPr>
          <w:rFonts w:hint="eastAsia"/>
          <w:lang w:eastAsia="zh-CN"/>
        </w:rPr>
        <w:t>“</w:t>
      </w:r>
      <w:r>
        <w:rPr>
          <w:rFonts w:hint="eastAsia"/>
        </w:rPr>
        <w:t>建设项目需要配套建设水、噪声或者固体废物污染防治设施的，新修改的《中华人民共和国水污染防治法》生效实施前或者《中华人民共和国固体废物污染环境防治法》《中华人民共和国环境噪声污染防治法》修改完成前，应依法由环境保护部门对建设项目水、噪声或者固体废物污染防治设施进行验收</w:t>
      </w:r>
      <w:r>
        <w:rPr>
          <w:rFonts w:hint="eastAsia"/>
          <w:lang w:eastAsia="zh-CN"/>
        </w:rPr>
        <w:t>”</w:t>
      </w:r>
      <w:r>
        <w:rPr>
          <w:rFonts w:hint="eastAsia"/>
        </w:rPr>
        <w:t>。</w:t>
      </w:r>
    </w:p>
    <w:p>
      <w:pPr>
        <w:ind w:firstLine="480"/>
      </w:pPr>
      <w:r>
        <w:rPr>
          <w:rFonts w:hint="eastAsia"/>
        </w:rPr>
        <w:t>根据《中华人民共和国环境保护法》规定，建设项目污染防治设施必须与主体工程同时设计、同时施工、同时投入运行，而污染防治设施建设“三同时”验收是严格控制新污染源和污染物排放总量、遏制环境恶化趋势的有力措施。本项目应在试生产阶段进行“三同时”验收，具体实施计划为：</w:t>
      </w:r>
    </w:p>
    <w:p>
      <w:pPr>
        <w:ind w:firstLine="480"/>
      </w:pPr>
      <w:r>
        <w:rPr>
          <w:rFonts w:hint="eastAsia"/>
        </w:rPr>
        <w:t>1、建设单位向当地环保主管部门申请试生产；</w:t>
      </w:r>
    </w:p>
    <w:p>
      <w:pPr>
        <w:ind w:firstLine="480"/>
      </w:pPr>
      <w:r>
        <w:rPr>
          <w:rFonts w:hint="eastAsia"/>
        </w:rPr>
        <w:t>2、建设单位委托环境监测单位对正常生产情况下各排污口排放的污染物浓度进行监测。</w:t>
      </w:r>
    </w:p>
    <w:p>
      <w:pPr>
        <w:ind w:firstLine="480"/>
      </w:pPr>
      <w:r>
        <w:rPr>
          <w:rFonts w:hint="eastAsia"/>
        </w:rPr>
        <w:t>3、建设单位进行“三同时”自主验收。</w:t>
      </w:r>
    </w:p>
    <w:p>
      <w:pPr>
        <w:ind w:firstLine="480"/>
      </w:pPr>
      <w:r>
        <w:rPr>
          <w:rFonts w:hint="eastAsia"/>
        </w:rPr>
        <w:t>结合拟建项目特点，其环保“三同时”验收清单见表9.4。</w:t>
      </w:r>
    </w:p>
    <w:p>
      <w:pPr>
        <w:spacing w:line="240" w:lineRule="auto"/>
        <w:ind w:firstLine="482"/>
        <w:jc w:val="center"/>
        <w:rPr>
          <w:b/>
          <w:bCs/>
        </w:rPr>
      </w:pPr>
      <w:r>
        <w:rPr>
          <w:rFonts w:hint="eastAsia"/>
          <w:b/>
          <w:bCs/>
        </w:rPr>
        <w:t>表</w:t>
      </w:r>
      <w:r>
        <w:rPr>
          <w:rFonts w:hint="eastAsia"/>
          <w:b/>
          <w:bCs/>
          <w:lang w:val="en-US" w:eastAsia="zh-CN"/>
        </w:rPr>
        <w:t>10</w:t>
      </w:r>
      <w:r>
        <w:rPr>
          <w:rFonts w:hint="eastAsia"/>
          <w:b/>
          <w:bCs/>
        </w:rPr>
        <w:t>.4    拟建工程建设内容竣工环保验收一览表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461"/>
        <w:gridCol w:w="1615"/>
        <w:gridCol w:w="3549"/>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tcBorders>
              <w:tl2br w:val="nil"/>
              <w:tr2bl w:val="nil"/>
            </w:tcBorders>
            <w:vAlign w:val="center"/>
          </w:tcPr>
          <w:p>
            <w:pPr>
              <w:pStyle w:val="31"/>
              <w:spacing w:line="240" w:lineRule="auto"/>
              <w:ind w:firstLine="0" w:firstLineChars="0"/>
              <w:jc w:val="center"/>
              <w:rPr>
                <w:b/>
                <w:bCs/>
                <w:sz w:val="21"/>
                <w:szCs w:val="21"/>
              </w:rPr>
            </w:pPr>
            <w:r>
              <w:rPr>
                <w:b/>
                <w:bCs/>
                <w:sz w:val="21"/>
                <w:szCs w:val="21"/>
              </w:rPr>
              <w:t>类型</w:t>
            </w:r>
          </w:p>
        </w:tc>
        <w:tc>
          <w:tcPr>
            <w:tcW w:w="1042" w:type="pct"/>
            <w:gridSpan w:val="2"/>
            <w:tcBorders>
              <w:tl2br w:val="nil"/>
              <w:tr2bl w:val="nil"/>
            </w:tcBorders>
            <w:vAlign w:val="center"/>
          </w:tcPr>
          <w:p>
            <w:pPr>
              <w:pStyle w:val="31"/>
              <w:spacing w:line="240" w:lineRule="auto"/>
              <w:ind w:firstLine="0" w:firstLineChars="0"/>
              <w:jc w:val="center"/>
              <w:rPr>
                <w:b/>
                <w:bCs/>
                <w:sz w:val="21"/>
                <w:szCs w:val="21"/>
              </w:rPr>
            </w:pPr>
            <w:r>
              <w:rPr>
                <w:b/>
                <w:bCs/>
                <w:sz w:val="21"/>
                <w:szCs w:val="21"/>
              </w:rPr>
              <w:t>污染源</w:t>
            </w:r>
          </w:p>
        </w:tc>
        <w:tc>
          <w:tcPr>
            <w:tcW w:w="1781" w:type="pct"/>
            <w:tcBorders>
              <w:tl2br w:val="nil"/>
              <w:tr2bl w:val="nil"/>
            </w:tcBorders>
            <w:vAlign w:val="center"/>
          </w:tcPr>
          <w:p>
            <w:pPr>
              <w:pStyle w:val="31"/>
              <w:spacing w:line="240" w:lineRule="auto"/>
              <w:ind w:firstLine="0" w:firstLineChars="0"/>
              <w:jc w:val="center"/>
              <w:rPr>
                <w:b/>
                <w:bCs/>
                <w:sz w:val="21"/>
                <w:szCs w:val="21"/>
              </w:rPr>
            </w:pPr>
            <w:r>
              <w:rPr>
                <w:b/>
                <w:bCs/>
                <w:sz w:val="21"/>
                <w:szCs w:val="21"/>
              </w:rPr>
              <w:t>污染防治措施</w:t>
            </w:r>
          </w:p>
        </w:tc>
        <w:tc>
          <w:tcPr>
            <w:tcW w:w="1626" w:type="pct"/>
            <w:tcBorders>
              <w:tl2br w:val="nil"/>
              <w:tr2bl w:val="nil"/>
            </w:tcBorders>
            <w:vAlign w:val="center"/>
          </w:tcPr>
          <w:p>
            <w:pPr>
              <w:pStyle w:val="31"/>
              <w:spacing w:line="240" w:lineRule="auto"/>
              <w:ind w:firstLine="0" w:firstLineChars="0"/>
              <w:jc w:val="center"/>
              <w:rPr>
                <w:b/>
                <w:bCs/>
                <w:sz w:val="21"/>
                <w:szCs w:val="21"/>
              </w:rPr>
            </w:pPr>
            <w:r>
              <w:rPr>
                <w:b/>
                <w:bCs/>
                <w:sz w:val="21"/>
                <w:szCs w:val="21"/>
              </w:rPr>
              <w:t>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restart"/>
            <w:tcBorders>
              <w:tl2br w:val="nil"/>
              <w:tr2bl w:val="nil"/>
            </w:tcBorders>
            <w:vAlign w:val="center"/>
          </w:tcPr>
          <w:p>
            <w:pPr>
              <w:ind w:firstLine="0" w:firstLineChars="0"/>
            </w:pPr>
            <w:r>
              <w:rPr>
                <w:rFonts w:hint="eastAsia"/>
              </w:rPr>
              <w:t>废气</w:t>
            </w: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待宰圈</w:t>
            </w:r>
          </w:p>
          <w:p>
            <w:pPr>
              <w:pStyle w:val="31"/>
              <w:spacing w:line="240" w:lineRule="auto"/>
              <w:ind w:firstLine="0" w:firstLineChars="0"/>
              <w:jc w:val="center"/>
              <w:rPr>
                <w:sz w:val="21"/>
                <w:szCs w:val="21"/>
              </w:rPr>
            </w:pPr>
            <w:r>
              <w:rPr>
                <w:rFonts w:hint="eastAsia"/>
                <w:sz w:val="21"/>
                <w:szCs w:val="21"/>
              </w:rPr>
              <w:t>恶臭气体</w:t>
            </w:r>
          </w:p>
        </w:tc>
        <w:tc>
          <w:tcPr>
            <w:tcW w:w="1781" w:type="pc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kern w:val="0"/>
                <w:sz w:val="21"/>
                <w:szCs w:val="21"/>
              </w:rPr>
              <w:t>干清粪工艺</w:t>
            </w:r>
            <w:r>
              <w:rPr>
                <w:rFonts w:hint="eastAsia"/>
                <w:kern w:val="0"/>
                <w:sz w:val="21"/>
                <w:szCs w:val="21"/>
              </w:rPr>
              <w:t>（日产日清）</w:t>
            </w:r>
            <w:r>
              <w:rPr>
                <w:kern w:val="0"/>
                <w:sz w:val="21"/>
                <w:szCs w:val="21"/>
              </w:rPr>
              <w:t>+定期喷洒生物除臭剂，NH</w:t>
            </w:r>
            <w:r>
              <w:rPr>
                <w:kern w:val="0"/>
                <w:sz w:val="21"/>
                <w:szCs w:val="21"/>
                <w:vertAlign w:val="subscript"/>
              </w:rPr>
              <w:t>3</w:t>
            </w:r>
            <w:r>
              <w:rPr>
                <w:kern w:val="0"/>
                <w:sz w:val="21"/>
                <w:szCs w:val="21"/>
              </w:rPr>
              <w:t>和H</w:t>
            </w:r>
            <w:r>
              <w:rPr>
                <w:kern w:val="0"/>
                <w:sz w:val="21"/>
                <w:szCs w:val="21"/>
                <w:vertAlign w:val="subscript"/>
              </w:rPr>
              <w:t>2</w:t>
            </w:r>
            <w:r>
              <w:rPr>
                <w:kern w:val="0"/>
                <w:sz w:val="21"/>
                <w:szCs w:val="21"/>
              </w:rPr>
              <w:t>S去除效率</w:t>
            </w:r>
            <w:r>
              <w:rPr>
                <w:rFonts w:hint="eastAsia"/>
                <w:kern w:val="0"/>
                <w:sz w:val="21"/>
                <w:szCs w:val="21"/>
              </w:rPr>
              <w:t>不低于80%</w:t>
            </w:r>
          </w:p>
        </w:tc>
        <w:tc>
          <w:tcPr>
            <w:tcW w:w="1626" w:type="pct"/>
            <w:tcBorders>
              <w:tl2br w:val="nil"/>
              <w:tr2bl w:val="nil"/>
            </w:tcBorders>
            <w:vAlign w:val="center"/>
          </w:tcPr>
          <w:p>
            <w:pPr>
              <w:pStyle w:val="31"/>
              <w:spacing w:line="240" w:lineRule="auto"/>
              <w:ind w:firstLine="0" w:firstLineChars="0"/>
              <w:jc w:val="center"/>
              <w:rPr>
                <w:sz w:val="21"/>
                <w:szCs w:val="21"/>
              </w:rPr>
            </w:pPr>
            <w:r>
              <w:rPr>
                <w:sz w:val="21"/>
                <w:szCs w:val="21"/>
              </w:rPr>
              <w:t>《恶臭污染物排放标准》（GB14554-93）表1中的无组织标准</w:t>
            </w:r>
            <w:r>
              <w:rPr>
                <w:rFonts w:hint="eastAsia"/>
                <w:kern w:val="0"/>
                <w:sz w:val="21"/>
                <w:szCs w:val="21"/>
              </w:rPr>
              <w:t>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continue"/>
            <w:tcBorders>
              <w:tl2br w:val="nil"/>
              <w:tr2bl w:val="nil"/>
            </w:tcBorders>
            <w:vAlign w:val="center"/>
          </w:tcPr>
          <w:p>
            <w:pPr>
              <w:ind w:firstLine="0" w:firstLineChars="0"/>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屠宰车间</w:t>
            </w:r>
          </w:p>
          <w:p>
            <w:pPr>
              <w:pStyle w:val="31"/>
              <w:spacing w:line="240" w:lineRule="auto"/>
              <w:ind w:firstLine="0" w:firstLineChars="0"/>
              <w:jc w:val="center"/>
              <w:rPr>
                <w:sz w:val="21"/>
                <w:szCs w:val="21"/>
              </w:rPr>
            </w:pPr>
            <w:r>
              <w:rPr>
                <w:rFonts w:hint="eastAsia"/>
                <w:sz w:val="21"/>
                <w:szCs w:val="21"/>
              </w:rPr>
              <w:t>恶臭气体</w:t>
            </w:r>
          </w:p>
        </w:tc>
        <w:tc>
          <w:tcPr>
            <w:tcW w:w="1781" w:type="pc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kern w:val="0"/>
                <w:sz w:val="21"/>
                <w:szCs w:val="21"/>
              </w:rPr>
              <w:t>集气系统+活性炭吸附</w:t>
            </w:r>
            <w:r>
              <w:rPr>
                <w:rFonts w:hint="eastAsia"/>
                <w:kern w:val="0"/>
                <w:sz w:val="21"/>
                <w:szCs w:val="21"/>
              </w:rPr>
              <w:t>（1套）</w:t>
            </w:r>
            <w:r>
              <w:rPr>
                <w:kern w:val="0"/>
                <w:sz w:val="21"/>
                <w:szCs w:val="21"/>
              </w:rPr>
              <w:t>+15m高排气筒</w:t>
            </w:r>
            <w:r>
              <w:rPr>
                <w:rFonts w:hint="eastAsia"/>
                <w:kern w:val="0"/>
                <w:sz w:val="21"/>
                <w:szCs w:val="21"/>
              </w:rPr>
              <w:t>（1根）</w:t>
            </w:r>
            <w:r>
              <w:rPr>
                <w:kern w:val="0"/>
                <w:sz w:val="21"/>
                <w:szCs w:val="21"/>
              </w:rPr>
              <w:t>，处理效率不低于70%，集气效率不低于90%</w:t>
            </w:r>
          </w:p>
        </w:tc>
        <w:tc>
          <w:tcPr>
            <w:tcW w:w="1626" w:type="pc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kern w:val="0"/>
                <w:sz w:val="21"/>
                <w:szCs w:val="21"/>
              </w:rPr>
              <w:t>《恶臭污染物排放标准》（GB</w:t>
            </w:r>
            <w:r>
              <w:rPr>
                <w:rFonts w:hint="eastAsia"/>
                <w:kern w:val="0"/>
                <w:sz w:val="21"/>
                <w:szCs w:val="21"/>
              </w:rPr>
              <w:t>14554</w:t>
            </w:r>
            <w:r>
              <w:rPr>
                <w:kern w:val="0"/>
                <w:sz w:val="21"/>
                <w:szCs w:val="21"/>
              </w:rPr>
              <w:t>-9</w:t>
            </w:r>
            <w:r>
              <w:rPr>
                <w:rFonts w:hint="eastAsia"/>
                <w:kern w:val="0"/>
                <w:sz w:val="21"/>
                <w:szCs w:val="21"/>
              </w:rPr>
              <w:t>3</w:t>
            </w:r>
            <w:r>
              <w:rPr>
                <w:kern w:val="0"/>
                <w:sz w:val="21"/>
                <w:szCs w:val="21"/>
              </w:rPr>
              <w:t>）表</w:t>
            </w:r>
            <w:r>
              <w:rPr>
                <w:rFonts w:hint="eastAsia"/>
                <w:kern w:val="0"/>
                <w:sz w:val="21"/>
                <w:szCs w:val="21"/>
              </w:rPr>
              <w:t>2</w:t>
            </w:r>
            <w:r>
              <w:rPr>
                <w:kern w:val="0"/>
                <w:sz w:val="21"/>
                <w:szCs w:val="21"/>
              </w:rPr>
              <w:t>中的</w:t>
            </w:r>
            <w:r>
              <w:rPr>
                <w:rFonts w:hint="eastAsia"/>
                <w:kern w:val="0"/>
                <w:sz w:val="21"/>
                <w:szCs w:val="21"/>
              </w:rPr>
              <w:t>有组织标准限值要求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continue"/>
            <w:tcBorders>
              <w:tl2br w:val="nil"/>
              <w:tr2bl w:val="nil"/>
            </w:tcBorders>
            <w:vAlign w:val="center"/>
          </w:tcPr>
          <w:p>
            <w:pPr>
              <w:ind w:firstLine="0" w:firstLineChars="0"/>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牛羊预制品生产线烹饪油烟</w:t>
            </w:r>
          </w:p>
        </w:tc>
        <w:tc>
          <w:tcPr>
            <w:tcW w:w="1781" w:type="pc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静电油烟处理装置（4套）</w:t>
            </w:r>
            <w:r>
              <w:rPr>
                <w:kern w:val="0"/>
                <w:sz w:val="21"/>
                <w:szCs w:val="21"/>
              </w:rPr>
              <w:t>，净化效率不低于90%</w:t>
            </w:r>
          </w:p>
        </w:tc>
        <w:tc>
          <w:tcPr>
            <w:tcW w:w="1626" w:type="pc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kern w:val="0"/>
                <w:sz w:val="21"/>
                <w:szCs w:val="21"/>
              </w:rPr>
              <w:t>《</w:t>
            </w:r>
            <w:r>
              <w:rPr>
                <w:rFonts w:hint="eastAsia"/>
                <w:kern w:val="0"/>
                <w:sz w:val="21"/>
                <w:szCs w:val="21"/>
              </w:rPr>
              <w:t>饮食业油烟排放标准</w:t>
            </w:r>
            <w:r>
              <w:rPr>
                <w:kern w:val="0"/>
                <w:sz w:val="21"/>
                <w:szCs w:val="21"/>
              </w:rPr>
              <w:t>》（GB</w:t>
            </w:r>
            <w:r>
              <w:rPr>
                <w:rFonts w:hint="eastAsia"/>
                <w:kern w:val="0"/>
                <w:sz w:val="21"/>
                <w:szCs w:val="21"/>
              </w:rPr>
              <w:t>18483</w:t>
            </w:r>
            <w:r>
              <w:rPr>
                <w:kern w:val="0"/>
                <w:sz w:val="21"/>
                <w:szCs w:val="21"/>
              </w:rPr>
              <w:t>-</w:t>
            </w:r>
            <w:r>
              <w:rPr>
                <w:rFonts w:hint="eastAsia"/>
                <w:kern w:val="0"/>
                <w:sz w:val="21"/>
                <w:szCs w:val="21"/>
              </w:rPr>
              <w:t>2001</w:t>
            </w:r>
            <w:r>
              <w:rPr>
                <w:kern w:val="0"/>
                <w:sz w:val="21"/>
                <w:szCs w:val="21"/>
              </w:rPr>
              <w:t>）中</w:t>
            </w:r>
            <w:r>
              <w:rPr>
                <w:rFonts w:hint="eastAsia"/>
                <w:kern w:val="0"/>
                <w:sz w:val="21"/>
                <w:szCs w:val="21"/>
              </w:rPr>
              <w:t>大型标准限值要求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0" w:hRule="atLeast"/>
          <w:jc w:val="center"/>
        </w:trPr>
        <w:tc>
          <w:tcPr>
            <w:tcW w:w="549" w:type="pct"/>
            <w:vMerge w:val="restart"/>
            <w:tcBorders>
              <w:tl2br w:val="nil"/>
              <w:tr2bl w:val="nil"/>
            </w:tcBorders>
            <w:vAlign w:val="center"/>
          </w:tcPr>
          <w:p>
            <w:pPr>
              <w:ind w:firstLine="0" w:firstLineChars="0"/>
            </w:pPr>
            <w:r>
              <w:rPr>
                <w:rFonts w:hint="eastAsia"/>
              </w:rPr>
              <w:t>废水</w:t>
            </w: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生活污水</w:t>
            </w:r>
          </w:p>
        </w:tc>
        <w:tc>
          <w:tcPr>
            <w:tcW w:w="1781" w:type="pct"/>
            <w:vMerge w:val="restar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rPr>
              <w:t>依托厂区扩容后的污水处理站，处理规模为1500m</w:t>
            </w:r>
            <w:r>
              <w:rPr>
                <w:rFonts w:hint="eastAsia"/>
                <w:kern w:val="0"/>
                <w:sz w:val="21"/>
                <w:szCs w:val="21"/>
                <w:vertAlign w:val="superscript"/>
              </w:rPr>
              <w:t>3</w:t>
            </w:r>
            <w:r>
              <w:rPr>
                <w:rFonts w:hint="eastAsia"/>
                <w:kern w:val="0"/>
                <w:sz w:val="21"/>
                <w:szCs w:val="21"/>
              </w:rPr>
              <w:t>/d，非灌溉期达标废水依托现有的1座2万m</w:t>
            </w:r>
            <w:r>
              <w:rPr>
                <w:rFonts w:hint="eastAsia"/>
                <w:kern w:val="0"/>
                <w:sz w:val="21"/>
                <w:szCs w:val="21"/>
                <w:vertAlign w:val="superscript"/>
              </w:rPr>
              <w:t>3</w:t>
            </w:r>
            <w:r>
              <w:rPr>
                <w:rFonts w:hint="eastAsia"/>
                <w:kern w:val="0"/>
                <w:sz w:val="21"/>
                <w:szCs w:val="21"/>
              </w:rPr>
              <w:t>的达标废水暂存池和新建1座</w:t>
            </w:r>
            <w:r>
              <w:rPr>
                <w:rFonts w:hint="eastAsia"/>
                <w:kern w:val="0"/>
                <w:sz w:val="21"/>
                <w:szCs w:val="21"/>
                <w:lang w:val="en-US" w:eastAsia="zh-CN"/>
              </w:rPr>
              <w:t>8</w:t>
            </w:r>
            <w:r>
              <w:rPr>
                <w:rFonts w:hint="eastAsia"/>
                <w:kern w:val="0"/>
                <w:sz w:val="21"/>
                <w:szCs w:val="21"/>
              </w:rPr>
              <w:t>万m</w:t>
            </w:r>
            <w:r>
              <w:rPr>
                <w:rFonts w:hint="eastAsia"/>
                <w:kern w:val="0"/>
                <w:sz w:val="21"/>
                <w:szCs w:val="21"/>
                <w:vertAlign w:val="superscript"/>
              </w:rPr>
              <w:t>3</w:t>
            </w:r>
            <w:r>
              <w:rPr>
                <w:rFonts w:hint="eastAsia"/>
                <w:kern w:val="0"/>
                <w:sz w:val="21"/>
                <w:szCs w:val="21"/>
              </w:rPr>
              <w:t>的达标废水暂存池暂存后用于灌溉期灌溉</w:t>
            </w:r>
          </w:p>
        </w:tc>
        <w:tc>
          <w:tcPr>
            <w:tcW w:w="1626" w:type="pct"/>
            <w:vMerge w:val="restart"/>
            <w:tcBorders>
              <w:tl2br w:val="nil"/>
              <w:tr2bl w:val="nil"/>
            </w:tcBorders>
            <w:vAlign w:val="center"/>
          </w:tcPr>
          <w:p>
            <w:pPr>
              <w:widowControl/>
              <w:adjustRightInd w:val="0"/>
              <w:snapToGrid w:val="0"/>
              <w:spacing w:line="240" w:lineRule="auto"/>
              <w:ind w:firstLine="0" w:firstLineChars="0"/>
              <w:jc w:val="center"/>
              <w:rPr>
                <w:kern w:val="0"/>
                <w:sz w:val="21"/>
                <w:szCs w:val="21"/>
              </w:rPr>
            </w:pPr>
            <w:r>
              <w:rPr>
                <w:rFonts w:hint="eastAsia"/>
                <w:kern w:val="0"/>
                <w:sz w:val="21"/>
                <w:szCs w:val="21"/>
                <w:lang w:val="en-US" w:eastAsia="zh-CN"/>
              </w:rPr>
              <w:t>《肉类加工工业水污染物排放标准》（GB13457-92）表3中的肉制品加工一级标准和</w:t>
            </w:r>
            <w:r>
              <w:rPr>
                <w:kern w:val="0"/>
                <w:sz w:val="21"/>
                <w:szCs w:val="21"/>
              </w:rPr>
              <w:t>《农田灌溉水质标准》（GB5084-20</w:t>
            </w:r>
            <w:r>
              <w:rPr>
                <w:rFonts w:hint="eastAsia"/>
                <w:kern w:val="0"/>
                <w:sz w:val="21"/>
                <w:szCs w:val="21"/>
              </w:rPr>
              <w:t>21</w:t>
            </w:r>
            <w:r>
              <w:rPr>
                <w:kern w:val="0"/>
                <w:sz w:val="21"/>
                <w:szCs w:val="21"/>
              </w:rPr>
              <w:t>）</w:t>
            </w:r>
            <w:r>
              <w:rPr>
                <w:rFonts w:hint="eastAsia"/>
                <w:kern w:val="0"/>
                <w:sz w:val="21"/>
                <w:szCs w:val="21"/>
                <w:lang w:val="en-US" w:eastAsia="zh-CN"/>
              </w:rPr>
              <w:t>中的旱作标准</w:t>
            </w:r>
            <w:r>
              <w:rPr>
                <w:rFonts w:hint="eastAsia"/>
                <w:kern w:val="0"/>
                <w:sz w:val="21"/>
                <w:szCs w:val="21"/>
              </w:rPr>
              <w:t>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continue"/>
            <w:tcBorders>
              <w:tl2br w:val="nil"/>
              <w:tr2bl w:val="nil"/>
            </w:tcBorders>
            <w:vAlign w:val="center"/>
          </w:tcPr>
          <w:p>
            <w:pPr>
              <w:ind w:firstLine="0" w:firstLineChars="0"/>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生产废水</w:t>
            </w:r>
          </w:p>
        </w:tc>
        <w:tc>
          <w:tcPr>
            <w:tcW w:w="1781" w:type="pct"/>
            <w:vMerge w:val="continue"/>
            <w:tcBorders>
              <w:tl2br w:val="nil"/>
              <w:tr2bl w:val="nil"/>
            </w:tcBorders>
            <w:vAlign w:val="center"/>
          </w:tcPr>
          <w:p>
            <w:pPr>
              <w:widowControl/>
              <w:adjustRightInd w:val="0"/>
              <w:snapToGrid w:val="0"/>
              <w:spacing w:line="240" w:lineRule="auto"/>
              <w:ind w:firstLine="0" w:firstLineChars="0"/>
              <w:jc w:val="center"/>
              <w:rPr>
                <w:kern w:val="0"/>
                <w:sz w:val="21"/>
                <w:szCs w:val="21"/>
              </w:rPr>
            </w:pPr>
          </w:p>
        </w:tc>
        <w:tc>
          <w:tcPr>
            <w:tcW w:w="1626" w:type="pct"/>
            <w:vMerge w:val="continue"/>
            <w:tcBorders>
              <w:tl2br w:val="nil"/>
              <w:tr2bl w:val="nil"/>
            </w:tcBorders>
            <w:vAlign w:val="center"/>
          </w:tcPr>
          <w:p>
            <w:pPr>
              <w:widowControl/>
              <w:adjustRightInd w:val="0"/>
              <w:snapToGrid w:val="0"/>
              <w:spacing w:line="240" w:lineRule="auto"/>
              <w:ind w:firstLine="0" w:firstLineChars="0"/>
              <w:jc w:val="center"/>
              <w:rPr>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tcBorders>
              <w:tl2br w:val="nil"/>
              <w:tr2bl w:val="nil"/>
            </w:tcBorders>
            <w:vAlign w:val="center"/>
          </w:tcPr>
          <w:p>
            <w:pPr>
              <w:pStyle w:val="31"/>
              <w:spacing w:line="240" w:lineRule="auto"/>
              <w:ind w:firstLine="0" w:firstLineChars="0"/>
              <w:jc w:val="center"/>
              <w:rPr>
                <w:sz w:val="21"/>
                <w:szCs w:val="21"/>
              </w:rPr>
            </w:pPr>
            <w:r>
              <w:rPr>
                <w:sz w:val="21"/>
                <w:szCs w:val="21"/>
              </w:rPr>
              <w:t>噪声</w:t>
            </w: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设备噪声</w:t>
            </w:r>
          </w:p>
        </w:tc>
        <w:tc>
          <w:tcPr>
            <w:tcW w:w="1781" w:type="pct"/>
            <w:tcBorders>
              <w:tl2br w:val="nil"/>
              <w:tr2bl w:val="nil"/>
            </w:tcBorders>
            <w:vAlign w:val="center"/>
          </w:tcPr>
          <w:p>
            <w:pPr>
              <w:pStyle w:val="31"/>
              <w:spacing w:line="240" w:lineRule="auto"/>
              <w:ind w:firstLine="0" w:firstLineChars="0"/>
              <w:jc w:val="center"/>
              <w:rPr>
                <w:sz w:val="21"/>
                <w:szCs w:val="21"/>
              </w:rPr>
            </w:pPr>
            <w:r>
              <w:rPr>
                <w:sz w:val="21"/>
                <w:szCs w:val="21"/>
              </w:rPr>
              <w:t>建筑隔声、减震垫等</w:t>
            </w:r>
          </w:p>
        </w:tc>
        <w:tc>
          <w:tcPr>
            <w:tcW w:w="1626" w:type="pct"/>
            <w:tcBorders>
              <w:tl2br w:val="nil"/>
              <w:tr2bl w:val="nil"/>
            </w:tcBorders>
            <w:vAlign w:val="center"/>
          </w:tcPr>
          <w:p>
            <w:pPr>
              <w:pStyle w:val="31"/>
              <w:spacing w:line="240" w:lineRule="auto"/>
              <w:ind w:firstLine="0" w:firstLineChars="0"/>
              <w:jc w:val="center"/>
              <w:rPr>
                <w:sz w:val="21"/>
                <w:szCs w:val="21"/>
              </w:rPr>
            </w:pPr>
            <w:r>
              <w:rPr>
                <w:sz w:val="21"/>
                <w:szCs w:val="21"/>
              </w:rPr>
              <w:t>《工业企业厂界环境噪声排放标准》（GB12348-2008）中</w:t>
            </w:r>
            <w:r>
              <w:rPr>
                <w:rFonts w:hint="eastAsia"/>
                <w:sz w:val="21"/>
                <w:szCs w:val="21"/>
              </w:rPr>
              <w:t>3</w:t>
            </w:r>
            <w:r>
              <w:rPr>
                <w:sz w:val="21"/>
                <w:szCs w:val="21"/>
              </w:rPr>
              <w:t>类标准</w:t>
            </w:r>
            <w:r>
              <w:rPr>
                <w:rFonts w:hint="eastAsia"/>
                <w:kern w:val="0"/>
                <w:sz w:val="21"/>
                <w:szCs w:val="21"/>
              </w:rPr>
              <w:t>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49" w:type="pct"/>
            <w:vMerge w:val="restart"/>
            <w:tcBorders>
              <w:tl2br w:val="nil"/>
              <w:tr2bl w:val="nil"/>
            </w:tcBorders>
            <w:vAlign w:val="center"/>
          </w:tcPr>
          <w:p>
            <w:pPr>
              <w:pStyle w:val="31"/>
              <w:spacing w:line="240" w:lineRule="auto"/>
              <w:ind w:firstLine="0" w:firstLineChars="0"/>
              <w:jc w:val="center"/>
              <w:rPr>
                <w:sz w:val="21"/>
                <w:szCs w:val="21"/>
              </w:rPr>
            </w:pPr>
            <w:r>
              <w:rPr>
                <w:sz w:val="21"/>
                <w:szCs w:val="21"/>
              </w:rPr>
              <w:t>固体</w:t>
            </w:r>
          </w:p>
          <w:p>
            <w:pPr>
              <w:pStyle w:val="31"/>
              <w:spacing w:line="240" w:lineRule="auto"/>
              <w:ind w:firstLine="0" w:firstLineChars="0"/>
              <w:jc w:val="center"/>
              <w:rPr>
                <w:sz w:val="21"/>
                <w:szCs w:val="21"/>
              </w:rPr>
            </w:pPr>
            <w:r>
              <w:rPr>
                <w:sz w:val="21"/>
                <w:szCs w:val="21"/>
              </w:rPr>
              <w:t>废物</w:t>
            </w: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羊粪</w:t>
            </w:r>
          </w:p>
        </w:tc>
        <w:tc>
          <w:tcPr>
            <w:tcW w:w="1781" w:type="pct"/>
            <w:vMerge w:val="restart"/>
            <w:tcBorders>
              <w:tl2br w:val="nil"/>
              <w:tr2bl w:val="nil"/>
            </w:tcBorders>
            <w:vAlign w:val="center"/>
          </w:tcPr>
          <w:p>
            <w:pPr>
              <w:pStyle w:val="31"/>
              <w:spacing w:line="240" w:lineRule="auto"/>
              <w:ind w:firstLine="0" w:firstLineChars="0"/>
              <w:jc w:val="center"/>
              <w:rPr>
                <w:sz w:val="21"/>
                <w:szCs w:val="21"/>
              </w:rPr>
            </w:pPr>
            <w:r>
              <w:rPr>
                <w:sz w:val="21"/>
                <w:szCs w:val="21"/>
              </w:rPr>
              <w:t>全部集中收集后拉运至厂区现有的有机肥生产车间作为原料使用</w:t>
            </w:r>
            <w:r>
              <w:rPr>
                <w:rFonts w:hint="eastAsia"/>
                <w:sz w:val="21"/>
                <w:szCs w:val="21"/>
              </w:rPr>
              <w:t>，日产日清，不储存</w:t>
            </w:r>
          </w:p>
        </w:tc>
        <w:tc>
          <w:tcPr>
            <w:tcW w:w="3240" w:type="dxa"/>
            <w:vMerge w:val="restart"/>
            <w:tcBorders>
              <w:tl2br w:val="nil"/>
              <w:tr2bl w:val="nil"/>
            </w:tcBorders>
            <w:vAlign w:val="center"/>
          </w:tcPr>
          <w:p>
            <w:pPr>
              <w:spacing w:line="240" w:lineRule="auto"/>
              <w:ind w:firstLine="0" w:firstLineChars="0"/>
              <w:rPr>
                <w:sz w:val="21"/>
                <w:szCs w:val="21"/>
              </w:rPr>
            </w:pPr>
            <w:r>
              <w:rPr>
                <w:rFonts w:hint="eastAsia"/>
                <w:sz w:val="21"/>
                <w:szCs w:val="21"/>
              </w:rPr>
              <w:t>《</w:t>
            </w:r>
            <w:r>
              <w:rPr>
                <w:sz w:val="21"/>
                <w:szCs w:val="21"/>
              </w:rPr>
              <w:t>一般工业固体废物贮存和填埋污染控制标准》（GB18599-2020）中的相关要求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屠宰固废</w:t>
            </w:r>
          </w:p>
        </w:tc>
        <w:tc>
          <w:tcPr>
            <w:tcW w:w="1781" w:type="pct"/>
            <w:vMerge w:val="continue"/>
            <w:tcBorders>
              <w:tl2br w:val="nil"/>
              <w:tr2bl w:val="nil"/>
            </w:tcBorders>
            <w:vAlign w:val="center"/>
          </w:tcPr>
          <w:p>
            <w:pPr>
              <w:pStyle w:val="31"/>
              <w:spacing w:line="240" w:lineRule="auto"/>
              <w:ind w:firstLine="0" w:firstLineChars="0"/>
              <w:jc w:val="center"/>
              <w:rPr>
                <w:sz w:val="21"/>
                <w:szCs w:val="21"/>
              </w:rPr>
            </w:pPr>
          </w:p>
        </w:tc>
        <w:tc>
          <w:tcPr>
            <w:tcW w:w="1626" w:type="pct"/>
            <w:vMerge w:val="continue"/>
            <w:tcBorders>
              <w:tl2br w:val="nil"/>
              <w:tr2bl w:val="nil"/>
            </w:tcBorders>
            <w:vAlign w:val="center"/>
          </w:tcPr>
          <w:p>
            <w:pPr>
              <w:pStyle w:val="31"/>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酱卤及蒸煮固废</w:t>
            </w:r>
          </w:p>
        </w:tc>
        <w:tc>
          <w:tcPr>
            <w:tcW w:w="1781" w:type="pct"/>
            <w:vMerge w:val="continue"/>
            <w:tcBorders>
              <w:tl2br w:val="nil"/>
              <w:tr2bl w:val="nil"/>
            </w:tcBorders>
            <w:vAlign w:val="center"/>
          </w:tcPr>
          <w:p>
            <w:pPr>
              <w:pStyle w:val="31"/>
              <w:spacing w:line="240" w:lineRule="auto"/>
              <w:ind w:firstLine="0" w:firstLineChars="0"/>
              <w:jc w:val="center"/>
              <w:rPr>
                <w:sz w:val="21"/>
                <w:szCs w:val="21"/>
              </w:rPr>
            </w:pPr>
          </w:p>
        </w:tc>
        <w:tc>
          <w:tcPr>
            <w:tcW w:w="1626" w:type="pct"/>
            <w:vMerge w:val="continue"/>
            <w:tcBorders>
              <w:tl2br w:val="nil"/>
              <w:tr2bl w:val="nil"/>
            </w:tcBorders>
            <w:vAlign w:val="center"/>
          </w:tcPr>
          <w:p>
            <w:pPr>
              <w:pStyle w:val="31"/>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择菜固废</w:t>
            </w:r>
          </w:p>
        </w:tc>
        <w:tc>
          <w:tcPr>
            <w:tcW w:w="1781" w:type="pct"/>
            <w:vMerge w:val="continue"/>
            <w:tcBorders>
              <w:tl2br w:val="nil"/>
              <w:tr2bl w:val="nil"/>
            </w:tcBorders>
            <w:vAlign w:val="center"/>
          </w:tcPr>
          <w:p>
            <w:pPr>
              <w:pStyle w:val="31"/>
              <w:spacing w:line="240" w:lineRule="auto"/>
              <w:ind w:firstLine="0" w:firstLineChars="0"/>
              <w:jc w:val="center"/>
              <w:rPr>
                <w:sz w:val="21"/>
                <w:szCs w:val="21"/>
              </w:rPr>
            </w:pPr>
          </w:p>
        </w:tc>
        <w:tc>
          <w:tcPr>
            <w:tcW w:w="1626" w:type="pct"/>
            <w:vMerge w:val="continue"/>
            <w:tcBorders>
              <w:tl2br w:val="nil"/>
              <w:tr2bl w:val="nil"/>
            </w:tcBorders>
            <w:vAlign w:val="center"/>
          </w:tcPr>
          <w:p>
            <w:pPr>
              <w:pStyle w:val="31"/>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废包装</w:t>
            </w:r>
          </w:p>
        </w:tc>
        <w:tc>
          <w:tcPr>
            <w:tcW w:w="1781"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一般固废暂存间1座，占地面积</w:t>
            </w:r>
            <w:r>
              <w:rPr>
                <w:rFonts w:hint="eastAsia"/>
                <w:sz w:val="21"/>
                <w:szCs w:val="21"/>
                <w:lang w:val="en-US" w:eastAsia="zh-CN"/>
              </w:rPr>
              <w:t>5</w:t>
            </w:r>
            <w:r>
              <w:rPr>
                <w:rFonts w:hint="eastAsia"/>
                <w:sz w:val="21"/>
                <w:szCs w:val="21"/>
              </w:rPr>
              <w:t>0m</w:t>
            </w:r>
            <w:r>
              <w:rPr>
                <w:rFonts w:hint="eastAsia"/>
                <w:sz w:val="21"/>
                <w:szCs w:val="21"/>
                <w:vertAlign w:val="superscript"/>
              </w:rPr>
              <w:t>2</w:t>
            </w:r>
          </w:p>
        </w:tc>
        <w:tc>
          <w:tcPr>
            <w:tcW w:w="1626" w:type="pct"/>
            <w:vMerge w:val="continue"/>
            <w:tcBorders>
              <w:tl2br w:val="nil"/>
              <w:tr2bl w:val="nil"/>
            </w:tcBorders>
            <w:vAlign w:val="center"/>
          </w:tcPr>
          <w:p>
            <w:pPr>
              <w:pStyle w:val="31"/>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生活垃圾</w:t>
            </w:r>
          </w:p>
        </w:tc>
        <w:tc>
          <w:tcPr>
            <w:tcW w:w="1781"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生活垃圾分类收集桶若干</w:t>
            </w:r>
          </w:p>
        </w:tc>
        <w:tc>
          <w:tcPr>
            <w:tcW w:w="1626" w:type="pct"/>
            <w:vMerge w:val="continue"/>
            <w:tcBorders>
              <w:tl2br w:val="nil"/>
              <w:tr2bl w:val="nil"/>
            </w:tcBorders>
            <w:vAlign w:val="center"/>
          </w:tcPr>
          <w:p>
            <w:pPr>
              <w:pStyle w:val="31"/>
              <w:spacing w:line="240" w:lineRule="auto"/>
              <w:ind w:firstLine="0" w:firstLineChars="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病死羊</w:t>
            </w:r>
          </w:p>
        </w:tc>
        <w:tc>
          <w:tcPr>
            <w:tcW w:w="1781"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产生后</w:t>
            </w:r>
            <w:r>
              <w:rPr>
                <w:sz w:val="21"/>
                <w:szCs w:val="21"/>
              </w:rPr>
              <w:t>全部委托张掖市宏金雁再生能源科技发展有限责任公司进行无害化处理</w:t>
            </w:r>
          </w:p>
        </w:tc>
        <w:tc>
          <w:tcPr>
            <w:tcW w:w="3240" w:type="dxa"/>
            <w:tcBorders>
              <w:tl2br w:val="nil"/>
              <w:tr2bl w:val="nil"/>
            </w:tcBorders>
            <w:vAlign w:val="center"/>
          </w:tcPr>
          <w:p>
            <w:pPr>
              <w:spacing w:line="240" w:lineRule="auto"/>
              <w:ind w:firstLine="0" w:firstLineChars="0"/>
              <w:rPr>
                <w:sz w:val="21"/>
                <w:szCs w:val="21"/>
              </w:rPr>
            </w:pPr>
            <w:r>
              <w:rPr>
                <w:rFonts w:hint="eastAsia"/>
                <w:sz w:val="21"/>
                <w:szCs w:val="21"/>
              </w:rPr>
              <w:t>满足</w:t>
            </w:r>
            <w:r>
              <w:rPr>
                <w:rFonts w:hint="eastAsia"/>
                <w:sz w:val="21"/>
                <w:szCs w:val="21"/>
                <w:lang w:val="en-US" w:eastAsia="zh-CN"/>
              </w:rPr>
              <w:t>《病死畜禽和病害畜禽产品无害化处理管理办法》</w:t>
            </w:r>
            <w:r>
              <w:rPr>
                <w:rFonts w:hint="eastAsia"/>
                <w:sz w:val="21"/>
                <w:szCs w:val="21"/>
              </w:rPr>
              <w:t>中</w:t>
            </w:r>
            <w:r>
              <w:rPr>
                <w:sz w:val="21"/>
                <w:szCs w:val="21"/>
              </w:rPr>
              <w:t>的</w:t>
            </w:r>
            <w:r>
              <w:rPr>
                <w:rFonts w:hint="eastAsia"/>
                <w:sz w:val="21"/>
                <w:szCs w:val="21"/>
              </w:rPr>
              <w:t>无害化处理要求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废活性炭</w:t>
            </w:r>
          </w:p>
        </w:tc>
        <w:tc>
          <w:tcPr>
            <w:tcW w:w="1781" w:type="pct"/>
            <w:tcBorders>
              <w:tl2br w:val="nil"/>
              <w:tr2bl w:val="nil"/>
            </w:tcBorders>
            <w:vAlign w:val="center"/>
          </w:tcPr>
          <w:p>
            <w:pPr>
              <w:pStyle w:val="31"/>
              <w:spacing w:line="240" w:lineRule="auto"/>
              <w:ind w:firstLine="0" w:firstLineChars="0"/>
              <w:jc w:val="center"/>
              <w:rPr>
                <w:sz w:val="21"/>
                <w:szCs w:val="21"/>
              </w:rPr>
            </w:pPr>
            <w:r>
              <w:rPr>
                <w:sz w:val="21"/>
                <w:szCs w:val="21"/>
              </w:rPr>
              <w:t>集中收集在危废暂存间，暂存后委托有资质的单位处置</w:t>
            </w:r>
          </w:p>
        </w:tc>
        <w:tc>
          <w:tcPr>
            <w:tcW w:w="3240" w:type="dxa"/>
            <w:tcBorders>
              <w:tl2br w:val="nil"/>
              <w:tr2bl w:val="nil"/>
            </w:tcBorders>
            <w:vAlign w:val="center"/>
          </w:tcPr>
          <w:p>
            <w:pPr>
              <w:spacing w:line="240" w:lineRule="auto"/>
              <w:ind w:firstLine="0" w:firstLineChars="0"/>
              <w:rPr>
                <w:sz w:val="21"/>
                <w:szCs w:val="21"/>
              </w:rPr>
            </w:pPr>
            <w:r>
              <w:rPr>
                <w:sz w:val="21"/>
                <w:szCs w:val="21"/>
              </w:rPr>
              <w:t>《危险废物贮存污染控制标准》（</w:t>
            </w:r>
            <w:r>
              <w:rPr>
                <w:sz w:val="21"/>
                <w:szCs w:val="21"/>
                <w:lang w:val="en-US" w:eastAsia="zh-CN"/>
              </w:rPr>
              <w:t>GB18597—</w:t>
            </w:r>
            <w:r>
              <w:rPr>
                <w:rFonts w:hint="default"/>
                <w:sz w:val="21"/>
                <w:szCs w:val="21"/>
                <w:lang w:val="en-US" w:eastAsia="zh-CN"/>
              </w:rPr>
              <w:t>2023</w:t>
            </w:r>
            <w:r>
              <w:rPr>
                <w:sz w:val="21"/>
                <w:szCs w:val="21"/>
              </w:rPr>
              <w:t>）中的相关要求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restart"/>
            <w:tcBorders>
              <w:tl2br w:val="nil"/>
              <w:tr2bl w:val="nil"/>
            </w:tcBorders>
            <w:vAlign w:val="center"/>
          </w:tcPr>
          <w:p>
            <w:pPr>
              <w:pStyle w:val="31"/>
              <w:spacing w:line="240" w:lineRule="auto"/>
              <w:ind w:firstLine="0" w:firstLineChars="0"/>
              <w:jc w:val="center"/>
              <w:rPr>
                <w:sz w:val="21"/>
                <w:szCs w:val="21"/>
              </w:rPr>
            </w:pPr>
            <w:r>
              <w:rPr>
                <w:sz w:val="21"/>
                <w:szCs w:val="21"/>
              </w:rPr>
              <w:t>土壤、地下水</w:t>
            </w: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风险事故</w:t>
            </w:r>
          </w:p>
        </w:tc>
        <w:tc>
          <w:tcPr>
            <w:tcW w:w="1781"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建设</w:t>
            </w:r>
            <w:r>
              <w:rPr>
                <w:sz w:val="21"/>
                <w:szCs w:val="21"/>
              </w:rPr>
              <w:t>应急事故池</w:t>
            </w:r>
            <w:r>
              <w:rPr>
                <w:rFonts w:hint="eastAsia"/>
                <w:sz w:val="21"/>
                <w:szCs w:val="21"/>
              </w:rPr>
              <w:t>1座，容积不得低于</w:t>
            </w:r>
            <w:r>
              <w:rPr>
                <w:rFonts w:hint="eastAsia"/>
                <w:sz w:val="21"/>
                <w:szCs w:val="21"/>
                <w:lang w:val="en-US" w:eastAsia="zh-CN"/>
              </w:rPr>
              <w:t>1500</w:t>
            </w:r>
            <w:r>
              <w:rPr>
                <w:rFonts w:hint="eastAsia"/>
                <w:sz w:val="21"/>
                <w:szCs w:val="21"/>
              </w:rPr>
              <w:t>m</w:t>
            </w:r>
            <w:r>
              <w:rPr>
                <w:rFonts w:hint="eastAsia"/>
                <w:sz w:val="21"/>
                <w:szCs w:val="21"/>
                <w:vertAlign w:val="superscript"/>
              </w:rPr>
              <w:t>3</w:t>
            </w:r>
            <w:r>
              <w:rPr>
                <w:rFonts w:hint="eastAsia"/>
                <w:sz w:val="21"/>
                <w:szCs w:val="21"/>
              </w:rPr>
              <w:t>，</w:t>
            </w:r>
            <w:r>
              <w:rPr>
                <w:sz w:val="21"/>
                <w:szCs w:val="21"/>
              </w:rPr>
              <w:t>建立地下水长期监测井</w:t>
            </w:r>
          </w:p>
        </w:tc>
        <w:tc>
          <w:tcPr>
            <w:tcW w:w="1626" w:type="pct"/>
            <w:tcBorders>
              <w:tl2br w:val="nil"/>
              <w:tr2bl w:val="nil"/>
            </w:tcBorders>
            <w:vAlign w:val="center"/>
          </w:tcPr>
          <w:p>
            <w:pPr>
              <w:pStyle w:val="31"/>
              <w:spacing w:line="240" w:lineRule="auto"/>
              <w:ind w:firstLine="0" w:firstLineChars="0"/>
              <w:jc w:val="center"/>
              <w:rPr>
                <w:sz w:val="21"/>
                <w:szCs w:val="21"/>
              </w:rPr>
            </w:pPr>
            <w:r>
              <w:rPr>
                <w:sz w:val="21"/>
                <w:szCs w:val="21"/>
              </w:rPr>
              <w:t>地下水及土壤不受污染，确保风险事故状态下</w:t>
            </w:r>
            <w:r>
              <w:rPr>
                <w:rFonts w:hint="eastAsia"/>
                <w:sz w:val="21"/>
                <w:szCs w:val="21"/>
              </w:rPr>
              <w:t>厂区事故废水、消防废水</w:t>
            </w:r>
            <w:r>
              <w:rPr>
                <w:sz w:val="21"/>
                <w:szCs w:val="21"/>
              </w:rPr>
              <w:t>能有效控制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231" w:type="pct"/>
            <w:vMerge w:val="restart"/>
            <w:tcBorders>
              <w:tl2br w:val="nil"/>
              <w:tr2bl w:val="nil"/>
            </w:tcBorders>
            <w:vAlign w:val="center"/>
          </w:tcPr>
          <w:p>
            <w:pPr>
              <w:pStyle w:val="31"/>
              <w:spacing w:line="240" w:lineRule="auto"/>
              <w:ind w:firstLine="0" w:firstLineChars="0"/>
              <w:jc w:val="center"/>
              <w:rPr>
                <w:sz w:val="21"/>
                <w:szCs w:val="21"/>
              </w:rPr>
            </w:pPr>
            <w:r>
              <w:rPr>
                <w:sz w:val="21"/>
                <w:szCs w:val="21"/>
              </w:rPr>
              <w:t>分区防渗</w:t>
            </w:r>
          </w:p>
        </w:tc>
        <w:tc>
          <w:tcPr>
            <w:tcW w:w="81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重点防渗区</w:t>
            </w:r>
          </w:p>
        </w:tc>
        <w:tc>
          <w:tcPr>
            <w:tcW w:w="178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污水处理系统（包括构筑物、阀门、管道、废水收集管网等）</w:t>
            </w:r>
            <w:r>
              <w:rPr>
                <w:rFonts w:hint="eastAsia"/>
                <w:sz w:val="21"/>
                <w:szCs w:val="21"/>
              </w:rPr>
              <w:t>、达标废水暂存池、事故应急池、</w:t>
            </w:r>
            <w:r>
              <w:rPr>
                <w:sz w:val="21"/>
                <w:szCs w:val="21"/>
              </w:rPr>
              <w:t>危废暂存间</w:t>
            </w:r>
          </w:p>
        </w:tc>
        <w:tc>
          <w:tcPr>
            <w:tcW w:w="1626"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等效粘土防渗层Mb≥6.0m，K≤1×10</w:t>
            </w:r>
            <w:r>
              <w:rPr>
                <w:sz w:val="21"/>
                <w:szCs w:val="21"/>
                <w:vertAlign w:val="superscript"/>
              </w:rPr>
              <w:t>-7</w:t>
            </w:r>
            <w:r>
              <w:rPr>
                <w:sz w:val="21"/>
                <w:szCs w:val="21"/>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231" w:type="pct"/>
            <w:vMerge w:val="continue"/>
            <w:tcBorders>
              <w:tl2br w:val="nil"/>
              <w:tr2bl w:val="nil"/>
            </w:tcBorders>
            <w:vAlign w:val="center"/>
          </w:tcPr>
          <w:p>
            <w:pPr>
              <w:pStyle w:val="31"/>
              <w:spacing w:line="240" w:lineRule="auto"/>
              <w:ind w:firstLine="0" w:firstLineChars="0"/>
              <w:jc w:val="center"/>
              <w:rPr>
                <w:sz w:val="21"/>
                <w:szCs w:val="21"/>
              </w:rPr>
            </w:pPr>
          </w:p>
        </w:tc>
        <w:tc>
          <w:tcPr>
            <w:tcW w:w="81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一般防渗区</w:t>
            </w:r>
          </w:p>
        </w:tc>
        <w:tc>
          <w:tcPr>
            <w:tcW w:w="1781" w:type="pct"/>
            <w:tcBorders>
              <w:tl2br w:val="nil"/>
              <w:tr2bl w:val="nil"/>
            </w:tcBorders>
            <w:vAlign w:val="center"/>
          </w:tcPr>
          <w:p>
            <w:pPr>
              <w:adjustRightInd w:val="0"/>
              <w:snapToGrid w:val="0"/>
              <w:spacing w:line="240" w:lineRule="auto"/>
              <w:ind w:firstLine="0" w:firstLineChars="0"/>
              <w:jc w:val="center"/>
              <w:rPr>
                <w:sz w:val="21"/>
                <w:szCs w:val="21"/>
              </w:rPr>
            </w:pPr>
            <w:r>
              <w:rPr>
                <w:rFonts w:hint="eastAsia"/>
                <w:sz w:val="21"/>
                <w:szCs w:val="21"/>
              </w:rPr>
              <w:t>综合生产车间、待宰圈、冷库、一般固废暂存间</w:t>
            </w:r>
          </w:p>
        </w:tc>
        <w:tc>
          <w:tcPr>
            <w:tcW w:w="1626"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等效粘土防渗层Mb≥1.5m，K≤1×10</w:t>
            </w:r>
            <w:r>
              <w:rPr>
                <w:sz w:val="21"/>
                <w:szCs w:val="21"/>
                <w:vertAlign w:val="superscript"/>
              </w:rPr>
              <w:t>-7</w:t>
            </w:r>
            <w:r>
              <w:rPr>
                <w:sz w:val="21"/>
                <w:szCs w:val="21"/>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231" w:type="pct"/>
            <w:vMerge w:val="continue"/>
            <w:tcBorders>
              <w:tl2br w:val="nil"/>
              <w:tr2bl w:val="nil"/>
            </w:tcBorders>
            <w:vAlign w:val="center"/>
          </w:tcPr>
          <w:p>
            <w:pPr>
              <w:pStyle w:val="31"/>
              <w:spacing w:line="240" w:lineRule="auto"/>
              <w:ind w:firstLine="0" w:firstLineChars="0"/>
              <w:jc w:val="center"/>
              <w:rPr>
                <w:sz w:val="21"/>
                <w:szCs w:val="21"/>
              </w:rPr>
            </w:pPr>
          </w:p>
        </w:tc>
        <w:tc>
          <w:tcPr>
            <w:tcW w:w="81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简单防渗区</w:t>
            </w:r>
          </w:p>
        </w:tc>
        <w:tc>
          <w:tcPr>
            <w:tcW w:w="1781"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办公区域</w:t>
            </w:r>
          </w:p>
        </w:tc>
        <w:tc>
          <w:tcPr>
            <w:tcW w:w="1626" w:type="pct"/>
            <w:tcBorders>
              <w:tl2br w:val="nil"/>
              <w:tr2bl w:val="nil"/>
            </w:tcBorders>
            <w:vAlign w:val="center"/>
          </w:tcPr>
          <w:p>
            <w:pPr>
              <w:adjustRightInd w:val="0"/>
              <w:snapToGrid w:val="0"/>
              <w:spacing w:line="240" w:lineRule="auto"/>
              <w:ind w:firstLine="0" w:firstLineChars="0"/>
              <w:jc w:val="center"/>
              <w:rPr>
                <w:sz w:val="21"/>
                <w:szCs w:val="21"/>
              </w:rPr>
            </w:pPr>
            <w:r>
              <w:rPr>
                <w:sz w:val="21"/>
                <w:szCs w:val="21"/>
              </w:rPr>
              <w:t>一般地面硬化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49" w:type="pct"/>
            <w:vMerge w:val="continue"/>
            <w:tcBorders>
              <w:tl2br w:val="nil"/>
              <w:tr2bl w:val="nil"/>
            </w:tcBorders>
            <w:vAlign w:val="center"/>
          </w:tcPr>
          <w:p>
            <w:pPr>
              <w:pStyle w:val="31"/>
              <w:spacing w:line="240" w:lineRule="auto"/>
              <w:ind w:firstLine="0" w:firstLineChars="0"/>
              <w:jc w:val="center"/>
              <w:rPr>
                <w:sz w:val="21"/>
                <w:szCs w:val="21"/>
              </w:rPr>
            </w:pPr>
          </w:p>
        </w:tc>
        <w:tc>
          <w:tcPr>
            <w:tcW w:w="1042" w:type="pct"/>
            <w:gridSpan w:val="2"/>
            <w:tcBorders>
              <w:tl2br w:val="nil"/>
              <w:tr2bl w:val="nil"/>
            </w:tcBorders>
            <w:vAlign w:val="center"/>
          </w:tcPr>
          <w:p>
            <w:pPr>
              <w:pStyle w:val="31"/>
              <w:spacing w:line="240" w:lineRule="auto"/>
              <w:ind w:firstLine="0" w:firstLineChars="0"/>
              <w:jc w:val="center"/>
              <w:rPr>
                <w:sz w:val="21"/>
                <w:szCs w:val="21"/>
              </w:rPr>
            </w:pPr>
            <w:r>
              <w:rPr>
                <w:sz w:val="21"/>
                <w:szCs w:val="21"/>
              </w:rPr>
              <w:t>应急预案</w:t>
            </w:r>
          </w:p>
        </w:tc>
        <w:tc>
          <w:tcPr>
            <w:tcW w:w="1781"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重新修订突发环境事件应急预案</w:t>
            </w:r>
          </w:p>
        </w:tc>
        <w:tc>
          <w:tcPr>
            <w:tcW w:w="1626" w:type="pct"/>
            <w:tcBorders>
              <w:tl2br w:val="nil"/>
              <w:tr2bl w:val="nil"/>
            </w:tcBorders>
            <w:vAlign w:val="center"/>
          </w:tcPr>
          <w:p>
            <w:pPr>
              <w:pStyle w:val="31"/>
              <w:spacing w:line="240" w:lineRule="auto"/>
              <w:ind w:firstLine="0" w:firstLineChars="0"/>
              <w:jc w:val="center"/>
              <w:rPr>
                <w:sz w:val="21"/>
                <w:szCs w:val="21"/>
              </w:rPr>
            </w:pPr>
            <w:r>
              <w:rPr>
                <w:rFonts w:hint="eastAsia"/>
                <w:sz w:val="21"/>
                <w:szCs w:val="21"/>
              </w:rPr>
              <w:t>在张掖市经济技术开发区生态环境局完成备案</w:t>
            </w:r>
          </w:p>
        </w:tc>
      </w:tr>
    </w:tbl>
    <w:p>
      <w:pPr>
        <w:ind w:left="480" w:leftChars="200" w:firstLine="0" w:firstLineChars="0"/>
      </w:pPr>
    </w:p>
    <w:p>
      <w:pPr>
        <w:ind w:left="480" w:leftChars="200" w:firstLine="0" w:firstLineChars="0"/>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bookmarkEnd w:id="928"/>
    <w:bookmarkEnd w:id="929"/>
    <w:bookmarkEnd w:id="930"/>
    <w:bookmarkEnd w:id="931"/>
    <w:bookmarkEnd w:id="932"/>
    <w:bookmarkEnd w:id="933"/>
    <w:p>
      <w:pPr>
        <w:pStyle w:val="4"/>
      </w:pPr>
      <w:bookmarkStart w:id="962" w:name="_Toc7985_WPSOffice_Level1"/>
      <w:bookmarkStart w:id="963" w:name="_Toc31926"/>
      <w:bookmarkStart w:id="964" w:name="_Toc19782"/>
      <w:bookmarkStart w:id="965" w:name="_Toc13435"/>
      <w:bookmarkStart w:id="966" w:name="_Toc14346"/>
      <w:bookmarkStart w:id="967" w:name="_Toc4531"/>
      <w:bookmarkStart w:id="968" w:name="_Toc4046"/>
      <w:r>
        <w:rPr>
          <w:rFonts w:hint="eastAsia"/>
          <w:lang w:val="en-US" w:eastAsia="zh-CN"/>
        </w:rPr>
        <w:t>11</w:t>
      </w:r>
      <w:r>
        <w:rPr>
          <w:rFonts w:hint="eastAsia"/>
        </w:rPr>
        <w:t>、</w:t>
      </w:r>
      <w:r>
        <w:t>环境影响评价结论</w:t>
      </w:r>
      <w:bookmarkEnd w:id="962"/>
      <w:bookmarkEnd w:id="963"/>
      <w:bookmarkEnd w:id="964"/>
      <w:bookmarkEnd w:id="965"/>
      <w:bookmarkEnd w:id="966"/>
      <w:bookmarkEnd w:id="967"/>
      <w:bookmarkEnd w:id="968"/>
    </w:p>
    <w:p>
      <w:pPr>
        <w:pStyle w:val="5"/>
        <w:spacing w:before="78" w:after="78"/>
        <w:ind w:firstLine="562"/>
      </w:pPr>
      <w:bookmarkStart w:id="969" w:name="_Toc11450"/>
      <w:bookmarkStart w:id="970" w:name="_Toc10354"/>
      <w:bookmarkStart w:id="971" w:name="_Toc1367"/>
      <w:bookmarkStart w:id="972" w:name="_Toc17027"/>
      <w:bookmarkStart w:id="973" w:name="_Toc31504"/>
      <w:bookmarkStart w:id="974" w:name="_Toc8952"/>
      <w:bookmarkStart w:id="975" w:name="_Toc27511_WPSOffice_Level1"/>
      <w:r>
        <w:rPr>
          <w:rFonts w:hint="eastAsia"/>
          <w:lang w:val="en-US" w:eastAsia="zh-CN"/>
        </w:rPr>
        <w:t>11</w:t>
      </w:r>
      <w:r>
        <w:t>.1</w:t>
      </w:r>
      <w:r>
        <w:rPr>
          <w:rFonts w:hint="eastAsia"/>
        </w:rPr>
        <w:t>、</w:t>
      </w:r>
      <w:r>
        <w:t>建设项目概况</w:t>
      </w:r>
      <w:bookmarkEnd w:id="969"/>
      <w:bookmarkEnd w:id="970"/>
      <w:bookmarkEnd w:id="971"/>
      <w:bookmarkEnd w:id="972"/>
      <w:bookmarkEnd w:id="973"/>
      <w:bookmarkEnd w:id="974"/>
      <w:bookmarkEnd w:id="975"/>
    </w:p>
    <w:p>
      <w:pPr>
        <w:ind w:firstLine="480"/>
        <w:rPr>
          <w:rFonts w:hint="eastAsia" w:eastAsia="宋体"/>
          <w:lang w:eastAsia="zh-CN"/>
        </w:rPr>
      </w:pPr>
      <w:bookmarkStart w:id="976" w:name="_Toc21735"/>
      <w:bookmarkStart w:id="977" w:name="_Toc8623"/>
      <w:r>
        <w:t>本项目拟建于张掖市经济技术开发区农产品加工产业园</w:t>
      </w:r>
      <w:r>
        <w:rPr>
          <w:rFonts w:hint="eastAsia"/>
        </w:rPr>
        <w:t>（</w:t>
      </w:r>
      <w:r>
        <w:rPr>
          <w:rFonts w:hint="eastAsia"/>
          <w:lang w:eastAsia="zh-CN"/>
        </w:rPr>
        <w:t>张掖市沅博农牧产业开发有限公司</w:t>
      </w:r>
      <w:r>
        <w:rPr>
          <w:rFonts w:hint="eastAsia"/>
        </w:rPr>
        <w:t>院内）</w:t>
      </w:r>
      <w:r>
        <w:t>，项目总投资</w:t>
      </w:r>
      <w:r>
        <w:rPr>
          <w:rFonts w:hint="eastAsia"/>
          <w:lang w:val="en-US" w:eastAsia="zh-CN"/>
        </w:rPr>
        <w:t>6</w:t>
      </w:r>
      <w:r>
        <w:rPr>
          <w:rFonts w:hint="eastAsia"/>
        </w:rPr>
        <w:t>000</w:t>
      </w:r>
      <w:r>
        <w:t>万元，项目总用地面积为</w:t>
      </w:r>
      <w:r>
        <w:rPr>
          <w:rFonts w:hint="eastAsia"/>
          <w:lang w:val="en-US" w:eastAsia="zh-CN"/>
        </w:rPr>
        <w:t>19886</w:t>
      </w:r>
      <w:r>
        <w:t>m</w:t>
      </w:r>
      <w:r>
        <w:rPr>
          <w:vertAlign w:val="superscript"/>
        </w:rPr>
        <w:t>2</w:t>
      </w:r>
      <w:r>
        <w:t>，</w:t>
      </w:r>
      <w:r>
        <w:rPr>
          <w:rFonts w:hint="eastAsia"/>
          <w:lang w:val="en-US" w:eastAsia="zh-CN"/>
        </w:rPr>
        <w:t>主要新建待宰圈1座；新建</w:t>
      </w:r>
      <w:r>
        <w:rPr>
          <w:rFonts w:hint="eastAsia"/>
        </w:rPr>
        <w:t>综合车间1座</w:t>
      </w:r>
      <w:r>
        <w:rPr>
          <w:rFonts w:hint="eastAsia"/>
          <w:lang w:eastAsia="zh-CN"/>
        </w:rPr>
        <w:t>（</w:t>
      </w:r>
      <w:r>
        <w:rPr>
          <w:rFonts w:hint="eastAsia"/>
          <w:lang w:val="en-US" w:eastAsia="zh-CN"/>
        </w:rPr>
        <w:t>含肉羊屠宰间、分割间、速冻间、包装间和牛羊预制品生产间等</w:t>
      </w:r>
      <w:r>
        <w:rPr>
          <w:rFonts w:hint="eastAsia"/>
          <w:lang w:eastAsia="zh-CN"/>
        </w:rPr>
        <w:t>），</w:t>
      </w:r>
      <w:r>
        <w:rPr>
          <w:rFonts w:hint="eastAsia"/>
          <w:lang w:val="en-US" w:eastAsia="zh-CN"/>
        </w:rPr>
        <w:t>设计生产能力为年精深加工肉羊60万只、</w:t>
      </w:r>
      <w:r>
        <w:rPr>
          <w:rFonts w:hint="eastAsia"/>
        </w:rPr>
        <w:t>年产冷冻鲜羊肉11100t</w:t>
      </w:r>
      <w:r>
        <w:rPr>
          <w:rFonts w:hint="eastAsia"/>
          <w:lang w:eastAsia="zh-CN"/>
        </w:rPr>
        <w:t>、</w:t>
      </w:r>
      <w:r>
        <w:rPr>
          <w:rFonts w:hint="eastAsia"/>
        </w:rPr>
        <w:t>年生产牛羊肉预制品菜10000t（其中牛肉预制品菜7000t、羊肉预制品菜3000t）</w:t>
      </w:r>
      <w:r>
        <w:rPr>
          <w:rFonts w:hint="eastAsia"/>
          <w:lang w:eastAsia="zh-CN"/>
        </w:rPr>
        <w:t>；</w:t>
      </w:r>
      <w:r>
        <w:rPr>
          <w:rFonts w:hint="eastAsia"/>
          <w:lang w:val="en-US" w:eastAsia="zh-CN"/>
        </w:rPr>
        <w:t>建设冷库3座，冷库</w:t>
      </w:r>
      <w:r>
        <w:rPr>
          <w:rFonts w:hint="eastAsia"/>
        </w:rPr>
        <w:t>设计</w:t>
      </w:r>
      <w:r>
        <w:rPr>
          <w:rFonts w:hint="eastAsia"/>
          <w:lang w:val="en-US" w:eastAsia="zh-CN"/>
        </w:rPr>
        <w:t>总</w:t>
      </w:r>
      <w:r>
        <w:rPr>
          <w:rFonts w:hint="eastAsia"/>
        </w:rPr>
        <w:t>库容为5000t</w:t>
      </w:r>
      <w:r>
        <w:rPr>
          <w:rFonts w:hint="eastAsia"/>
          <w:lang w:eastAsia="zh-CN"/>
        </w:rPr>
        <w:t>，</w:t>
      </w:r>
      <w:r>
        <w:rPr>
          <w:rFonts w:hint="eastAsia"/>
          <w:lang w:val="en-US" w:eastAsia="zh-CN"/>
        </w:rPr>
        <w:t>其次建设单位还</w:t>
      </w:r>
      <w:r>
        <w:rPr>
          <w:rFonts w:hint="eastAsia"/>
        </w:rPr>
        <w:t>配套</w:t>
      </w:r>
      <w:r>
        <w:rPr>
          <w:rFonts w:hint="eastAsia"/>
          <w:lang w:val="en-US" w:eastAsia="zh-CN"/>
        </w:rPr>
        <w:t>建设了相应的</w:t>
      </w:r>
      <w:r>
        <w:rPr>
          <w:rFonts w:hint="eastAsia"/>
        </w:rPr>
        <w:t>环保设施、公用设施等</w:t>
      </w:r>
      <w:r>
        <w:rPr>
          <w:rFonts w:hint="eastAsia"/>
          <w:lang w:eastAsia="zh-CN"/>
        </w:rPr>
        <w:t>。</w:t>
      </w:r>
    </w:p>
    <w:p>
      <w:pPr>
        <w:bidi w:val="0"/>
        <w:rPr>
          <w:rFonts w:hint="eastAsia" w:eastAsia="宋体"/>
          <w:lang w:eastAsia="zh-CN"/>
        </w:rPr>
      </w:pPr>
      <w:bookmarkStart w:id="978" w:name="_Toc31863"/>
      <w:bookmarkStart w:id="979" w:name="_Toc13218_WPSOffice_Level1"/>
      <w:r>
        <w:rPr>
          <w:rFonts w:hint="eastAsia"/>
        </w:rPr>
        <w:t>本项目</w:t>
      </w:r>
      <w:r>
        <w:rPr>
          <w:rFonts w:hint="eastAsia"/>
          <w:lang w:val="en-US" w:eastAsia="zh-CN"/>
        </w:rPr>
        <w:t>计划</w:t>
      </w:r>
      <w:r>
        <w:rPr>
          <w:rFonts w:hint="eastAsia"/>
        </w:rPr>
        <w:t>总投资</w:t>
      </w:r>
      <w:r>
        <w:rPr>
          <w:rFonts w:hint="eastAsia"/>
          <w:lang w:val="en-US" w:eastAsia="zh-CN"/>
        </w:rPr>
        <w:t>6000</w:t>
      </w:r>
      <w:r>
        <w:rPr>
          <w:rFonts w:hint="eastAsia"/>
        </w:rPr>
        <w:t>万元，</w:t>
      </w:r>
      <w:r>
        <w:rPr>
          <w:rFonts w:hint="eastAsia"/>
          <w:lang w:val="en-US" w:eastAsia="zh-CN"/>
        </w:rPr>
        <w:t>计划</w:t>
      </w:r>
      <w:r>
        <w:rPr>
          <w:rFonts w:hint="eastAsia"/>
        </w:rPr>
        <w:t>环保投资</w:t>
      </w:r>
      <w:r>
        <w:rPr>
          <w:rFonts w:hint="eastAsia"/>
          <w:lang w:val="en-US" w:eastAsia="zh-CN"/>
        </w:rPr>
        <w:t>142.2</w:t>
      </w:r>
      <w:r>
        <w:rPr>
          <w:rFonts w:hint="eastAsia"/>
        </w:rPr>
        <w:t>万元，占总投资的</w:t>
      </w:r>
      <w:r>
        <w:rPr>
          <w:rFonts w:hint="eastAsia"/>
          <w:lang w:val="en-US" w:eastAsia="zh-CN"/>
        </w:rPr>
        <w:t>2.37</w:t>
      </w:r>
      <w:r>
        <w:rPr>
          <w:rFonts w:hint="eastAsia"/>
        </w:rPr>
        <w:t>%</w:t>
      </w:r>
      <w:r>
        <w:rPr>
          <w:rFonts w:hint="eastAsia"/>
          <w:lang w:eastAsia="zh-CN"/>
        </w:rPr>
        <w:t>。</w:t>
      </w:r>
    </w:p>
    <w:p>
      <w:pPr>
        <w:pStyle w:val="5"/>
        <w:spacing w:before="78" w:after="78"/>
        <w:ind w:firstLine="562"/>
      </w:pPr>
      <w:bookmarkStart w:id="980" w:name="_Toc19367"/>
      <w:r>
        <w:rPr>
          <w:rFonts w:hint="eastAsia"/>
        </w:rPr>
        <w:t>1</w:t>
      </w:r>
      <w:r>
        <w:rPr>
          <w:rFonts w:hint="eastAsia"/>
          <w:lang w:val="en-US" w:eastAsia="zh-CN"/>
        </w:rPr>
        <w:t>1</w:t>
      </w:r>
      <w:r>
        <w:t>.2</w:t>
      </w:r>
      <w:r>
        <w:rPr>
          <w:rFonts w:hint="eastAsia"/>
        </w:rPr>
        <w:t>、</w:t>
      </w:r>
      <w:r>
        <w:t>产业政策、规划及选址符合性</w:t>
      </w:r>
      <w:bookmarkEnd w:id="978"/>
      <w:bookmarkEnd w:id="979"/>
      <w:bookmarkEnd w:id="980"/>
    </w:p>
    <w:p>
      <w:pPr>
        <w:pStyle w:val="6"/>
        <w:ind w:firstLine="482"/>
      </w:pPr>
      <w:bookmarkStart w:id="981" w:name="_Toc25993"/>
      <w:bookmarkStart w:id="982" w:name="_Toc19368_WPSOffice_Level2"/>
      <w:bookmarkStart w:id="983" w:name="_Toc32131_WPSOffice_Level2"/>
      <w:r>
        <w:rPr>
          <w:rFonts w:hint="eastAsia"/>
        </w:rPr>
        <w:t>1</w:t>
      </w:r>
      <w:r>
        <w:rPr>
          <w:rFonts w:hint="eastAsia"/>
          <w:lang w:val="en-US" w:eastAsia="zh-CN"/>
        </w:rPr>
        <w:t>1</w:t>
      </w:r>
      <w:r>
        <w:t>.2.1</w:t>
      </w:r>
      <w:r>
        <w:rPr>
          <w:rFonts w:hint="eastAsia"/>
        </w:rPr>
        <w:t>、</w:t>
      </w:r>
      <w:r>
        <w:t>产业政策符合性</w:t>
      </w:r>
      <w:bookmarkEnd w:id="981"/>
      <w:bookmarkEnd w:id="982"/>
      <w:bookmarkEnd w:id="983"/>
    </w:p>
    <w:p>
      <w:pPr>
        <w:ind w:firstLine="480"/>
      </w:pPr>
      <w:r>
        <w:rPr>
          <w:rFonts w:hint="eastAsia"/>
        </w:rPr>
        <w:t>本项目属于屠宰及肉类加工行业，</w:t>
      </w:r>
      <w:r>
        <w:t>经检索《产业结构调整指导目录（2019年本）》</w:t>
      </w:r>
      <w:r>
        <w:rPr>
          <w:rFonts w:hint="eastAsia"/>
          <w:lang w:eastAsia="zh-CN"/>
        </w:rPr>
        <w:t>（</w:t>
      </w:r>
      <w:r>
        <w:rPr>
          <w:rFonts w:hint="eastAsia"/>
          <w:lang w:val="en-US" w:eastAsia="zh-CN"/>
        </w:rPr>
        <w:t>2021年12月27日第20次委务会议审议通过，2021年12月27日起施行</w:t>
      </w:r>
      <w:r>
        <w:rPr>
          <w:rFonts w:hint="eastAsia"/>
          <w:lang w:eastAsia="zh-CN"/>
        </w:rPr>
        <w:t>）</w:t>
      </w:r>
      <w:r>
        <w:t>，本项目属于名录中</w:t>
      </w:r>
      <w:r>
        <w:rPr>
          <w:rFonts w:hint="eastAsia"/>
        </w:rPr>
        <w:t>的</w:t>
      </w:r>
      <w:r>
        <w:t>第一条</w:t>
      </w:r>
      <w:r>
        <w:rPr>
          <w:rFonts w:hint="eastAsia"/>
        </w:rPr>
        <w:t>“</w:t>
      </w:r>
      <w:r>
        <w:t>农林业</w:t>
      </w:r>
      <w:r>
        <w:rPr>
          <w:rFonts w:hint="eastAsia"/>
        </w:rPr>
        <w:t>”中的“</w:t>
      </w:r>
      <w:r>
        <w:t>第26款</w:t>
      </w:r>
      <w:r>
        <w:rPr>
          <w:rFonts w:hint="eastAsia"/>
        </w:rPr>
        <w:t>，</w:t>
      </w:r>
      <w:r>
        <w:t>农林牧渔产品的储运、保鲜、加工及综合利用</w:t>
      </w:r>
      <w:r>
        <w:rPr>
          <w:rFonts w:hint="eastAsia"/>
        </w:rPr>
        <w:t>”</w:t>
      </w:r>
      <w:r>
        <w:t>，属鼓励类产业，项目建设符合国家产业政策。同时，</w:t>
      </w:r>
      <w:r>
        <w:rPr>
          <w:rFonts w:hint="eastAsia"/>
        </w:rPr>
        <w:t>本建设项目</w:t>
      </w:r>
      <w:r>
        <w:t>《企业投资项目核准和备案管理条例》及相关规定已完成网上备案，并获得</w:t>
      </w:r>
      <w:r>
        <w:rPr>
          <w:rFonts w:hint="eastAsia"/>
        </w:rPr>
        <w:t>张掖经济技术开发区经济发展局下发的</w:t>
      </w:r>
      <w:r>
        <w:t>《</w:t>
      </w:r>
      <w:r>
        <w:rPr>
          <w:rFonts w:hint="eastAsia"/>
        </w:rPr>
        <w:t>甘肃省</w:t>
      </w:r>
      <w:r>
        <w:t>投资项目</w:t>
      </w:r>
      <w:r>
        <w:rPr>
          <w:rFonts w:hint="eastAsia"/>
          <w:lang w:val="en-US" w:eastAsia="zh-CN"/>
        </w:rPr>
        <w:t>信用</w:t>
      </w:r>
      <w:r>
        <w:t>备案表》</w:t>
      </w:r>
      <w:r>
        <w:rPr>
          <w:rFonts w:hint="eastAsia"/>
        </w:rPr>
        <w:t>，备案号为：张经发字</w:t>
      </w:r>
      <w:r>
        <w:rPr>
          <w:rFonts w:hint="eastAsia"/>
          <w:lang w:eastAsia="zh-CN"/>
        </w:rPr>
        <w:t>（</w:t>
      </w:r>
      <w:r>
        <w:rPr>
          <w:rFonts w:hint="eastAsia"/>
        </w:rPr>
        <w:t>备</w:t>
      </w:r>
      <w:r>
        <w:rPr>
          <w:rFonts w:hint="eastAsia"/>
          <w:lang w:eastAsia="zh-CN"/>
        </w:rPr>
        <w:t>）〔</w:t>
      </w:r>
      <w:r>
        <w:rPr>
          <w:rFonts w:hint="eastAsia"/>
        </w:rPr>
        <w:t>2023</w:t>
      </w:r>
      <w:r>
        <w:rPr>
          <w:rFonts w:hint="eastAsia"/>
          <w:lang w:eastAsia="zh-CN"/>
        </w:rPr>
        <w:t>〕</w:t>
      </w:r>
      <w:r>
        <w:rPr>
          <w:rFonts w:hint="eastAsia"/>
        </w:rPr>
        <w:t>18号</w:t>
      </w:r>
      <w:r>
        <w:t>。因此，本项目建设符合国家产业政策。</w:t>
      </w:r>
    </w:p>
    <w:p>
      <w:pPr>
        <w:pStyle w:val="6"/>
        <w:ind w:firstLine="482"/>
      </w:pPr>
      <w:bookmarkStart w:id="984" w:name="_Toc15460"/>
      <w:bookmarkStart w:id="985" w:name="_Toc3910_WPSOffice_Level2"/>
      <w:bookmarkStart w:id="986" w:name="_Toc12390_WPSOffice_Level2"/>
      <w:r>
        <w:rPr>
          <w:rFonts w:hint="eastAsia"/>
        </w:rPr>
        <w:t>1</w:t>
      </w:r>
      <w:r>
        <w:rPr>
          <w:rFonts w:hint="eastAsia"/>
          <w:lang w:val="en-US" w:eastAsia="zh-CN"/>
        </w:rPr>
        <w:t>1</w:t>
      </w:r>
      <w:r>
        <w:rPr>
          <w:rFonts w:hint="eastAsia"/>
        </w:rPr>
        <w:t>.2.2、</w:t>
      </w:r>
      <w:r>
        <w:t>平面布置</w:t>
      </w:r>
      <w:r>
        <w:rPr>
          <w:rFonts w:hint="eastAsia"/>
        </w:rPr>
        <w:t>的</w:t>
      </w:r>
      <w:r>
        <w:t>合理性分析</w:t>
      </w:r>
      <w:bookmarkEnd w:id="984"/>
    </w:p>
    <w:p>
      <w:pPr>
        <w:ind w:firstLine="480"/>
      </w:pPr>
      <w:r>
        <w:t>本项目</w:t>
      </w:r>
      <w:r>
        <w:rPr>
          <w:rFonts w:hint="eastAsia"/>
        </w:rPr>
        <w:t>位于</w:t>
      </w:r>
      <w:r>
        <w:rPr>
          <w:rFonts w:hint="eastAsia"/>
          <w:lang w:val="en-US" w:eastAsia="zh-CN"/>
        </w:rPr>
        <w:t>张掖市沅博农牧产业开发有限公司院</w:t>
      </w:r>
      <w:r>
        <w:rPr>
          <w:rFonts w:hint="eastAsia"/>
        </w:rPr>
        <w:t>内，</w:t>
      </w:r>
      <w:r>
        <w:rPr>
          <w:rFonts w:hint="eastAsia"/>
          <w:lang w:val="en-US" w:eastAsia="zh-CN"/>
        </w:rPr>
        <w:t>拟建项目总体上位于公司现有厂区南侧，</w:t>
      </w:r>
      <w:r>
        <w:rPr>
          <w:rFonts w:hint="eastAsia"/>
        </w:rPr>
        <w:t>项目主要建设有</w:t>
      </w:r>
      <w:r>
        <w:rPr>
          <w:rFonts w:hint="eastAsia"/>
          <w:lang w:val="en-US" w:eastAsia="zh-CN"/>
        </w:rPr>
        <w:t>待宰圈1座、</w:t>
      </w:r>
      <w:r>
        <w:rPr>
          <w:rFonts w:hint="eastAsia"/>
        </w:rPr>
        <w:t>综合性生产车间1座和冷库</w:t>
      </w:r>
      <w:r>
        <w:rPr>
          <w:rFonts w:hint="eastAsia"/>
          <w:lang w:val="en-US" w:eastAsia="zh-CN"/>
        </w:rPr>
        <w:t>3</w:t>
      </w:r>
      <w:r>
        <w:rPr>
          <w:rFonts w:hint="eastAsia"/>
        </w:rPr>
        <w:t>座，其中</w:t>
      </w:r>
      <w:r>
        <w:rPr>
          <w:rFonts w:hint="eastAsia"/>
          <w:lang w:val="en-US" w:eastAsia="zh-CN"/>
        </w:rPr>
        <w:t>待宰圈位于拟建区域东侧，</w:t>
      </w:r>
      <w:r>
        <w:rPr>
          <w:rFonts w:hint="eastAsia"/>
        </w:rPr>
        <w:t>综合性生产车间位于</w:t>
      </w:r>
      <w:r>
        <w:rPr>
          <w:rFonts w:hint="eastAsia"/>
          <w:lang w:val="en-US" w:eastAsia="zh-CN"/>
        </w:rPr>
        <w:t>拟建区域中间位置，冷库位于拟建区域西侧，</w:t>
      </w:r>
      <w:r>
        <w:rPr>
          <w:rFonts w:hint="eastAsia"/>
        </w:rPr>
        <w:t>生活办公区依托现有</w:t>
      </w:r>
      <w:r>
        <w:t>。</w:t>
      </w:r>
      <w:r>
        <w:rPr>
          <w:rFonts w:hint="eastAsia"/>
          <w:lang w:val="en-US" w:eastAsia="zh-CN"/>
        </w:rPr>
        <w:t>新建的</w:t>
      </w:r>
      <w:r>
        <w:rPr>
          <w:rFonts w:hint="eastAsia"/>
        </w:rPr>
        <w:t>综合生产车间和</w:t>
      </w:r>
      <w:r>
        <w:rPr>
          <w:rFonts w:hint="eastAsia"/>
          <w:lang w:val="en-US" w:eastAsia="zh-CN"/>
        </w:rPr>
        <w:t>现有</w:t>
      </w:r>
      <w:r>
        <w:t>办公生活区两个</w:t>
      </w:r>
      <w:r>
        <w:rPr>
          <w:rFonts w:hint="eastAsia"/>
        </w:rPr>
        <w:t>区域之间间隔约</w:t>
      </w:r>
      <w:r>
        <w:rPr>
          <w:rFonts w:hint="eastAsia"/>
          <w:lang w:val="en-US" w:eastAsia="zh-CN"/>
        </w:rPr>
        <w:t>3</w:t>
      </w:r>
      <w:r>
        <w:rPr>
          <w:rFonts w:hint="eastAsia"/>
        </w:rPr>
        <w:t>00m</w:t>
      </w:r>
      <w:r>
        <w:t>，</w:t>
      </w:r>
      <w:r>
        <w:rPr>
          <w:rFonts w:hint="eastAsia"/>
        </w:rPr>
        <w:t>基本做到了</w:t>
      </w:r>
      <w:r>
        <w:t>生产区和办公生活等洁净区的相对分离</w:t>
      </w:r>
      <w:r>
        <w:rPr>
          <w:rFonts w:hint="eastAsia"/>
        </w:rPr>
        <w:t>，同时</w:t>
      </w:r>
      <w:r>
        <w:t>所在地</w:t>
      </w:r>
      <w:r>
        <w:rPr>
          <w:rFonts w:hint="eastAsia"/>
        </w:rPr>
        <w:t>常年</w:t>
      </w:r>
      <w:r>
        <w:t>主导风向为西北风，生活办公区处生产车间</w:t>
      </w:r>
      <w:r>
        <w:rPr>
          <w:rFonts w:hint="eastAsia"/>
          <w:lang w:val="en-US" w:eastAsia="zh-CN"/>
        </w:rPr>
        <w:t>侧风向</w:t>
      </w:r>
      <w:r>
        <w:t>，</w:t>
      </w:r>
      <w:r>
        <w:rPr>
          <w:rFonts w:hint="eastAsia"/>
        </w:rPr>
        <w:t>项目生产过程中产生的废气</w:t>
      </w:r>
      <w:r>
        <w:rPr>
          <w:rFonts w:hint="eastAsia"/>
          <w:lang w:val="en-US" w:eastAsia="zh-CN"/>
        </w:rPr>
        <w:t>早采取合理的废气处理措施后</w:t>
      </w:r>
      <w:r>
        <w:rPr>
          <w:rFonts w:hint="eastAsia"/>
        </w:rPr>
        <w:t>不会对生活办公区造成较大的影响；其次</w:t>
      </w:r>
      <w:r>
        <w:t>生活办公区与生产车间分离，</w:t>
      </w:r>
      <w:r>
        <w:rPr>
          <w:rFonts w:hint="eastAsia"/>
        </w:rPr>
        <w:t>生产过程中产生的噪声经车间隔声、距离衰减后也不会对生活办公区造成较大的影响</w:t>
      </w:r>
      <w:r>
        <w:t>。</w:t>
      </w:r>
      <w:r>
        <w:rPr>
          <w:rFonts w:hint="eastAsia"/>
        </w:rPr>
        <w:t>因此，总体上来说，本项目平面布置较为合理。</w:t>
      </w:r>
    </w:p>
    <w:p>
      <w:pPr>
        <w:pStyle w:val="6"/>
        <w:ind w:firstLine="482"/>
      </w:pPr>
      <w:bookmarkStart w:id="987" w:name="_Toc28877"/>
      <w:r>
        <w:rPr>
          <w:rFonts w:hint="eastAsia"/>
        </w:rPr>
        <w:t>1</w:t>
      </w:r>
      <w:r>
        <w:rPr>
          <w:rFonts w:hint="eastAsia"/>
          <w:lang w:val="en-US" w:eastAsia="zh-CN"/>
        </w:rPr>
        <w:t>1</w:t>
      </w:r>
      <w:r>
        <w:rPr>
          <w:rFonts w:hint="eastAsia"/>
        </w:rPr>
        <w:t>.2.3、选址合理性</w:t>
      </w:r>
      <w:r>
        <w:t>分析</w:t>
      </w:r>
      <w:bookmarkEnd w:id="987"/>
    </w:p>
    <w:p>
      <w:pPr>
        <w:ind w:firstLine="480"/>
      </w:pPr>
      <w:r>
        <w:t>本项目位于</w:t>
      </w:r>
      <w:r>
        <w:rPr>
          <w:rFonts w:hint="eastAsia"/>
          <w:lang w:eastAsia="zh-CN"/>
        </w:rPr>
        <w:t>张掖市甘州区巴吉滩农产品产业园张掖市沅博农牧产业开发有限公司</w:t>
      </w:r>
      <w:r>
        <w:rPr>
          <w:rFonts w:hint="eastAsia"/>
        </w:rPr>
        <w:t>院内</w:t>
      </w:r>
      <w:r>
        <w:t>，区域内地质稳定，无不良地质现象；项目</w:t>
      </w:r>
      <w:r>
        <w:rPr>
          <w:rFonts w:hint="eastAsia"/>
        </w:rPr>
        <w:t>使用的</w:t>
      </w:r>
      <w:r>
        <w:t>原材料</w:t>
      </w:r>
      <w:r>
        <w:rPr>
          <w:rFonts w:hint="eastAsia"/>
        </w:rPr>
        <w:t>（肉羊）全部从厂区西侧的活畜交易市场采购，</w:t>
      </w:r>
      <w:r>
        <w:t>供应有保障，能够满足项目原料的需求；项目临近</w:t>
      </w:r>
      <w:r>
        <w:rPr>
          <w:rFonts w:hint="eastAsia"/>
        </w:rPr>
        <w:t>S18</w:t>
      </w:r>
      <w:r>
        <w:t>高速，原料、产品外运交通条件较为便利；</w:t>
      </w:r>
      <w:r>
        <w:rPr>
          <w:rFonts w:hint="eastAsia"/>
        </w:rPr>
        <w:t>园区</w:t>
      </w:r>
      <w:r>
        <w:t>供水、排水、供电等基础设施完善</w:t>
      </w:r>
      <w:r>
        <w:rPr>
          <w:rFonts w:hint="eastAsia"/>
        </w:rPr>
        <w:t>；其次拟建项目区域生态环境质量良好，</w:t>
      </w:r>
      <w:r>
        <w:t>具有一定的环境容量</w:t>
      </w:r>
      <w:r>
        <w:rPr>
          <w:rFonts w:hint="eastAsia"/>
        </w:rPr>
        <w:t>；再次项目运用期产生的污染物经相应的污染治理措施治理后能够实现达标排放</w:t>
      </w:r>
      <w:r>
        <w:rPr>
          <w:rFonts w:hint="eastAsia"/>
          <w:lang w:eastAsia="zh-CN"/>
        </w:rPr>
        <w:t>；</w:t>
      </w:r>
      <w:r>
        <w:rPr>
          <w:rFonts w:hint="eastAsia"/>
          <w:lang w:val="en-US" w:eastAsia="zh-CN"/>
        </w:rPr>
        <w:t>最后本项目建设位置符合《食品生产通用卫生规范》（GB14881-2013）选址要求</w:t>
      </w:r>
      <w:r>
        <w:rPr>
          <w:rFonts w:hint="eastAsia"/>
        </w:rPr>
        <w:t>。因此，总体上来说，本项目选址基本合理。</w:t>
      </w:r>
    </w:p>
    <w:p>
      <w:pPr>
        <w:pStyle w:val="6"/>
        <w:ind w:firstLine="482"/>
      </w:pPr>
      <w:bookmarkStart w:id="988" w:name="_Toc6932"/>
      <w:r>
        <w:rPr>
          <w:rFonts w:hint="eastAsia"/>
        </w:rPr>
        <w:t>1</w:t>
      </w:r>
      <w:r>
        <w:rPr>
          <w:rFonts w:hint="eastAsia"/>
          <w:lang w:val="en-US" w:eastAsia="zh-CN"/>
        </w:rPr>
        <w:t>1</w:t>
      </w:r>
      <w:r>
        <w:t>.2.</w:t>
      </w:r>
      <w:r>
        <w:rPr>
          <w:rFonts w:hint="eastAsia"/>
        </w:rPr>
        <w:t>4、</w:t>
      </w:r>
      <w:r>
        <w:t>规划符合性</w:t>
      </w:r>
      <w:bookmarkEnd w:id="985"/>
      <w:bookmarkEnd w:id="986"/>
      <w:bookmarkEnd w:id="988"/>
      <w:r>
        <w:t>分析</w:t>
      </w:r>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highlight w:val="none"/>
        </w:rPr>
      </w:pPr>
      <w:r>
        <w:rPr>
          <w:rFonts w:hint="eastAsia"/>
          <w:b/>
          <w:bCs/>
          <w:color w:val="auto"/>
          <w:highlight w:val="none"/>
          <w:lang w:val="en-US" w:eastAsia="zh-CN"/>
        </w:rPr>
        <w:t>1、</w:t>
      </w:r>
      <w:r>
        <w:rPr>
          <w:rFonts w:hint="eastAsia"/>
          <w:b/>
          <w:bCs/>
          <w:color w:val="auto"/>
          <w:highlight w:val="none"/>
        </w:rPr>
        <w:t>与《甘肃省国民经济和社会发展第十四个五年规划和2035年远景目标纲要》符合性分析</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auto"/>
          <w:highlight w:val="none"/>
        </w:rPr>
        <w:t>《甘肃省国民经济和社会发展第十四个五年规划和2035年远景目标纲要》中提出：培育千亿产业集群。实施产业基础高级化和产业链现代化攻坚战</w:t>
      </w:r>
      <w:r>
        <w:rPr>
          <w:rFonts w:hint="eastAsia"/>
          <w:color w:val="auto"/>
          <w:highlight w:val="none"/>
          <w:lang w:eastAsia="zh-CN"/>
        </w:rPr>
        <w:t>，</w:t>
      </w:r>
      <w:r>
        <w:rPr>
          <w:rFonts w:hint="eastAsia"/>
          <w:color w:val="auto"/>
          <w:highlight w:val="none"/>
        </w:rPr>
        <w:t>开展重点和优势产业链培育攻坚行动</w:t>
      </w:r>
      <w:r>
        <w:rPr>
          <w:rFonts w:hint="eastAsia"/>
          <w:color w:val="auto"/>
          <w:highlight w:val="none"/>
          <w:lang w:eastAsia="zh-CN"/>
        </w:rPr>
        <w:t>，</w:t>
      </w:r>
      <w:r>
        <w:rPr>
          <w:rFonts w:hint="eastAsia"/>
          <w:color w:val="auto"/>
          <w:highlight w:val="none"/>
        </w:rPr>
        <w:t>促进优势产业链由低端向高端迈进、由短链向长链发展。集中土地、人才、资本等要素资源</w:t>
      </w:r>
      <w:r>
        <w:rPr>
          <w:rFonts w:hint="eastAsia"/>
          <w:color w:val="auto"/>
          <w:highlight w:val="none"/>
          <w:lang w:eastAsia="zh-CN"/>
        </w:rPr>
        <w:t>，</w:t>
      </w:r>
      <w:r>
        <w:rPr>
          <w:rFonts w:hint="eastAsia"/>
          <w:color w:val="auto"/>
          <w:highlight w:val="none"/>
        </w:rPr>
        <w:t>综合运用财政、金融、税收、产业等政策</w:t>
      </w:r>
      <w:r>
        <w:rPr>
          <w:rFonts w:hint="eastAsia"/>
          <w:color w:val="auto"/>
          <w:highlight w:val="none"/>
          <w:lang w:eastAsia="zh-CN"/>
        </w:rPr>
        <w:t>，</w:t>
      </w:r>
      <w:r>
        <w:rPr>
          <w:rFonts w:hint="eastAsia"/>
          <w:color w:val="auto"/>
          <w:highlight w:val="none"/>
        </w:rPr>
        <w:t>在巩固提升石油化工、有色冶金产业集群基础上</w:t>
      </w:r>
      <w:r>
        <w:rPr>
          <w:rFonts w:hint="eastAsia"/>
          <w:color w:val="auto"/>
          <w:highlight w:val="none"/>
          <w:lang w:eastAsia="zh-CN"/>
        </w:rPr>
        <w:t>，</w:t>
      </w:r>
      <w:r>
        <w:rPr>
          <w:rFonts w:hint="eastAsia"/>
          <w:color w:val="auto"/>
          <w:highlight w:val="none"/>
        </w:rPr>
        <w:t>着力培育特色农产品、数字智能、生物医药、新能源新材料、文旅康养、路衍经济等千亿级产业集群。</w:t>
      </w:r>
      <w:r>
        <w:rPr>
          <w:rFonts w:hint="eastAsia"/>
        </w:rPr>
        <w:t>打造百亿园区。依托各级开发区等重大平台和载体</w:t>
      </w:r>
      <w:r>
        <w:rPr>
          <w:rFonts w:hint="eastAsia"/>
          <w:lang w:eastAsia="zh-CN"/>
        </w:rPr>
        <w:t>，</w:t>
      </w:r>
      <w:r>
        <w:rPr>
          <w:rFonts w:hint="eastAsia"/>
        </w:rPr>
        <w:t>充分发挥要素成本资源和通道等优势</w:t>
      </w:r>
      <w:r>
        <w:rPr>
          <w:rFonts w:hint="eastAsia"/>
          <w:lang w:eastAsia="zh-CN"/>
        </w:rPr>
        <w:t>，</w:t>
      </w:r>
      <w:r>
        <w:rPr>
          <w:rFonts w:hint="eastAsia"/>
        </w:rPr>
        <w:t>集中优质要素向园区配置</w:t>
      </w:r>
      <w:r>
        <w:rPr>
          <w:rFonts w:hint="eastAsia"/>
          <w:lang w:eastAsia="zh-CN"/>
        </w:rPr>
        <w:t>，</w:t>
      </w:r>
      <w:r>
        <w:rPr>
          <w:rFonts w:hint="eastAsia"/>
        </w:rPr>
        <w:t>引导产业项目在园区落地。重点打造12个百亿园区。</w:t>
      </w:r>
      <w:r>
        <w:rPr>
          <w:rFonts w:hint="eastAsia"/>
          <w:lang w:val="en-US" w:eastAsia="zh-CN"/>
        </w:rPr>
        <w:t>其中对张披经济技术开发区的要求为：重点发展农副产品加工、生物医药、智能制造等，力争产值达到160亿元。</w:t>
      </w:r>
    </w:p>
    <w:p>
      <w:pPr>
        <w:keepNext w:val="0"/>
        <w:keepLines w:val="0"/>
        <w:pageBreakBefore w:val="0"/>
        <w:widowControl w:val="0"/>
        <w:kinsoku/>
        <w:wordWrap/>
        <w:overflowPunct/>
        <w:topLinePunct w:val="0"/>
        <w:autoSpaceDE/>
        <w:autoSpaceDN/>
        <w:bidi w:val="0"/>
        <w:adjustRightInd/>
        <w:snapToGrid/>
        <w:textAlignment w:val="auto"/>
        <w:rPr>
          <w:rFonts w:hint="default" w:eastAsia="宋体"/>
          <w:lang w:val="en-US" w:eastAsia="zh-CN"/>
        </w:rPr>
      </w:pPr>
      <w:r>
        <w:rPr>
          <w:rFonts w:hint="eastAsia"/>
          <w:color w:val="auto"/>
          <w:highlight w:val="none"/>
          <w:lang w:val="en-US" w:eastAsia="zh-CN"/>
        </w:rPr>
        <w:t>本项目</w:t>
      </w:r>
      <w:r>
        <w:rPr>
          <w:rFonts w:hint="eastAsia"/>
        </w:rPr>
        <w:t>属于屠宰及肉类加工行业</w:t>
      </w:r>
      <w:r>
        <w:rPr>
          <w:rFonts w:hint="eastAsia"/>
          <w:lang w:eastAsia="zh-CN"/>
        </w:rPr>
        <w:t>，</w:t>
      </w:r>
      <w:r>
        <w:rPr>
          <w:rFonts w:hint="eastAsia"/>
          <w:lang w:val="en-US" w:eastAsia="zh-CN"/>
        </w:rPr>
        <w:t>根据《国民经济行业分类》（GB/T4754—2017）可知，本项目属于“C13/农副食品加工业”中的“C135/屠宰及肉类加工”，因此，总体上来说，本项目符合</w:t>
      </w:r>
      <w:r>
        <w:rPr>
          <w:rFonts w:hint="eastAsia"/>
          <w:color w:val="auto"/>
          <w:highlight w:val="none"/>
        </w:rPr>
        <w:t>《甘肃省国民经济和社会发展第十四个五年规划和2035年远景目标纲要》</w:t>
      </w:r>
      <w:r>
        <w:rPr>
          <w:rFonts w:hint="eastAsia"/>
          <w:color w:val="auto"/>
          <w:highlight w:val="none"/>
          <w:lang w:val="en-US" w:eastAsia="zh-CN"/>
        </w:rPr>
        <w:t>中的发展规划要求。</w:t>
      </w:r>
    </w:p>
    <w:p>
      <w:pPr>
        <w:keepNext w:val="0"/>
        <w:keepLines w:val="0"/>
        <w:pageBreakBefore w:val="0"/>
        <w:widowControl w:val="0"/>
        <w:kinsoku/>
        <w:wordWrap/>
        <w:overflowPunct/>
        <w:topLinePunct w:val="0"/>
        <w:autoSpaceDE/>
        <w:autoSpaceDN/>
        <w:bidi w:val="0"/>
        <w:adjustRightInd/>
        <w:snapToGrid/>
        <w:textAlignment w:val="auto"/>
        <w:rPr>
          <w:rFonts w:hint="eastAsia"/>
          <w:b/>
          <w:bCs/>
          <w:color w:val="auto"/>
          <w:highlight w:val="none"/>
        </w:rPr>
      </w:pPr>
      <w:r>
        <w:rPr>
          <w:rFonts w:hint="eastAsia"/>
          <w:b/>
          <w:bCs/>
          <w:color w:val="auto"/>
          <w:highlight w:val="none"/>
          <w:lang w:val="en-US" w:eastAsia="zh-CN"/>
        </w:rPr>
        <w:t>2、</w:t>
      </w:r>
      <w:r>
        <w:rPr>
          <w:rFonts w:hint="eastAsia"/>
          <w:b/>
          <w:bCs/>
          <w:color w:val="auto"/>
          <w:highlight w:val="none"/>
        </w:rPr>
        <w:t>与《中共张掖市委关于制定张掖市国民经济和社会发展第十四个五年规划和二〇三五年远景目标的建议》符合性分析</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rPr>
      </w:pPr>
      <w:r>
        <w:rPr>
          <w:rFonts w:hint="eastAsia"/>
          <w:color w:val="auto"/>
          <w:highlight w:val="none"/>
        </w:rPr>
        <w:t>《中共张掖市委关于制定张掖市国民经济和社会发展第十四个五年规划和二〇三五年远景目标的建议》中提出：</w:t>
      </w:r>
      <w:r>
        <w:rPr>
          <w:rFonts w:hint="eastAsia"/>
          <w:color w:val="auto"/>
          <w:highlight w:val="none"/>
          <w:lang w:eastAsia="zh-CN"/>
        </w:rPr>
        <w:t>“加快培育特色生态产业化集群。集中力量打造绿色蔬菜、奶牛肉牛、现代种业、智能温室、</w:t>
      </w:r>
      <w:r>
        <w:rPr>
          <w:rFonts w:hint="eastAsia"/>
          <w:b w:val="0"/>
          <w:bCs w:val="0"/>
          <w:color w:val="auto"/>
          <w:highlight w:val="none"/>
          <w:lang w:eastAsia="zh-CN"/>
        </w:rPr>
        <w:t>农畜产品加工</w:t>
      </w:r>
      <w:r>
        <w:rPr>
          <w:rFonts w:hint="eastAsia"/>
          <w:color w:val="auto"/>
          <w:highlight w:val="none"/>
          <w:lang w:eastAsia="zh-CN"/>
        </w:rPr>
        <w:t>、智能制造、清洁能源、通用航空、以凹凸棒石为重点的新材料、文旅康养等百亿元产业体系，构建更具竞争力的现代化产业格局。支持农业产业化龙头企业“种养加销”全产业链发展，打造西部牛羊基地和优质乳源生产基地。”</w:t>
      </w:r>
    </w:p>
    <w:p>
      <w:pPr>
        <w:keepNext w:val="0"/>
        <w:keepLines w:val="0"/>
        <w:pageBreakBefore w:val="0"/>
        <w:widowControl w:val="0"/>
        <w:kinsoku/>
        <w:wordWrap/>
        <w:overflowPunct/>
        <w:topLinePunct w:val="0"/>
        <w:autoSpaceDE/>
        <w:autoSpaceDN/>
        <w:bidi w:val="0"/>
        <w:adjustRightInd/>
        <w:snapToGrid/>
        <w:textAlignment w:val="auto"/>
        <w:rPr>
          <w:color w:val="auto"/>
          <w:highlight w:val="none"/>
        </w:rPr>
      </w:pPr>
      <w:r>
        <w:rPr>
          <w:rFonts w:hint="eastAsia"/>
          <w:color w:val="auto"/>
          <w:highlight w:val="none"/>
          <w:lang w:val="en-US" w:eastAsia="zh-CN"/>
        </w:rPr>
        <w:t>本项目</w:t>
      </w:r>
      <w:r>
        <w:rPr>
          <w:rFonts w:hint="eastAsia"/>
        </w:rPr>
        <w:t>属于</w:t>
      </w:r>
      <w:r>
        <w:rPr>
          <w:rFonts w:hint="eastAsia"/>
          <w:lang w:val="en-US" w:eastAsia="zh-CN"/>
        </w:rPr>
        <w:t>主要是利用公司现有的活畜交易收购的肉羊为原料，然后对肉羊进行精深加工，本项目的建设有利于促进张掖肉羊产业集群化、链条化发展，因此，总体上来说，本项目符合</w:t>
      </w:r>
      <w:r>
        <w:rPr>
          <w:rFonts w:hint="eastAsia"/>
          <w:color w:val="auto"/>
          <w:highlight w:val="none"/>
        </w:rPr>
        <w:t>《甘肃省国民经济和社会发展第十四个五年规划和2035年远景目标纲要》</w:t>
      </w:r>
      <w:r>
        <w:rPr>
          <w:rFonts w:hint="eastAsia"/>
          <w:color w:val="auto"/>
          <w:highlight w:val="none"/>
          <w:lang w:val="en-US" w:eastAsia="zh-CN"/>
        </w:rPr>
        <w:t>中的发展规划要求。</w:t>
      </w:r>
    </w:p>
    <w:p>
      <w:pPr>
        <w:ind w:firstLine="482" w:firstLineChars="200"/>
        <w:jc w:val="both"/>
        <w:rPr>
          <w:b/>
        </w:rPr>
      </w:pPr>
      <w:r>
        <w:rPr>
          <w:rFonts w:hint="eastAsia"/>
          <w:b/>
          <w:lang w:val="en-US" w:eastAsia="zh-CN"/>
        </w:rPr>
        <w:t>3、</w:t>
      </w:r>
      <w:r>
        <w:rPr>
          <w:rFonts w:hint="eastAsia"/>
          <w:b/>
        </w:rPr>
        <w:t>与《张掖市人民政府办公室关于印发张掖市投资项目禁限目录（试行）的通知》（张政办发〔2022〕6号）符合性分析</w:t>
      </w:r>
    </w:p>
    <w:p>
      <w:pPr>
        <w:bidi w:val="0"/>
        <w:rPr>
          <w:rFonts w:hint="eastAsia"/>
          <w:lang w:eastAsia="zh-CN"/>
        </w:rPr>
      </w:pPr>
      <w:r>
        <w:rPr>
          <w:rFonts w:hint="eastAsia"/>
        </w:rPr>
        <w:t>根据《张掖市人民政府办公室关于印发张掖市投资项目禁限目录（试行）的通知》（张政办发〔2022〕6号）</w:t>
      </w:r>
      <w:r>
        <w:rPr>
          <w:rFonts w:hint="eastAsia"/>
          <w:lang w:val="en-US" w:eastAsia="zh-CN"/>
        </w:rPr>
        <w:t>可知</w:t>
      </w:r>
      <w:r>
        <w:rPr>
          <w:rFonts w:hint="eastAsia"/>
        </w:rPr>
        <w:t>，本项目不属于《张掖市投资项目禁限目录（试行）》中禁止类和限制类，符合张掖市</w:t>
      </w:r>
      <w:r>
        <w:t>产业政策要求</w:t>
      </w:r>
      <w:r>
        <w:rPr>
          <w:rFonts w:hint="eastAsia"/>
        </w:rPr>
        <w:t>。</w:t>
      </w:r>
    </w:p>
    <w:p>
      <w:pPr>
        <w:ind w:firstLine="480"/>
        <w:rPr>
          <w:rFonts w:hint="default" w:eastAsia="宋体"/>
          <w:b/>
          <w:bCs/>
          <w:color w:val="auto"/>
          <w:lang w:val="en-US" w:eastAsia="zh-CN"/>
        </w:rPr>
      </w:pPr>
      <w:r>
        <w:rPr>
          <w:rFonts w:hint="eastAsia"/>
          <w:b/>
          <w:bCs/>
          <w:color w:val="auto"/>
          <w:lang w:val="en-US" w:eastAsia="zh-CN"/>
        </w:rPr>
        <w:t>4、与</w:t>
      </w:r>
      <w:r>
        <w:rPr>
          <w:b/>
          <w:bCs/>
          <w:color w:val="auto"/>
        </w:rPr>
        <w:t>张掖市甘州区巴吉滩农产品产业园</w:t>
      </w:r>
      <w:r>
        <w:rPr>
          <w:rFonts w:hint="eastAsia"/>
          <w:b/>
          <w:bCs/>
          <w:color w:val="auto"/>
          <w:lang w:val="en-US" w:eastAsia="zh-CN"/>
        </w:rPr>
        <w:t>规划的符合性</w:t>
      </w:r>
      <w:r>
        <w:rPr>
          <w:rFonts w:hint="eastAsia"/>
          <w:b/>
          <w:bCs/>
          <w:color w:val="auto"/>
          <w:highlight w:val="none"/>
        </w:rPr>
        <w:t>分析</w:t>
      </w:r>
    </w:p>
    <w:p>
      <w:pPr>
        <w:ind w:firstLine="480"/>
        <w:rPr>
          <w:color w:val="auto"/>
        </w:rPr>
      </w:pPr>
      <w:r>
        <w:rPr>
          <w:color w:val="auto"/>
        </w:rPr>
        <w:t>张掖经济技术开发区是于2013年3月由国务院批准建立的国家级工业园区，园区总面积73.27km</w:t>
      </w:r>
      <w:r>
        <w:rPr>
          <w:color w:val="auto"/>
          <w:vertAlign w:val="superscript"/>
        </w:rPr>
        <w:t>2</w:t>
      </w:r>
      <w:r>
        <w:rPr>
          <w:color w:val="auto"/>
        </w:rPr>
        <w:t>，目前已形成生态科技产业园（城区东北郊）、循环经济示范园（城区以北13km）、农产品产业园（甘浚镇）和煤化工产业园（平山湖蒙古族乡）等“一区四园”的发展格局。</w:t>
      </w:r>
    </w:p>
    <w:p>
      <w:pPr>
        <w:ind w:firstLine="480"/>
        <w:rPr>
          <w:color w:val="FF0000"/>
        </w:rPr>
      </w:pPr>
      <w:r>
        <w:rPr>
          <w:color w:val="auto"/>
        </w:rPr>
        <w:t>本项目位于张掖市甘州区巴吉滩农产品产业园</w:t>
      </w:r>
      <w:r>
        <w:rPr>
          <w:rFonts w:hint="eastAsia"/>
          <w:color w:val="auto"/>
          <w:lang w:val="en-US" w:eastAsia="zh-CN"/>
        </w:rPr>
        <w:t>张掖市沅博农牧产业开发有限公司</w:t>
      </w:r>
      <w:r>
        <w:rPr>
          <w:rFonts w:hint="eastAsia"/>
          <w:color w:val="auto"/>
        </w:rPr>
        <w:t>院内</w:t>
      </w:r>
      <w:r>
        <w:rPr>
          <w:color w:val="auto"/>
        </w:rPr>
        <w:t>，目前，</w:t>
      </w:r>
      <w:r>
        <w:rPr>
          <w:rFonts w:hint="eastAsia"/>
          <w:color w:val="auto"/>
          <w:lang w:val="en-US" w:eastAsia="zh-CN"/>
        </w:rPr>
        <w:t>经与当地生态环境保护部门沟通后，</w:t>
      </w:r>
      <w:r>
        <w:rPr>
          <w:color w:val="auto"/>
        </w:rPr>
        <w:t>该园区规划正在编写当中。</w:t>
      </w:r>
      <w:r>
        <w:rPr>
          <w:color w:val="FF0000"/>
        </w:rPr>
        <w:t>根据张掖经济技术开发区规划建设局证明，</w:t>
      </w:r>
      <w:r>
        <w:rPr>
          <w:rFonts w:hint="eastAsia"/>
          <w:color w:val="FF0000"/>
          <w:lang w:eastAsia="zh-CN"/>
        </w:rPr>
        <w:t>张掖市沅博农牧产业开发有限公司</w:t>
      </w:r>
      <w:r>
        <w:rPr>
          <w:rFonts w:hint="eastAsia"/>
          <w:color w:val="FF0000"/>
        </w:rPr>
        <w:t>“</w:t>
      </w:r>
      <w:r>
        <w:rPr>
          <w:color w:val="FF0000"/>
        </w:rPr>
        <w:t>60万只肉羊精深分割及牛羊预制品加工项目</w:t>
      </w:r>
      <w:r>
        <w:rPr>
          <w:rFonts w:hint="eastAsia"/>
          <w:color w:val="FF0000"/>
        </w:rPr>
        <w:t>”</w:t>
      </w:r>
      <w:r>
        <w:rPr>
          <w:color w:val="FF0000"/>
        </w:rPr>
        <w:t>厂址位于张掖经济技术开发区巴吉滩农产品产业园张肃公路19公里处，建设用地面积</w:t>
      </w:r>
      <w:r>
        <w:rPr>
          <w:rFonts w:hint="eastAsia"/>
          <w:color w:val="FF0000"/>
        </w:rPr>
        <w:t>25000</w:t>
      </w:r>
      <w:r>
        <w:rPr>
          <w:color w:val="FF0000"/>
        </w:rPr>
        <w:t>平方米，用地性质属于二类工业用地。该项目选址符合《张掖经济技术开发区巴吉滩产业园总体规划（2014-2030）》。</w:t>
      </w:r>
    </w:p>
    <w:p>
      <w:pPr>
        <w:pStyle w:val="6"/>
        <w:ind w:firstLine="482"/>
      </w:pPr>
      <w:bookmarkStart w:id="989" w:name="_Toc11881"/>
      <w:r>
        <w:rPr>
          <w:rFonts w:hint="eastAsia"/>
        </w:rPr>
        <w:t>1</w:t>
      </w:r>
      <w:r>
        <w:rPr>
          <w:rFonts w:hint="eastAsia"/>
          <w:lang w:val="en-US" w:eastAsia="zh-CN"/>
        </w:rPr>
        <w:t>1</w:t>
      </w:r>
      <w:r>
        <w:rPr>
          <w:rFonts w:hint="eastAsia"/>
        </w:rPr>
        <w:t>.2.5、与“三线一单”的符合性分析</w:t>
      </w:r>
      <w:bookmarkEnd w:id="989"/>
    </w:p>
    <w:p>
      <w:pPr>
        <w:ind w:firstLine="482"/>
        <w:rPr>
          <w:b/>
          <w:bCs/>
        </w:rPr>
      </w:pPr>
      <w:r>
        <w:rPr>
          <w:rFonts w:hint="eastAsia"/>
          <w:b/>
          <w:bCs/>
        </w:rPr>
        <w:t>（1）生态保护红线</w:t>
      </w:r>
    </w:p>
    <w:p>
      <w:pPr>
        <w:ind w:firstLine="480"/>
      </w:pPr>
      <w:r>
        <w:rPr>
          <w:rFonts w:hint="eastAsia"/>
        </w:rPr>
        <w:t>生态保护红线是指生态空间范围内具有特殊重要生态功能必须实行强制性严格保护的区域。</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院内。根据《关于印发</w:t>
      </w:r>
      <w:r>
        <w:t>&lt;</w:t>
      </w:r>
      <w:r>
        <w:rPr>
          <w:rFonts w:hint="eastAsia"/>
        </w:rPr>
        <w:t>生态保护红线划定指南</w:t>
      </w:r>
      <w:r>
        <w:t>&gt;</w:t>
      </w:r>
      <w:r>
        <w:rPr>
          <w:rFonts w:hint="eastAsia"/>
        </w:rPr>
        <w:t>的通知》中结合自然边界、自然保护区、风景名胜区等各类保护地边界、江河、湖库以及海岸等向陆域延伸一定距离的边界、地理国情普查、全国土地调查、森林草原湿地荒漠等自然资源调查等明确的地块边界划定生态保护红线的原则，本项目所在地不涉及划定指南中相关区域，因此判定项目建设不涉及生态红线保护区域，符合生态保护红线要求。</w:t>
      </w:r>
    </w:p>
    <w:p>
      <w:pPr>
        <w:ind w:firstLine="482"/>
        <w:rPr>
          <w:b/>
          <w:bCs/>
        </w:rPr>
      </w:pPr>
      <w:r>
        <w:rPr>
          <w:rFonts w:hint="eastAsia"/>
          <w:b/>
          <w:bCs/>
        </w:rPr>
        <w:t>（2）环境质量底线</w:t>
      </w:r>
    </w:p>
    <w:p>
      <w:pPr>
        <w:ind w:firstLine="480"/>
      </w:pPr>
      <w:r>
        <w:rPr>
          <w:rFonts w:hint="eastAsia"/>
        </w:rPr>
        <w:t>环境质量底线就是只能改善周边环境质量不能恶化周边环境质量。大气环境质量底线就是在符合大气环区域功能区划和大气环境管理的基础上，确保大气污染物排放不对区域功能</w:t>
      </w:r>
      <w:r>
        <w:rPr>
          <w:rFonts w:hint="eastAsia" w:ascii="宋体" w:hAnsi="宋体" w:cs="宋体"/>
          <w:kern w:val="0"/>
          <w:lang w:bidi="ar"/>
        </w:rPr>
        <w:t>区划造成影响，污染物排放总量低于大气环境容量。</w:t>
      </w:r>
    </w:p>
    <w:p>
      <w:pPr>
        <w:ind w:firstLine="480"/>
      </w:pPr>
      <w:r>
        <w:rPr>
          <w:rFonts w:hint="eastAsia"/>
        </w:rPr>
        <w:t>①空气：项目大气执行《环境空气质量标准》（</w:t>
      </w:r>
      <w:r>
        <w:t>GB3095</w:t>
      </w:r>
      <w:r>
        <w:rPr>
          <w:rFonts w:hint="eastAsia"/>
        </w:rPr>
        <w:t>—</w:t>
      </w:r>
      <w:r>
        <w:t>2012</w:t>
      </w:r>
      <w:r>
        <w:rPr>
          <w:rFonts w:hint="eastAsia"/>
        </w:rPr>
        <w:t>）中二级标准，项目在严格执行环评中所提出的</w:t>
      </w:r>
      <w:r>
        <w:t>H</w:t>
      </w:r>
      <w:r>
        <w:rPr>
          <w:vertAlign w:val="subscript"/>
        </w:rPr>
        <w:t>2</w:t>
      </w:r>
      <w:r>
        <w:t>S</w:t>
      </w:r>
      <w:r>
        <w:rPr>
          <w:rFonts w:hint="eastAsia"/>
        </w:rPr>
        <w:t>、</w:t>
      </w:r>
      <w:r>
        <w:t>NH</w:t>
      </w:r>
      <w:r>
        <w:rPr>
          <w:vertAlign w:val="subscript"/>
        </w:rPr>
        <w:t>3</w:t>
      </w:r>
      <w:r>
        <w:rPr>
          <w:rFonts w:hint="eastAsia"/>
        </w:rPr>
        <w:t>等废气治理措施后，满足相应排放标准，排放量较少，对环境空气影响较小，不会降低区域环境空气质量。</w:t>
      </w:r>
    </w:p>
    <w:p>
      <w:pPr>
        <w:ind w:firstLine="480"/>
      </w:pPr>
      <w:r>
        <w:rPr>
          <w:rFonts w:hint="eastAsia"/>
        </w:rPr>
        <w:t>②水环境：区域环境保护以水环境保护为重点，项目区附近的地表水划分为III类功能区，执行国家《地表水环境质量标准》（</w:t>
      </w:r>
      <w:r>
        <w:t>GB3838—2002</w:t>
      </w:r>
      <w:r>
        <w:rPr>
          <w:rFonts w:hint="eastAsia"/>
        </w:rPr>
        <w:t>）III类标准。地下水环境质量执行《地下水质量标准》（</w:t>
      </w:r>
      <w:r>
        <w:t>GB/T14848—2017</w:t>
      </w:r>
      <w:r>
        <w:rPr>
          <w:rFonts w:hint="eastAsia"/>
        </w:rPr>
        <w:t>）中Ⅲ类标准。项目废水均得到有效处理，对周边水环境质量影响较小，不会降低区域水环境质量。</w:t>
      </w:r>
    </w:p>
    <w:p>
      <w:pPr>
        <w:ind w:firstLine="480"/>
      </w:pPr>
      <w:r>
        <w:rPr>
          <w:rFonts w:hint="eastAsia"/>
        </w:rPr>
        <w:t>③噪声：根据《声环境质量标准》（</w:t>
      </w:r>
      <w:r>
        <w:t>GB3096</w:t>
      </w:r>
      <w:r>
        <w:rPr>
          <w:rFonts w:hint="eastAsia"/>
        </w:rPr>
        <w:t>—</w:t>
      </w:r>
      <w:r>
        <w:t>2008</w:t>
      </w:r>
      <w:r>
        <w:rPr>
          <w:rFonts w:hint="eastAsia"/>
        </w:rPr>
        <w:t>），项目执行该标准的3类标准，项目运营期产生的噪声在采取有效的治理措施后对区域声环境质量影响较小，不会对周边声环境质量造成影响。</w:t>
      </w:r>
    </w:p>
    <w:p>
      <w:pPr>
        <w:ind w:firstLine="482"/>
        <w:rPr>
          <w:b/>
          <w:bCs/>
        </w:rPr>
      </w:pPr>
      <w:r>
        <w:rPr>
          <w:rFonts w:hint="eastAsia"/>
          <w:b/>
          <w:bCs/>
        </w:rPr>
        <w:t>（3）资源利用上线</w:t>
      </w:r>
    </w:p>
    <w:p>
      <w:pPr>
        <w:ind w:firstLine="480"/>
      </w:pPr>
      <w:r>
        <w:rPr>
          <w:rFonts w:hint="eastAsia"/>
        </w:rPr>
        <w:t>资源是环境的载体，本项目属于屠宰及肉类加工行业，主要利用当地土地资源、电、水资源，项目区占地为公司自有土地，不涉及基本农田、耕地等占地；本项目生产过程中使用的水资源能重复利用的全部重复利用，不能重复利用的全部经厂区污水处理站处理后用于公司饲草基地灌溉（采用滴灌），最大限度的提高的水资源利用效率。因此，拟建项目基本符合资源利用上线要求。</w:t>
      </w:r>
    </w:p>
    <w:p>
      <w:pPr>
        <w:ind w:firstLine="482"/>
        <w:rPr>
          <w:b/>
          <w:bCs/>
        </w:rPr>
      </w:pPr>
      <w:r>
        <w:rPr>
          <w:rFonts w:hint="eastAsia"/>
          <w:b/>
          <w:bCs/>
        </w:rPr>
        <w:t>（4）生态环境准入清单</w:t>
      </w:r>
    </w:p>
    <w:p>
      <w:pPr>
        <w:ind w:firstLine="482"/>
        <w:rPr>
          <w:b/>
          <w:bCs/>
        </w:rPr>
      </w:pPr>
      <w:r>
        <w:rPr>
          <w:b/>
          <w:bCs/>
        </w:rPr>
        <w:t>①</w:t>
      </w:r>
      <w:r>
        <w:rPr>
          <w:rFonts w:hint="eastAsia"/>
          <w:b/>
          <w:bCs/>
        </w:rPr>
        <w:t>与</w:t>
      </w:r>
      <w:r>
        <w:rPr>
          <w:b/>
          <w:bCs/>
        </w:rPr>
        <w:t>《甘肃省国家重点生态功能区产业准入负面清单（试行）》</w:t>
      </w:r>
      <w:r>
        <w:rPr>
          <w:rFonts w:hint="eastAsia"/>
          <w:b/>
          <w:bCs/>
        </w:rPr>
        <w:t>的符合性分析</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院内，隶属于张掖市甘州区管辖，</w:t>
      </w:r>
      <w:r>
        <w:t>根据《甘肃省国家重点生态功能区产业准入负面清单（试行）》</w:t>
      </w:r>
      <w:r>
        <w:rPr>
          <w:rFonts w:hint="eastAsia"/>
        </w:rPr>
        <w:t>可知</w:t>
      </w:r>
      <w:r>
        <w:t>，</w:t>
      </w:r>
      <w:r>
        <w:rPr>
          <w:rFonts w:hint="eastAsia"/>
        </w:rPr>
        <w:t>张掖市甘州区未列入</w:t>
      </w:r>
      <w:r>
        <w:t>该负面清单中。</w:t>
      </w:r>
      <w:r>
        <w:rPr>
          <w:rFonts w:hint="eastAsia"/>
        </w:rPr>
        <w:t>故本项目的建设符合</w:t>
      </w:r>
      <w:r>
        <w:t>《甘肃省国家重点生态功能区产业准入负面清单（试行）》</w:t>
      </w:r>
      <w:r>
        <w:rPr>
          <w:rFonts w:hint="eastAsia"/>
        </w:rPr>
        <w:t>的要求</w:t>
      </w:r>
    </w:p>
    <w:p>
      <w:pPr>
        <w:ind w:firstLine="482"/>
        <w:rPr>
          <w:b/>
          <w:bCs/>
        </w:rPr>
      </w:pPr>
      <w:r>
        <w:rPr>
          <w:b/>
          <w:bCs/>
        </w:rPr>
        <w:t>②</w:t>
      </w:r>
      <w:r>
        <w:rPr>
          <w:rFonts w:hint="eastAsia"/>
          <w:b/>
          <w:bCs/>
        </w:rPr>
        <w:t>与</w:t>
      </w:r>
      <w:r>
        <w:rPr>
          <w:b/>
          <w:bCs/>
        </w:rPr>
        <w:t>《张掖市生态环境准入清单（试行）》的符合性分析</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院内，隶属于张掖市甘州区管辖，根据《张掖市生态环境准入清单（试行）》可知，本项目属于该清单中的“ZH62070220002/张掖经济技术开发区/重点管控单元”，具体的管控要求详见下表。</w:t>
      </w:r>
    </w:p>
    <w:p>
      <w:pPr>
        <w:spacing w:line="240" w:lineRule="auto"/>
        <w:ind w:firstLine="482"/>
        <w:jc w:val="center"/>
        <w:rPr>
          <w:b/>
          <w:bCs/>
        </w:rPr>
      </w:pPr>
      <w:r>
        <w:rPr>
          <w:rFonts w:hint="eastAsia"/>
          <w:b/>
          <w:bCs/>
        </w:rPr>
        <w:t>表</w:t>
      </w:r>
      <w:r>
        <w:rPr>
          <w:rFonts w:hint="eastAsia"/>
          <w:b/>
          <w:bCs/>
          <w:lang w:val="en-US" w:eastAsia="zh-CN"/>
        </w:rPr>
        <w:t>11</w:t>
      </w:r>
      <w:r>
        <w:rPr>
          <w:rFonts w:hint="eastAsia"/>
          <w:b/>
          <w:bCs/>
        </w:rPr>
        <w:t>.1     ZH62070220002/张掖经济技术开发区/重点管控单元管控要求</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5657"/>
        <w:gridCol w:w="3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b/>
                <w:bCs/>
                <w:sz w:val="21"/>
                <w:szCs w:val="21"/>
              </w:rPr>
            </w:pPr>
            <w:r>
              <w:rPr>
                <w:b/>
                <w:bCs/>
                <w:sz w:val="21"/>
                <w:szCs w:val="21"/>
              </w:rPr>
              <w:t>类别</w:t>
            </w:r>
          </w:p>
        </w:tc>
        <w:tc>
          <w:tcPr>
            <w:tcW w:w="2840" w:type="pct"/>
            <w:tcBorders>
              <w:tl2br w:val="nil"/>
              <w:tr2bl w:val="nil"/>
            </w:tcBorders>
            <w:vAlign w:val="center"/>
          </w:tcPr>
          <w:p>
            <w:pPr>
              <w:spacing w:line="240" w:lineRule="auto"/>
              <w:ind w:firstLine="0" w:firstLineChars="0"/>
              <w:jc w:val="center"/>
              <w:rPr>
                <w:b/>
                <w:bCs/>
                <w:sz w:val="21"/>
                <w:szCs w:val="21"/>
              </w:rPr>
            </w:pPr>
            <w:r>
              <w:rPr>
                <w:b/>
                <w:bCs/>
                <w:sz w:val="21"/>
                <w:szCs w:val="21"/>
              </w:rPr>
              <w:t>要求</w:t>
            </w:r>
          </w:p>
        </w:tc>
        <w:tc>
          <w:tcPr>
            <w:tcW w:w="1716" w:type="pct"/>
            <w:tcBorders>
              <w:tl2br w:val="nil"/>
              <w:tr2bl w:val="nil"/>
            </w:tcBorders>
            <w:vAlign w:val="center"/>
          </w:tcPr>
          <w:p>
            <w:pPr>
              <w:spacing w:line="240" w:lineRule="auto"/>
              <w:ind w:firstLine="0" w:firstLineChars="0"/>
              <w:jc w:val="center"/>
              <w:rPr>
                <w:b/>
                <w:bCs/>
                <w:sz w:val="21"/>
                <w:szCs w:val="21"/>
              </w:rPr>
            </w:pPr>
            <w:r>
              <w:rPr>
                <w:b/>
                <w:bCs/>
                <w:sz w:val="21"/>
                <w:szCs w:val="21"/>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空间布局约束</w:t>
            </w:r>
          </w:p>
        </w:tc>
        <w:tc>
          <w:tcPr>
            <w:tcW w:w="2840" w:type="pct"/>
            <w:tcBorders>
              <w:tl2br w:val="nil"/>
              <w:tr2bl w:val="nil"/>
            </w:tcBorders>
            <w:vAlign w:val="center"/>
          </w:tcPr>
          <w:p>
            <w:pPr>
              <w:spacing w:line="240" w:lineRule="auto"/>
              <w:ind w:firstLine="0" w:firstLineChars="0"/>
              <w:rPr>
                <w:sz w:val="21"/>
                <w:szCs w:val="21"/>
              </w:rPr>
            </w:pPr>
            <w:r>
              <w:rPr>
                <w:sz w:val="21"/>
                <w:szCs w:val="21"/>
              </w:rPr>
              <w:t>1、严格执行园区规划环评及其审查意见对空间布局、选址的要求。2、不得开展违反国家法律、法规、政策要求的开发建设活动。3、执行《关于加强高耗能、高排放建设项目生态环境源头防控的指导意见》（环环评〔2021〕45号）等相关要求。4、园区内已经认定的化工产业集中区应严格执行相关行业及园区规划环评对空间布局、选址的要求。</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本项目属于屠宰及肉类加工行业，不属于“两高”行业，符合巴吉滩农副产品及种子加工产业园规划要求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污染物排放管控</w:t>
            </w:r>
          </w:p>
        </w:tc>
        <w:tc>
          <w:tcPr>
            <w:tcW w:w="2840" w:type="pct"/>
            <w:tcBorders>
              <w:tl2br w:val="nil"/>
              <w:tr2bl w:val="nil"/>
            </w:tcBorders>
            <w:vAlign w:val="center"/>
          </w:tcPr>
          <w:p>
            <w:pPr>
              <w:spacing w:line="240" w:lineRule="auto"/>
              <w:ind w:firstLine="0" w:firstLineChars="0"/>
              <w:rPr>
                <w:sz w:val="21"/>
                <w:szCs w:val="21"/>
              </w:rPr>
            </w:pPr>
            <w:r>
              <w:rPr>
                <w:sz w:val="21"/>
                <w:szCs w:val="21"/>
              </w:rPr>
              <w:t>1、按照规划环评相关要求加强污染物排放管控，执行总量控制相关要求。2、园区企业应自建污水预处理设施，生产废水和生活污水经预处理达标后排入依托的污水处理厂进行处理。3、推进集中供热管网敷设工作，园区内企业应加强大气污染治理设施运行管理，确保稳定达标排放。4、执行《中华人民共和国土壤污染防治法》、《地下水污染防治法》、《甘肃省土壤污染防治条例》等中关于土壤、地下水污染物防治相关要求。5、提高一般工业固体废物综合利用率，加强危险废物贮存和处置管理。</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拟建项目运营期废气能够实现达标排放，符合总量控制要求；废水经厂区污水处理站处理后用于饲草区灌溉；园区供热管网未覆盖，拟建项目依托原有的电锅炉供热；拟建项目建设区域都采取了必要的地下水和土壤污染防治措施；拟建项目运营期产生的固废都得到了合理的处置，基本满足污染物排放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环境风险防控</w:t>
            </w:r>
          </w:p>
        </w:tc>
        <w:tc>
          <w:tcPr>
            <w:tcW w:w="2840" w:type="pct"/>
            <w:tcBorders>
              <w:tl2br w:val="nil"/>
              <w:tr2bl w:val="nil"/>
            </w:tcBorders>
            <w:vAlign w:val="center"/>
          </w:tcPr>
          <w:p>
            <w:pPr>
              <w:spacing w:line="240" w:lineRule="auto"/>
              <w:ind w:firstLine="0" w:firstLineChars="0"/>
              <w:rPr>
                <w:sz w:val="21"/>
                <w:szCs w:val="21"/>
              </w:rPr>
            </w:pPr>
            <w:r>
              <w:rPr>
                <w:sz w:val="21"/>
                <w:szCs w:val="21"/>
              </w:rPr>
              <w:t>1、加强产业园区环境风险防控体系建设并编制应急预案，细化明确产业园区及区内企业环境风险防范责任，与地方政府应急预案做好衔接联动，切实做好环境风险防范工作。2、加强应急救援队伍、装备和设施建设，储备必要的应急物资。定期开展突发环境事件应急演练，提高突发环境事件联防联控能力。3、强化土壤和地下水环境风险防控，按照《关于印发强化危险废物监管和利用处置能力改革实施方案的通知》（国办函〔2021〕47号）《关于提升危险废物环境监管能力、利用处置能力和环境风险防范能力的指导意见》（环固体〔2019〕92号）等相关要求加强危险废物环境风险管控。</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公司现已经编制突发环境事件应急预案，待本项目建设完成后应对现有的突发环境事件应急预案进行修编，并向张掖经济技术开发区生态环境局备案，能够满足园区应急预案与企业的衔接联动要求；公司已经形成了完善的应急救援队伍、应急救援制度，并配备应急物资；建设单位已计划设置危废暂存间及制订相应的管理制度。基本能够满足</w:t>
            </w:r>
            <w:r>
              <w:rPr>
                <w:sz w:val="21"/>
                <w:szCs w:val="21"/>
              </w:rPr>
              <w:t>环境风险防控</w:t>
            </w:r>
            <w:r>
              <w:rPr>
                <w:rFonts w:hint="eastAsia"/>
                <w:sz w:val="21"/>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l2br w:val="nil"/>
              <w:tr2bl w:val="nil"/>
            </w:tcBorders>
            <w:vAlign w:val="center"/>
          </w:tcPr>
          <w:p>
            <w:pPr>
              <w:spacing w:line="240" w:lineRule="auto"/>
              <w:ind w:firstLine="0" w:firstLineChars="0"/>
              <w:jc w:val="center"/>
              <w:rPr>
                <w:sz w:val="21"/>
                <w:szCs w:val="21"/>
              </w:rPr>
            </w:pPr>
            <w:r>
              <w:rPr>
                <w:sz w:val="21"/>
                <w:szCs w:val="21"/>
              </w:rPr>
              <w:t>资源利用效率要求</w:t>
            </w:r>
          </w:p>
        </w:tc>
        <w:tc>
          <w:tcPr>
            <w:tcW w:w="2840" w:type="pct"/>
            <w:tcBorders>
              <w:tl2br w:val="nil"/>
              <w:tr2bl w:val="nil"/>
            </w:tcBorders>
            <w:vAlign w:val="center"/>
          </w:tcPr>
          <w:p>
            <w:pPr>
              <w:spacing w:line="240" w:lineRule="auto"/>
              <w:ind w:firstLine="0" w:firstLineChars="0"/>
              <w:rPr>
                <w:sz w:val="21"/>
                <w:szCs w:val="21"/>
              </w:rPr>
            </w:pPr>
            <w:r>
              <w:rPr>
                <w:sz w:val="21"/>
                <w:szCs w:val="21"/>
              </w:rPr>
              <w:t>1、推进资源能源总量和强度</w:t>
            </w:r>
            <w:r>
              <w:rPr>
                <w:rFonts w:hint="eastAsia"/>
                <w:sz w:val="21"/>
                <w:szCs w:val="21"/>
              </w:rPr>
              <w:t>“</w:t>
            </w:r>
            <w:r>
              <w:rPr>
                <w:sz w:val="21"/>
                <w:szCs w:val="21"/>
              </w:rPr>
              <w:t>双控</w:t>
            </w:r>
            <w:r>
              <w:rPr>
                <w:rFonts w:hint="eastAsia"/>
                <w:sz w:val="21"/>
                <w:szCs w:val="21"/>
              </w:rPr>
              <w:t>”</w:t>
            </w:r>
            <w:r>
              <w:rPr>
                <w:sz w:val="21"/>
                <w:szCs w:val="21"/>
              </w:rPr>
              <w:t>，严守区域能源、水资源、土地资源等控制指标限值。2、推进循环经济体系建设，谋划引进一批高附加值、低能耗、低排放的循环经济项目，形成良好的循环经济发展模式，重点培育一批清洁示范企业，组织实施一批节能技改和减排工程重点项目，鼓励企业积极开展ISO14001环境体系认证，利用科学的环境管理方法控制和减少废物排放、提高能源利用效率，树立环保型、节约型企业形象。</w:t>
            </w:r>
          </w:p>
        </w:tc>
        <w:tc>
          <w:tcPr>
            <w:tcW w:w="1716" w:type="pct"/>
            <w:tcBorders>
              <w:tl2br w:val="nil"/>
              <w:tr2bl w:val="nil"/>
            </w:tcBorders>
            <w:vAlign w:val="center"/>
          </w:tcPr>
          <w:p>
            <w:pPr>
              <w:spacing w:line="240" w:lineRule="auto"/>
              <w:ind w:firstLine="0" w:firstLineChars="0"/>
              <w:rPr>
                <w:sz w:val="21"/>
                <w:szCs w:val="21"/>
              </w:rPr>
            </w:pPr>
            <w:r>
              <w:rPr>
                <w:rFonts w:hint="eastAsia"/>
                <w:sz w:val="21"/>
                <w:szCs w:val="21"/>
              </w:rPr>
              <w:t>拟建项目运营期产生的固废部分直接拉运至公司自建的有机肥生产车间作为原料使用，公司不能处置的全部外售废旧回收单位再次利用，最大限度的提高了资源利用效率，接班能够满足</w:t>
            </w:r>
            <w:r>
              <w:rPr>
                <w:sz w:val="21"/>
                <w:szCs w:val="21"/>
              </w:rPr>
              <w:t>资源利用效率要求</w:t>
            </w:r>
          </w:p>
        </w:tc>
      </w:tr>
    </w:tbl>
    <w:p>
      <w:pPr>
        <w:ind w:firstLine="482"/>
        <w:rPr>
          <w:b/>
          <w:bCs/>
        </w:rPr>
      </w:pPr>
      <w:r>
        <w:rPr>
          <w:rFonts w:hint="eastAsia"/>
          <w:b/>
          <w:bCs/>
        </w:rPr>
        <w:t>（5）环境管控单元</w:t>
      </w:r>
    </w:p>
    <w:p>
      <w:pPr>
        <w:ind w:firstLine="482"/>
        <w:rPr>
          <w:b/>
          <w:bCs/>
        </w:rPr>
      </w:pPr>
      <w:r>
        <w:rPr>
          <w:b/>
          <w:bCs/>
        </w:rPr>
        <w:t>①</w:t>
      </w:r>
      <w:r>
        <w:rPr>
          <w:rFonts w:hint="eastAsia"/>
          <w:b/>
          <w:bCs/>
        </w:rPr>
        <w:t>与</w:t>
      </w:r>
      <w:r>
        <w:rPr>
          <w:b/>
          <w:bCs/>
        </w:rPr>
        <w:t>《甘肃省人民政府关于实施“三线一单”生态环境分区管控的意见》（甘政发〔2020〕68号）</w:t>
      </w:r>
      <w:r>
        <w:rPr>
          <w:rFonts w:hint="eastAsia"/>
          <w:b/>
          <w:bCs/>
        </w:rPr>
        <w:t>的符合性分析</w:t>
      </w:r>
    </w:p>
    <w:p>
      <w:pPr>
        <w:ind w:firstLine="480"/>
      </w:pPr>
      <w:r>
        <w:rPr>
          <w:rFonts w:hint="eastAsia"/>
        </w:rPr>
        <w:t>根据</w:t>
      </w:r>
      <w:r>
        <w:t>《甘肃省人民政府关于实施“三线一单”生态环境分区管控的意见》（甘政发〔2020〕68号）</w:t>
      </w:r>
      <w:r>
        <w:rPr>
          <w:rFonts w:hint="eastAsia"/>
        </w:rPr>
        <w:t>可知，甘肃省全省共划定环境管控单元842个，分为优先保护单元、重点管控单元和一般管控单元三类，实施分类管控。</w:t>
      </w:r>
    </w:p>
    <w:p>
      <w:pPr>
        <w:ind w:firstLine="480"/>
      </w:pPr>
      <w:r>
        <w:rPr>
          <w:rFonts w:hint="eastAsia"/>
        </w:rPr>
        <w:t>本项目位于</w:t>
      </w:r>
      <w:r>
        <w:rPr>
          <w:rFonts w:hint="eastAsia"/>
          <w:lang w:eastAsia="zh-CN"/>
        </w:rPr>
        <w:t>张掖市甘州区巴吉滩农产品产业园张掖市沅博农牧产业开发有限公司</w:t>
      </w:r>
      <w:r>
        <w:rPr>
          <w:rFonts w:hint="eastAsia"/>
        </w:rPr>
        <w:t>院内，属于重点管控单元，</w:t>
      </w:r>
      <w:r>
        <w:rPr>
          <w:rFonts w:hint="eastAsia"/>
          <w:bCs/>
          <w:color w:val="FF0000"/>
          <w:szCs w:val="32"/>
        </w:rPr>
        <w:t>详见附图1111</w:t>
      </w:r>
      <w:r>
        <w:rPr>
          <w:rFonts w:hint="eastAsia"/>
        </w:rPr>
        <w:t>。重点管控单元，共263个，主要包括中心城区和城镇规划区、各级各类工业园区及工业集聚区等开发强度高、环境问题相对集中的区域。该区域是经济社会高质量发展的主要承载区，主要推进产业结构和能源结构调整，优化交通结构和用地结构，不断提高资源能源利用效率，加强污染物排放控制和环境风险防控，解决突出生态环境问题。</w:t>
      </w:r>
    </w:p>
    <w:p>
      <w:pPr>
        <w:widowControl/>
        <w:adjustRightInd w:val="0"/>
        <w:ind w:firstLine="464"/>
        <w:jc w:val="left"/>
        <w:textAlignment w:val="baseline"/>
        <w:rPr>
          <w:rFonts w:cstheme="minorBidi"/>
          <w:szCs w:val="21"/>
        </w:rPr>
      </w:pPr>
      <w:r>
        <w:rPr>
          <w:rFonts w:hint="eastAsia"/>
          <w:spacing w:val="-4"/>
        </w:rPr>
        <w:t>本项目属于屠宰及肉类加工行业，</w:t>
      </w:r>
      <w:r>
        <w:rPr>
          <w:rFonts w:hint="eastAsia" w:eastAsia="Times New Roman"/>
          <w:spacing w:val="-4"/>
        </w:rPr>
        <w:t>位于</w:t>
      </w:r>
      <w:r>
        <w:rPr>
          <w:rFonts w:hint="eastAsia" w:eastAsia="宋体"/>
          <w:lang w:eastAsia="zh-CN"/>
        </w:rPr>
        <w:t>张掖市甘州区巴吉滩农产品产业园</w:t>
      </w:r>
      <w:r>
        <w:rPr>
          <w:rFonts w:hint="eastAsia" w:eastAsia="Times New Roman"/>
          <w:spacing w:val="-4"/>
        </w:rPr>
        <w:t>，</w:t>
      </w:r>
      <w:r>
        <w:rPr>
          <w:rFonts w:hint="eastAsia"/>
          <w:spacing w:val="-4"/>
        </w:rPr>
        <w:t>项目</w:t>
      </w:r>
      <w:r>
        <w:rPr>
          <w:rFonts w:hint="eastAsia" w:eastAsia="Times New Roman"/>
          <w:spacing w:val="-4"/>
        </w:rPr>
        <w:t>符合园区产业结构调整要求，能源消耗较小，提高了资源的利用率</w:t>
      </w:r>
      <w:r>
        <w:rPr>
          <w:rFonts w:hint="eastAsia"/>
          <w:spacing w:val="-4"/>
        </w:rPr>
        <w:t>；项目建成后各项污染物排放指标均符合相应的污染物排放标准要求，项目采取完善的风险防范措施，有效防范和降低环境风险</w:t>
      </w:r>
      <w:r>
        <w:rPr>
          <w:rFonts w:hint="eastAsia" w:eastAsia="Times New Roman"/>
          <w:spacing w:val="-4"/>
        </w:rPr>
        <w:t>。</w:t>
      </w:r>
    </w:p>
    <w:p>
      <w:pPr>
        <w:ind w:firstLine="480"/>
      </w:pPr>
      <w:r>
        <w:rPr>
          <w:rFonts w:hint="eastAsia" w:cstheme="minorBidi"/>
          <w:szCs w:val="21"/>
        </w:rPr>
        <w:t>综上所述，本项目符合《甘肃省人民政府关于实施“三线一单</w:t>
      </w:r>
      <w:r>
        <w:rPr>
          <w:rFonts w:cstheme="minorBidi"/>
          <w:szCs w:val="21"/>
        </w:rPr>
        <w:t>”</w:t>
      </w:r>
      <w:r>
        <w:rPr>
          <w:rFonts w:hint="eastAsia" w:cstheme="minorBidi"/>
          <w:szCs w:val="21"/>
        </w:rPr>
        <w:t>生态环境分区管控的意见》（甘政发〔2020〕68号）的要求。</w:t>
      </w:r>
    </w:p>
    <w:p>
      <w:pPr>
        <w:ind w:firstLine="482"/>
      </w:pPr>
      <w:r>
        <w:rPr>
          <w:b/>
          <w:bCs/>
        </w:rPr>
        <w:t>②</w:t>
      </w:r>
      <w:r>
        <w:rPr>
          <w:rFonts w:hint="eastAsia"/>
          <w:b/>
          <w:bCs/>
        </w:rPr>
        <w:t>与《</w:t>
      </w:r>
      <w:r>
        <w:rPr>
          <w:b/>
          <w:bCs/>
        </w:rPr>
        <w:t>张掖市“三线一单”生态环境分区管控方案</w:t>
      </w:r>
      <w:r>
        <w:rPr>
          <w:rFonts w:hint="eastAsia"/>
          <w:b/>
          <w:bCs/>
        </w:rPr>
        <w:t>》（张政发</w:t>
      </w:r>
      <w:r>
        <w:rPr>
          <w:rFonts w:hint="eastAsia" w:cstheme="minorBidi"/>
          <w:szCs w:val="21"/>
        </w:rPr>
        <w:t>〔2021〕35号</w:t>
      </w:r>
      <w:r>
        <w:rPr>
          <w:rFonts w:hint="eastAsia"/>
          <w:b/>
          <w:bCs/>
        </w:rPr>
        <w:t>）的符合性分析</w:t>
      </w:r>
    </w:p>
    <w:p>
      <w:pPr>
        <w:ind w:firstLine="480"/>
      </w:pPr>
      <w:r>
        <w:rPr>
          <w:rFonts w:hint="eastAsia"/>
        </w:rPr>
        <w:t>根据《</w:t>
      </w:r>
      <w:r>
        <w:t>张掖市“三线一单”生态环境分区管控方案</w:t>
      </w:r>
      <w:r>
        <w:rPr>
          <w:rFonts w:hint="eastAsia"/>
        </w:rPr>
        <w:t>》，</w:t>
      </w:r>
      <w:r>
        <w:t>全市共划定环境管控单元56个，分为优先保护单元、重点管控单元和一般管控单元三类，实施分类管控。优先保护单元</w:t>
      </w:r>
      <w:r>
        <w:rPr>
          <w:rFonts w:hint="eastAsia"/>
        </w:rPr>
        <w:t>，</w:t>
      </w:r>
      <w:r>
        <w:t>共29个</w:t>
      </w:r>
      <w:r>
        <w:rPr>
          <w:rFonts w:hint="eastAsia"/>
        </w:rPr>
        <w:t>；</w:t>
      </w:r>
      <w:r>
        <w:t>重点管控单元</w:t>
      </w:r>
      <w:r>
        <w:rPr>
          <w:rFonts w:hint="eastAsia"/>
        </w:rPr>
        <w:t>，</w:t>
      </w:r>
      <w:r>
        <w:t>共22个</w:t>
      </w:r>
      <w:r>
        <w:rPr>
          <w:rFonts w:hint="eastAsia"/>
        </w:rPr>
        <w:t>；</w:t>
      </w:r>
      <w:r>
        <w:t>一般管控单元</w:t>
      </w:r>
      <w:r>
        <w:rPr>
          <w:rFonts w:hint="eastAsia"/>
        </w:rPr>
        <w:t>，</w:t>
      </w:r>
      <w:r>
        <w:t>共5个</w:t>
      </w:r>
      <w:r>
        <w:rPr>
          <w:rFonts w:hint="eastAsia"/>
        </w:rPr>
        <w:t>。本项目建设区域位于《</w:t>
      </w:r>
      <w:r>
        <w:t>张掖市“三线一单”生态环境分区管控方案</w:t>
      </w:r>
      <w:r>
        <w:rPr>
          <w:rFonts w:hint="eastAsia"/>
        </w:rPr>
        <w:t>》中的重点管控单元，</w:t>
      </w:r>
      <w:r>
        <w:rPr>
          <w:rFonts w:hint="eastAsia"/>
          <w:color w:val="FF0000"/>
        </w:rPr>
        <w:t>具体详见附图1111。</w:t>
      </w:r>
    </w:p>
    <w:p>
      <w:pPr>
        <w:ind w:firstLine="480"/>
      </w:pPr>
      <w:r>
        <w:rPr>
          <w:rFonts w:hint="eastAsia"/>
        </w:rPr>
        <w:t>重点管控单元</w:t>
      </w:r>
      <w:r>
        <w:t>主要包括中心城区和城镇规划区、工业园区（集聚区）等开发强度高、环境问题相对集中的区域。该区域是经济社会高质量发展的主要承载区，以产业高质量发展和环境保护协调为主，优化空间布局，推进产业结构和能源结构调整，优化交通结构和用地结构，不断提高资源能源利用效率，加强污染物排放控制和环境风险防控，解决突出生态环境问题。</w:t>
      </w:r>
    </w:p>
    <w:p>
      <w:pPr>
        <w:ind w:firstLine="464"/>
      </w:pPr>
      <w:r>
        <w:rPr>
          <w:rFonts w:hint="eastAsia"/>
          <w:spacing w:val="-4"/>
        </w:rPr>
        <w:t>本项目属于屠宰及肉类加工行业，</w:t>
      </w:r>
      <w:r>
        <w:rPr>
          <w:rFonts w:hint="eastAsia" w:eastAsia="Times New Roman"/>
          <w:spacing w:val="-4"/>
        </w:rPr>
        <w:t>位于</w:t>
      </w:r>
      <w:r>
        <w:rPr>
          <w:rFonts w:hint="eastAsia" w:eastAsia="宋体"/>
          <w:lang w:eastAsia="zh-CN"/>
        </w:rPr>
        <w:t>张掖市甘州区巴吉滩农产品产业园</w:t>
      </w:r>
      <w:r>
        <w:rPr>
          <w:rFonts w:hint="eastAsia"/>
        </w:rPr>
        <w:t>；项目符合园区产业结构调整要求，项目能源消耗较小，提高了资源的利用率；项目建成后各项污染物排放指标均符合相应的污染物排放标准要求，项目采取完善的风险防范措施，有效防范和降低环境风险。</w:t>
      </w:r>
    </w:p>
    <w:p>
      <w:pPr>
        <w:ind w:firstLine="480"/>
        <w:rPr>
          <w:rStyle w:val="35"/>
          <w:rFonts w:ascii="微软雅黑" w:hAnsi="微软雅黑" w:eastAsia="微软雅黑" w:cs="微软雅黑"/>
          <w:bCs/>
          <w:color w:val="444444"/>
        </w:rPr>
      </w:pPr>
      <w:r>
        <w:rPr>
          <w:rFonts w:hint="eastAsia"/>
        </w:rPr>
        <w:t>综上所述，本项目符合《</w:t>
      </w:r>
      <w:r>
        <w:t>张掖市“三线一单”生态环境分区管控方案</w:t>
      </w:r>
      <w:r>
        <w:rPr>
          <w:rFonts w:hint="eastAsia"/>
        </w:rPr>
        <w:t>》（张政发〔2021〕35号）中的管控要求。</w:t>
      </w:r>
    </w:p>
    <w:bookmarkEnd w:id="976"/>
    <w:bookmarkEnd w:id="977"/>
    <w:p>
      <w:pPr>
        <w:pStyle w:val="5"/>
        <w:spacing w:before="78" w:after="78"/>
        <w:ind w:firstLine="562"/>
      </w:pPr>
      <w:bookmarkStart w:id="990" w:name="_Toc30171_WPSOffice_Level1"/>
      <w:bookmarkStart w:id="991" w:name="_Toc3956"/>
      <w:bookmarkStart w:id="992" w:name="_Toc17376"/>
      <w:r>
        <w:rPr>
          <w:rFonts w:hint="eastAsia"/>
        </w:rPr>
        <w:t>1</w:t>
      </w:r>
      <w:r>
        <w:rPr>
          <w:rFonts w:hint="eastAsia"/>
          <w:lang w:val="en-US" w:eastAsia="zh-CN"/>
        </w:rPr>
        <w:t>1</w:t>
      </w:r>
      <w:r>
        <w:t>.3</w:t>
      </w:r>
      <w:r>
        <w:rPr>
          <w:rFonts w:hint="eastAsia"/>
        </w:rPr>
        <w:t>、</w:t>
      </w:r>
      <w:r>
        <w:t>环境质量现状</w:t>
      </w:r>
      <w:bookmarkEnd w:id="990"/>
      <w:bookmarkEnd w:id="991"/>
      <w:bookmarkEnd w:id="992"/>
    </w:p>
    <w:p>
      <w:pPr>
        <w:ind w:firstLine="480"/>
      </w:pPr>
      <w:r>
        <w:t>根据对该项目所在区域空气、地下水、噪声</w:t>
      </w:r>
      <w:r>
        <w:rPr>
          <w:rFonts w:hint="eastAsia"/>
        </w:rPr>
        <w:t>及土壤</w:t>
      </w:r>
      <w:r>
        <w:t>的现状监测，结果表明项目所在地区环境空气质量良好，可满足《环境空气质量标准》（GB3095-2012）中二级标准及《</w:t>
      </w:r>
      <w:r>
        <w:rPr>
          <w:rFonts w:hint="eastAsia"/>
        </w:rPr>
        <w:t>环境影响评价技术导则  大气环境</w:t>
      </w:r>
      <w:r>
        <w:t>》（</w:t>
      </w:r>
      <w:r>
        <w:rPr>
          <w:rFonts w:hint="eastAsia"/>
        </w:rPr>
        <w:t>HJ2.2-2018</w:t>
      </w:r>
      <w:r>
        <w:t>）</w:t>
      </w:r>
      <w:r>
        <w:rPr>
          <w:rFonts w:hint="eastAsia"/>
        </w:rPr>
        <w:t>附录D</w:t>
      </w:r>
      <w:r>
        <w:t>相关标准限值要求；地下水环境质量较好，满足《地下水质量标准》（GB/T14848-2017）中Ⅲ类水质标准；噪声环境质量现状良好，满足《声环境质量标准》（GB3096-2008）3类标准限值</w:t>
      </w:r>
      <w:r>
        <w:rPr>
          <w:rFonts w:hint="eastAsia"/>
        </w:rPr>
        <w:t>；土壤环境质量可满足《土壤环境质量 建设地污染风险管控标准》（GB36600-2018）中的相关筛选控制标准限值要求</w:t>
      </w:r>
      <w:r>
        <w:t>。</w:t>
      </w:r>
    </w:p>
    <w:p>
      <w:pPr>
        <w:pStyle w:val="5"/>
        <w:spacing w:before="78" w:after="78"/>
        <w:ind w:firstLine="562"/>
      </w:pPr>
      <w:bookmarkStart w:id="993" w:name="_Toc14835_WPSOffice_Level1"/>
      <w:bookmarkStart w:id="994" w:name="_Toc17225"/>
      <w:bookmarkStart w:id="995" w:name="_Toc20615"/>
      <w:r>
        <w:rPr>
          <w:rFonts w:hint="eastAsia"/>
        </w:rPr>
        <w:t>1</w:t>
      </w:r>
      <w:r>
        <w:rPr>
          <w:rFonts w:hint="eastAsia"/>
          <w:lang w:val="en-US" w:eastAsia="zh-CN"/>
        </w:rPr>
        <w:t>1</w:t>
      </w:r>
      <w:r>
        <w:t>.4</w:t>
      </w:r>
      <w:r>
        <w:rPr>
          <w:rFonts w:hint="eastAsia"/>
        </w:rPr>
        <w:t>、</w:t>
      </w:r>
      <w:bookmarkEnd w:id="993"/>
      <w:r>
        <w:t>运营期环境影响分析及污染防治措施</w:t>
      </w:r>
      <w:bookmarkEnd w:id="994"/>
      <w:bookmarkEnd w:id="995"/>
    </w:p>
    <w:p>
      <w:pPr>
        <w:pStyle w:val="6"/>
        <w:ind w:firstLine="482"/>
      </w:pPr>
      <w:bookmarkStart w:id="996" w:name="_Toc15121"/>
      <w:bookmarkStart w:id="997" w:name="_Toc326_WPSOffice_Level2"/>
      <w:bookmarkStart w:id="998" w:name="_Toc31009_WPSOffice_Level2"/>
      <w:bookmarkStart w:id="999" w:name="_Toc925_WPSOffice_Level2"/>
      <w:bookmarkStart w:id="1000" w:name="_Toc22935_WPSOffice_Level2"/>
      <w:r>
        <w:rPr>
          <w:rFonts w:hint="eastAsia"/>
        </w:rPr>
        <w:t>1</w:t>
      </w:r>
      <w:r>
        <w:rPr>
          <w:rFonts w:hint="eastAsia"/>
          <w:lang w:val="en-US" w:eastAsia="zh-CN"/>
        </w:rPr>
        <w:t>1</w:t>
      </w:r>
      <w:r>
        <w:rPr>
          <w:rFonts w:hint="eastAsia"/>
        </w:rPr>
        <w:t>.4.1、</w:t>
      </w:r>
      <w:r>
        <w:t>运营期</w:t>
      </w:r>
      <w:r>
        <w:rPr>
          <w:rFonts w:hint="eastAsia"/>
        </w:rPr>
        <w:t>水</w:t>
      </w:r>
      <w:r>
        <w:t>环境影响分析及污染防治措施</w:t>
      </w:r>
      <w:bookmarkEnd w:id="996"/>
      <w:bookmarkEnd w:id="997"/>
      <w:bookmarkEnd w:id="998"/>
    </w:p>
    <w:p>
      <w:pPr>
        <w:ind w:firstLine="482"/>
        <w:rPr>
          <w:b/>
          <w:bCs/>
        </w:rPr>
      </w:pPr>
      <w:r>
        <w:rPr>
          <w:rFonts w:hint="eastAsia"/>
          <w:b/>
          <w:bCs/>
        </w:rPr>
        <w:t>1、地表水</w:t>
      </w:r>
      <w:r>
        <w:rPr>
          <w:b/>
          <w:bCs/>
        </w:rPr>
        <w:t>环境影响分析及污染防治措施</w:t>
      </w:r>
    </w:p>
    <w:p>
      <w:pPr>
        <w:ind w:firstLine="480"/>
      </w:pPr>
      <w:r>
        <w:rPr>
          <w:rFonts w:hint="eastAsia"/>
        </w:rPr>
        <w:t>本项目生活污水及生产废水全部依托厂区现有的污水处理站处理达标后用于厂区饲草区灌溉，污水处理站的污水处理工艺采用“预处理+二级生化处理+消毒处理”的工艺对屠宰废水进行处理。该工艺能够满足《排污许可证申请与核发技术规范 农副食品加工工业—屠宰及肉类加工工业》（HJ860.3—2018）中</w:t>
      </w:r>
      <w:r>
        <w:rPr>
          <w:rFonts w:hint="eastAsia"/>
          <w:lang w:val="en-US" w:eastAsia="zh-CN"/>
        </w:rPr>
        <w:t>推荐的可行技术</w:t>
      </w:r>
      <w:r>
        <w:rPr>
          <w:rFonts w:hint="eastAsia"/>
        </w:rPr>
        <w:t>要求；其次厂区计划对现有的污水处理站进行扩容（扩容后处理工艺不发生变化），扩容后污水处理站处理能力为1500</w:t>
      </w:r>
      <w:r>
        <w:t>m</w:t>
      </w:r>
      <w:r>
        <w:rPr>
          <w:vertAlign w:val="superscript"/>
        </w:rPr>
        <w:t>3</w:t>
      </w:r>
      <w:r>
        <w:t>/d</w:t>
      </w:r>
      <w:r>
        <w:rPr>
          <w:rFonts w:hint="eastAsia"/>
        </w:rPr>
        <w:t>，在接纳拟建项目运用期产生的废水有仍有余量，废水接纳可行；再次</w:t>
      </w:r>
      <w:r>
        <w:rPr>
          <w:rFonts w:hint="eastAsia"/>
          <w:lang w:val="en-US" w:eastAsia="zh-CN"/>
        </w:rPr>
        <w:t>本项目</w:t>
      </w:r>
      <w:r>
        <w:rPr>
          <w:rFonts w:hint="eastAsia"/>
        </w:rPr>
        <w:t>运营期产生的污水经污水处理站处理后水质能够满足</w:t>
      </w:r>
      <w:r>
        <w:rPr>
          <w:rFonts w:hint="eastAsia"/>
          <w:lang w:val="en-US" w:eastAsia="zh-CN"/>
        </w:rPr>
        <w:t>《肉类加工工业水污染物排放标准》（GB13457-92）表3中的肉制品加工一级标准限值要求和</w:t>
      </w:r>
      <w:r>
        <w:t>《农田灌溉水质标准》（GB5084-20</w:t>
      </w:r>
      <w:r>
        <w:rPr>
          <w:rFonts w:hint="eastAsia"/>
        </w:rPr>
        <w:t>21</w:t>
      </w:r>
      <w:r>
        <w:t>）</w:t>
      </w:r>
      <w:r>
        <w:rPr>
          <w:rFonts w:hint="eastAsia"/>
          <w:lang w:val="en-US" w:eastAsia="zh-CN"/>
        </w:rPr>
        <w:t>中的旱作标准限值要求</w:t>
      </w:r>
      <w:r>
        <w:rPr>
          <w:rFonts w:hint="eastAsia"/>
        </w:rPr>
        <w:t>，故经处理水质能满足饲草区灌溉要求，非灌溉期达标废水全部暂存在达标废水暂存池用于灌溉期灌溉，水量能够满足灌溉要求。</w:t>
      </w:r>
    </w:p>
    <w:p>
      <w:pPr>
        <w:ind w:firstLine="480"/>
      </w:pPr>
      <w:r>
        <w:rPr>
          <w:rFonts w:hint="eastAsia"/>
        </w:rPr>
        <w:t>综上所述，拟建项目运营期废水都得到了合理的处置，不会对周边环境产生较大的影响，治理措施可行。</w:t>
      </w:r>
    </w:p>
    <w:p>
      <w:pPr>
        <w:ind w:firstLine="482"/>
        <w:rPr>
          <w:b/>
          <w:bCs/>
        </w:rPr>
      </w:pPr>
      <w:r>
        <w:rPr>
          <w:rFonts w:hint="eastAsia"/>
          <w:b/>
          <w:bCs/>
        </w:rPr>
        <w:t>2、地下水</w:t>
      </w:r>
      <w:r>
        <w:rPr>
          <w:b/>
          <w:bCs/>
        </w:rPr>
        <w:t>环境影响分析及污染防治措施</w:t>
      </w:r>
    </w:p>
    <w:p>
      <w:pPr>
        <w:ind w:firstLine="480"/>
      </w:pPr>
      <w:r>
        <w:rPr>
          <w:rFonts w:hint="eastAsia"/>
        </w:rPr>
        <w:t>为进一步保护地下水资源，本环评要求建设单位需要对拟建区域进行分区防渗，根据</w:t>
      </w:r>
      <w:r>
        <w:t>《环境影响评价技术导则 地下水环境》（HJ610-2016）</w:t>
      </w:r>
      <w:r>
        <w:rPr>
          <w:rFonts w:hint="eastAsia"/>
        </w:rPr>
        <w:t>要求，同时结合</w:t>
      </w:r>
      <w:r>
        <w:t>厂区各功能单元可能泄露至地面区域的污染物质和生产单元的构筑方式，将厂区划分为重点污染防渗区</w:t>
      </w:r>
      <w:r>
        <w:rPr>
          <w:rFonts w:hint="eastAsia"/>
        </w:rPr>
        <w:t>（污水处理系统、达标废水暂存池、事故应急池、危废暂存间）</w:t>
      </w:r>
      <w:r>
        <w:t>、一般污染防渗区</w:t>
      </w:r>
      <w:r>
        <w:rPr>
          <w:rFonts w:hint="eastAsia"/>
        </w:rPr>
        <w:t>（综合生产车间、待宰圈、冷库、一般固废暂存间）</w:t>
      </w:r>
      <w:r>
        <w:t>和简单防渗区</w:t>
      </w:r>
      <w:r>
        <w:rPr>
          <w:rFonts w:hint="eastAsia"/>
        </w:rPr>
        <w:t>（办公区域）。重点防渗区等效粘土防渗层</w:t>
      </w:r>
      <w:r>
        <w:t>Mb≥6.0m，K≤1×10</w:t>
      </w:r>
      <w:r>
        <w:rPr>
          <w:vertAlign w:val="superscript"/>
        </w:rPr>
        <w:t>-7</w:t>
      </w:r>
      <w:r>
        <w:t>cm/s；一般防渗区等效粘土防渗层Mb≥1.5m，防渗性能应保证渗透系数K≤1.0×10</w:t>
      </w:r>
      <w:r>
        <w:rPr>
          <w:vertAlign w:val="superscript"/>
        </w:rPr>
        <w:t>-7</w:t>
      </w:r>
      <w:r>
        <w:t>cm/s，</w:t>
      </w:r>
      <w:r>
        <w:rPr>
          <w:rFonts w:hint="eastAsia"/>
        </w:rPr>
        <w:t>并且能够满足</w:t>
      </w:r>
      <w:r>
        <w:t>《一般工业固体废物贮存和填埋污染控制标准》（GB 18599-2020）中</w:t>
      </w:r>
      <w:r>
        <w:rPr>
          <w:rFonts w:hint="eastAsia"/>
        </w:rPr>
        <w:t>的规定要求；</w:t>
      </w:r>
      <w:r>
        <w:t>简单防渗区可不做具体防渗设计，仅进行一般地面硬化即可。本项目污水处理站</w:t>
      </w:r>
      <w:r>
        <w:rPr>
          <w:rFonts w:hint="eastAsia"/>
          <w:lang w:val="en-US" w:eastAsia="zh-CN"/>
        </w:rPr>
        <w:t>需</w:t>
      </w:r>
      <w:r>
        <w:t>采用</w:t>
      </w:r>
      <w:r>
        <w:rPr>
          <w:rFonts w:hint="eastAsia"/>
        </w:rPr>
        <w:t>在线监测</w:t>
      </w:r>
      <w:r>
        <w:t>系统</w:t>
      </w:r>
      <w:r>
        <w:rPr>
          <w:rFonts w:hint="eastAsia"/>
        </w:rPr>
        <w:t>，对排放的水量、CODcr及氨氮浓度</w:t>
      </w:r>
      <w:r>
        <w:rPr>
          <w:rFonts w:hint="eastAsia"/>
          <w:lang w:val="en-US" w:eastAsia="zh-CN"/>
        </w:rPr>
        <w:t>等</w:t>
      </w:r>
      <w:r>
        <w:rPr>
          <w:rFonts w:hint="eastAsia"/>
        </w:rPr>
        <w:t>进行实时监控，同时选取上游</w:t>
      </w:r>
      <w:r>
        <w:t>沅博牧业公司自备井</w:t>
      </w:r>
      <w:r>
        <w:rPr>
          <w:rFonts w:hint="eastAsia"/>
        </w:rPr>
        <w:t>（</w:t>
      </w:r>
      <w:r>
        <w:t>位于项目场地西侧</w:t>
      </w:r>
      <w:r>
        <w:rPr>
          <w:rFonts w:hint="eastAsia"/>
        </w:rPr>
        <w:t>）</w:t>
      </w:r>
      <w:r>
        <w:t>作为地下水背景值监测点；</w:t>
      </w:r>
      <w:r>
        <w:rPr>
          <w:rFonts w:hint="eastAsia"/>
        </w:rPr>
        <w:t>选取</w:t>
      </w:r>
      <w:r>
        <w:t>项目厂区西北侧拐角处</w:t>
      </w:r>
      <w:r>
        <w:rPr>
          <w:rFonts w:hint="eastAsia"/>
        </w:rPr>
        <w:t>水井</w:t>
      </w:r>
      <w:r>
        <w:t>，作为污染扩散监测点；</w:t>
      </w:r>
      <w:r>
        <w:rPr>
          <w:rFonts w:hint="eastAsia"/>
        </w:rPr>
        <w:t>选取</w:t>
      </w:r>
      <w:r>
        <w:t>项目厂区下游2.7km处</w:t>
      </w:r>
      <w:r>
        <w:rPr>
          <w:rFonts w:hint="eastAsia"/>
        </w:rPr>
        <w:t>水井</w:t>
      </w:r>
      <w:r>
        <w:t>，</w:t>
      </w:r>
      <w:r>
        <w:rPr>
          <w:rFonts w:hint="eastAsia"/>
        </w:rPr>
        <w:t>作为</w:t>
      </w:r>
      <w:r>
        <w:t>地下水环境影响跟踪监测</w:t>
      </w:r>
      <w:r>
        <w:rPr>
          <w:rFonts w:hint="eastAsia"/>
        </w:rPr>
        <w:t>点</w:t>
      </w:r>
      <w:r>
        <w:t>。地下水</w:t>
      </w:r>
      <w:r>
        <w:rPr>
          <w:rFonts w:hint="eastAsia"/>
        </w:rPr>
        <w:t>上下游同步对比监测，并</w:t>
      </w:r>
      <w:r>
        <w:t>建立完善的监测制度，及时发现污染，及时控制。</w:t>
      </w:r>
    </w:p>
    <w:p>
      <w:pPr>
        <w:ind w:firstLine="480"/>
      </w:pPr>
      <w:r>
        <w:t>综上，</w:t>
      </w:r>
      <w:r>
        <w:rPr>
          <w:rFonts w:hint="eastAsia"/>
        </w:rPr>
        <w:t>在采取以上措施后</w:t>
      </w:r>
      <w:r>
        <w:t>经过源头控制、末端治理、污染监控、应急响应等相应措施的实施，</w:t>
      </w:r>
      <w:r>
        <w:rPr>
          <w:rFonts w:hint="eastAsia"/>
        </w:rPr>
        <w:t>地下水</w:t>
      </w:r>
      <w:r>
        <w:t>污染防治可行，不会对地下水环境产生</w:t>
      </w:r>
      <w:r>
        <w:rPr>
          <w:rFonts w:hint="eastAsia"/>
        </w:rPr>
        <w:t>较大的</w:t>
      </w:r>
      <w:r>
        <w:t>影响。</w:t>
      </w:r>
    </w:p>
    <w:p>
      <w:pPr>
        <w:pStyle w:val="6"/>
        <w:ind w:firstLine="482"/>
      </w:pPr>
      <w:bookmarkStart w:id="1001" w:name="_Toc4445"/>
      <w:r>
        <w:rPr>
          <w:rFonts w:hint="eastAsia"/>
        </w:rPr>
        <w:t>1</w:t>
      </w:r>
      <w:r>
        <w:rPr>
          <w:rFonts w:hint="eastAsia"/>
          <w:lang w:val="en-US" w:eastAsia="zh-CN"/>
        </w:rPr>
        <w:t>1</w:t>
      </w:r>
      <w:r>
        <w:t>.4.</w:t>
      </w:r>
      <w:r>
        <w:rPr>
          <w:rFonts w:hint="eastAsia"/>
        </w:rPr>
        <w:t>2、</w:t>
      </w:r>
      <w:r>
        <w:t>环境空气</w:t>
      </w:r>
      <w:bookmarkEnd w:id="999"/>
      <w:bookmarkEnd w:id="1000"/>
      <w:r>
        <w:rPr>
          <w:rFonts w:hint="eastAsia"/>
        </w:rPr>
        <w:t>质量</w:t>
      </w:r>
      <w:r>
        <w:t>影响分析及污染防治措施</w:t>
      </w:r>
      <w:bookmarkEnd w:id="1001"/>
    </w:p>
    <w:p>
      <w:pPr>
        <w:ind w:firstLine="482"/>
        <w:rPr>
          <w:b/>
          <w:bCs/>
        </w:rPr>
      </w:pPr>
      <w:r>
        <w:rPr>
          <w:rFonts w:hint="eastAsia"/>
          <w:b/>
          <w:bCs/>
        </w:rPr>
        <w:t>1、待宰圈恶臭气体</w:t>
      </w:r>
    </w:p>
    <w:p>
      <w:pPr>
        <w:ind w:firstLine="480"/>
      </w:pPr>
      <w:r>
        <w:t>待宰圈的恶臭主要来自羊</w:t>
      </w:r>
      <w:r>
        <w:rPr>
          <w:rFonts w:hint="eastAsia"/>
        </w:rPr>
        <w:t>粪污中</w:t>
      </w:r>
      <w:r>
        <w:t>产生的NH</w:t>
      </w:r>
      <w:r>
        <w:rPr>
          <w:vertAlign w:val="subscript"/>
        </w:rPr>
        <w:t>3</w:t>
      </w:r>
      <w:r>
        <w:t>、H</w:t>
      </w:r>
      <w:r>
        <w:rPr>
          <w:vertAlign w:val="subscript"/>
        </w:rPr>
        <w:t>2</w:t>
      </w:r>
      <w:r>
        <w:t>S等恶臭气体</w:t>
      </w:r>
      <w:r>
        <w:rPr>
          <w:rFonts w:hint="eastAsia"/>
        </w:rPr>
        <w:t>，这部分</w:t>
      </w:r>
      <w:r>
        <w:t>恶臭气体</w:t>
      </w:r>
      <w:r>
        <w:rPr>
          <w:rFonts w:hint="eastAsia"/>
        </w:rPr>
        <w:t>收集难度</w:t>
      </w:r>
      <w:r>
        <w:rPr>
          <w:rFonts w:hint="eastAsia"/>
          <w:color w:val="000000"/>
          <w:kern w:val="0"/>
          <w:lang w:bidi="ar"/>
        </w:rPr>
        <w:t>大，因此为无组织排放。为了防止</w:t>
      </w:r>
      <w:r>
        <w:rPr>
          <w:color w:val="000000"/>
          <w:kern w:val="0"/>
          <w:lang w:bidi="ar"/>
        </w:rPr>
        <w:t>恶臭气体</w:t>
      </w:r>
      <w:r>
        <w:rPr>
          <w:rFonts w:hint="eastAsia"/>
          <w:color w:val="000000"/>
          <w:kern w:val="0"/>
          <w:lang w:bidi="ar"/>
        </w:rPr>
        <w:t>对周边环境造成影响，</w:t>
      </w:r>
      <w:r>
        <w:rPr>
          <w:rFonts w:hint="eastAsia"/>
          <w:b/>
          <w:bCs/>
          <w:color w:val="000000"/>
          <w:kern w:val="0"/>
          <w:lang w:bidi="ar"/>
        </w:rPr>
        <w:t>本环评要求：</w:t>
      </w:r>
      <w:r>
        <w:rPr>
          <w:rFonts w:hint="eastAsia"/>
        </w:rPr>
        <w:t>本项目待宰圈内肉羊产生的粪便采用干清粪工艺进行收集处理，必须做到日产日清，同时定期采用自来水对待宰圈进行清洗，其次定期喷洒生物除臭剂来进一步降低</w:t>
      </w:r>
      <w:r>
        <w:rPr>
          <w:color w:val="000000"/>
          <w:kern w:val="0"/>
          <w:lang w:bidi="ar"/>
        </w:rPr>
        <w:t>恶臭气体</w:t>
      </w:r>
      <w:r>
        <w:rPr>
          <w:rFonts w:hint="eastAsia"/>
          <w:color w:val="000000"/>
          <w:kern w:val="0"/>
          <w:lang w:bidi="ar"/>
        </w:rPr>
        <w:t>的排放量</w:t>
      </w:r>
      <w:r>
        <w:rPr>
          <w:rFonts w:hint="eastAsia"/>
        </w:rPr>
        <w:t>。采取以上措施后待宰圈恶臭气体</w:t>
      </w:r>
      <w:r>
        <w:t>经扩散后厂界浓度</w:t>
      </w:r>
      <w:r>
        <w:rPr>
          <w:rFonts w:hint="eastAsia"/>
        </w:rPr>
        <w:t>能够满足</w:t>
      </w:r>
      <w:r>
        <w:t>《恶臭污染物排放标准》（GB14554-93）表1中新扩改建厂界二级标准限值</w:t>
      </w:r>
      <w:r>
        <w:rPr>
          <w:rFonts w:hint="eastAsia"/>
        </w:rPr>
        <w:t>要求。查阅《排污许可证申请与核发技术规范 农副食品加工工业—屠宰及肉类加工工业》（HJ860.3—2018）“表3 屠宰及肉类加工工业排污单位废气产污环节、污染控制项目、排放形式及污染治理设施一览表”可知，拟建项目对待宰圈恶臭气体的治理方式能够满足该技术规范要求</w:t>
      </w:r>
      <w:r>
        <w:rPr>
          <w:rFonts w:hint="eastAsia"/>
          <w:lang w:eastAsia="zh-CN"/>
        </w:rPr>
        <w:t>，</w:t>
      </w:r>
      <w:r>
        <w:rPr>
          <w:rFonts w:hint="eastAsia"/>
          <w:lang w:val="en-US" w:eastAsia="zh-CN"/>
        </w:rPr>
        <w:t>同时结合预测结果可知，待宰圈恶臭气体能够实现达标排放，无超标现象</w:t>
      </w:r>
      <w:r>
        <w:rPr>
          <w:rFonts w:hint="eastAsia"/>
        </w:rPr>
        <w:t>。</w:t>
      </w:r>
    </w:p>
    <w:p>
      <w:pPr>
        <w:ind w:firstLine="480"/>
      </w:pPr>
      <w:r>
        <w:rPr>
          <w:rFonts w:hint="eastAsia"/>
        </w:rPr>
        <w:t>综上，</w:t>
      </w:r>
      <w:r>
        <w:rPr>
          <w:rFonts w:hint="eastAsia"/>
          <w:lang w:val="en-US" w:eastAsia="zh-CN"/>
        </w:rPr>
        <w:t>本项目运营期</w:t>
      </w:r>
      <w:r>
        <w:rPr>
          <w:rFonts w:hint="eastAsia"/>
        </w:rPr>
        <w:t>待宰圈</w:t>
      </w:r>
      <w:r>
        <w:rPr>
          <w:rFonts w:hint="eastAsia"/>
          <w:lang w:val="en-US" w:eastAsia="zh-CN"/>
        </w:rPr>
        <w:t>产生的</w:t>
      </w:r>
      <w:r>
        <w:rPr>
          <w:rFonts w:hint="eastAsia"/>
        </w:rPr>
        <w:t>无组织恶臭气体排放对周边大气环境影响可接受，治理措施是可行。</w:t>
      </w:r>
    </w:p>
    <w:p>
      <w:pPr>
        <w:ind w:firstLine="482"/>
        <w:rPr>
          <w:b/>
          <w:bCs/>
        </w:rPr>
      </w:pPr>
      <w:r>
        <w:rPr>
          <w:rFonts w:hint="eastAsia"/>
          <w:b/>
          <w:bCs/>
        </w:rPr>
        <w:t>2、屠宰车</w:t>
      </w:r>
      <w:r>
        <w:rPr>
          <w:b/>
          <w:bCs/>
        </w:rPr>
        <w:t>间恶臭</w:t>
      </w:r>
      <w:r>
        <w:rPr>
          <w:rFonts w:hint="eastAsia"/>
          <w:b/>
          <w:bCs/>
        </w:rPr>
        <w:t>气体</w:t>
      </w:r>
    </w:p>
    <w:p>
      <w:pPr>
        <w:ind w:firstLine="480"/>
      </w:pPr>
      <w:r>
        <w:rPr>
          <w:rFonts w:hint="eastAsia"/>
        </w:rPr>
        <w:t>屠宰车间包括屠宰区和副产品加工区，肉羊精深加工车间恶臭气体是指肉羊屠宰后的牲畜湿皮、血、白内脏内容物、粪尿等的臭气混杂在一起，产生刺鼻的腥臭味。为了防止肉羊精深加工车间恶臭气体逸散对周边环境造成影响，</w:t>
      </w:r>
      <w:r>
        <w:rPr>
          <w:rFonts w:hint="eastAsia"/>
          <w:b w:val="0"/>
          <w:bCs w:val="0"/>
        </w:rPr>
        <w:t>本环评要求：</w:t>
      </w:r>
      <w:r>
        <w:rPr>
          <w:rFonts w:hint="eastAsia"/>
        </w:rPr>
        <w:t>建设在肉羊精深加工车间内设置合理的集气系统，将肉羊精深加工车间内产生的恶臭气体集中收集后通过活性炭吸附装置净化后经15m高排气筒排放，排气量不得小于50000m</w:t>
      </w:r>
      <w:r>
        <w:rPr>
          <w:rFonts w:hint="eastAsia"/>
          <w:vertAlign w:val="superscript"/>
        </w:rPr>
        <w:t>3</w:t>
      </w:r>
      <w:r>
        <w:rPr>
          <w:rFonts w:hint="eastAsia"/>
        </w:rPr>
        <w:t>/h，活性炭吸附装置处理效率不低于70%，采取以上措施后肉羊精深加工车间排气筒排放NH</w:t>
      </w:r>
      <w:r>
        <w:rPr>
          <w:rFonts w:hint="eastAsia"/>
          <w:vertAlign w:val="subscript"/>
        </w:rPr>
        <w:t>3</w:t>
      </w:r>
      <w:r>
        <w:rPr>
          <w:rFonts w:hint="eastAsia"/>
        </w:rPr>
        <w:t>、H</w:t>
      </w:r>
      <w:r>
        <w:rPr>
          <w:rFonts w:hint="eastAsia"/>
          <w:vertAlign w:val="subscript"/>
        </w:rPr>
        <w:t>2</w:t>
      </w:r>
      <w:r>
        <w:rPr>
          <w:rFonts w:hint="eastAsia"/>
        </w:rPr>
        <w:t>S排放速率能够满足</w:t>
      </w:r>
      <w:r>
        <w:t>《恶臭污染物排放标准》（GB14554-93）表</w:t>
      </w:r>
      <w:r>
        <w:rPr>
          <w:rFonts w:hint="eastAsia"/>
        </w:rPr>
        <w:t>2</w:t>
      </w:r>
      <w:r>
        <w:t>中</w:t>
      </w:r>
      <w:r>
        <w:rPr>
          <w:rFonts w:hint="eastAsia"/>
        </w:rPr>
        <w:t>的</w:t>
      </w:r>
      <w:r>
        <w:rPr>
          <w:rFonts w:hint="eastAsia"/>
          <w:lang w:val="en-US" w:eastAsia="zh-CN"/>
        </w:rPr>
        <w:t>限值</w:t>
      </w:r>
      <w:r>
        <w:rPr>
          <w:rFonts w:hint="eastAsia"/>
        </w:rPr>
        <w:t>要求。查阅《排污许可证申请与核发技术规范 农副食品加工工业—屠宰及肉类加工工业》（HJ860.3—2018）“表3 屠宰及肉类加工工业排污单位废气产污环节、污染控制项目、排放形式及污染治理设施一览表”可知，拟建项目对肉羊精深加工车间恶臭气体的治理方式能够满足该技术规范要求</w:t>
      </w:r>
      <w:r>
        <w:rPr>
          <w:rFonts w:hint="eastAsia"/>
          <w:lang w:eastAsia="zh-CN"/>
        </w:rPr>
        <w:t>，</w:t>
      </w:r>
      <w:r>
        <w:rPr>
          <w:rFonts w:hint="eastAsia"/>
        </w:rPr>
        <w:t>同时</w:t>
      </w:r>
      <w:r>
        <w:rPr>
          <w:rFonts w:hint="eastAsia"/>
          <w:lang w:val="en-US" w:eastAsia="zh-CN"/>
        </w:rPr>
        <w:t>结合预测结果可知，本项目屠宰车间恶臭气体经废气治理实施处理后能够实现达标排放，无超标现象</w:t>
      </w:r>
      <w:r>
        <w:rPr>
          <w:rFonts w:hint="eastAsia"/>
        </w:rPr>
        <w:t>。</w:t>
      </w:r>
    </w:p>
    <w:p>
      <w:pPr>
        <w:ind w:firstLine="480"/>
      </w:pPr>
      <w:r>
        <w:rPr>
          <w:rFonts w:hint="eastAsia"/>
        </w:rPr>
        <w:t>综上，屠宰车间恶臭气体排放对周边大气环境影响可接受，治理措施是可行。</w:t>
      </w:r>
    </w:p>
    <w:p>
      <w:pPr>
        <w:ind w:firstLine="482"/>
        <w:rPr>
          <w:b/>
          <w:bCs/>
        </w:rPr>
      </w:pPr>
      <w:r>
        <w:rPr>
          <w:rFonts w:hint="eastAsia"/>
          <w:b/>
          <w:bCs/>
        </w:rPr>
        <w:t>3、牛羊预制品生产线烹饪油烟</w:t>
      </w:r>
    </w:p>
    <w:p>
      <w:pPr>
        <w:ind w:firstLine="480"/>
      </w:pPr>
      <w:r>
        <w:t>本项目</w:t>
      </w:r>
      <w:r>
        <w:rPr>
          <w:rFonts w:hint="eastAsia"/>
        </w:rPr>
        <w:t>牛羊预制品生产线在进行牛羊预制品炒制时会产生一定量的油烟，为了防止油烟逸散对周周边环境造成影响，本环评要求：</w:t>
      </w:r>
      <w:r>
        <w:t>建设单位</w:t>
      </w:r>
      <w:r>
        <w:rPr>
          <w:rFonts w:hint="eastAsia"/>
        </w:rPr>
        <w:t>在每口炒锅上方</w:t>
      </w:r>
      <w:r>
        <w:t>安装静电油烟处理</w:t>
      </w:r>
      <w:r>
        <w:rPr>
          <w:rFonts w:hint="eastAsia"/>
        </w:rPr>
        <w:t>装置（共4套）</w:t>
      </w:r>
      <w:r>
        <w:t>，</w:t>
      </w:r>
      <w:r>
        <w:rPr>
          <w:rFonts w:hint="eastAsia"/>
        </w:rPr>
        <w:t>产生的油烟经</w:t>
      </w:r>
      <w:r>
        <w:t>静电油烟处理</w:t>
      </w:r>
      <w:r>
        <w:rPr>
          <w:rFonts w:hint="eastAsia"/>
        </w:rPr>
        <w:t>装置处理后汇集到1根排气筒中，然后引至生产车间楼顶排放，采取以上措施后牛羊预制品菜生产线炒制工段产生的烹饪油烟排放浓度能够</w:t>
      </w:r>
      <w:r>
        <w:t>满足《饮食业油烟排放标准（试行）》（GB18483-2001）中的大型规模标准中的2.0mg/m</w:t>
      </w:r>
      <w:r>
        <w:rPr>
          <w:vertAlign w:val="superscript"/>
        </w:rPr>
        <w:t>3</w:t>
      </w:r>
      <w:r>
        <w:t>的限值要求。</w:t>
      </w:r>
      <w:r>
        <w:rPr>
          <w:rFonts w:hint="eastAsia"/>
        </w:rPr>
        <w:t>同时查阅《排污许可证申请与核发技术规范 农副食品加工工业—屠宰及肉类加工工业》（HJ860.3—2018）“表3 屠宰及肉类加工工业排污单位废气产污环节、污染控制项目、排放形式及污染治理设施一览表”可知，拟建项目对肉羊精深加工车间恶臭气体的治理方式能够满足该技术规范要求。</w:t>
      </w:r>
    </w:p>
    <w:p>
      <w:pPr>
        <w:ind w:firstLine="480"/>
      </w:pPr>
      <w:r>
        <w:rPr>
          <w:rFonts w:hint="eastAsia"/>
        </w:rPr>
        <w:t>综上，牛羊预制品生产线烹饪油烟排放对周边大气环境影响可接受，治理措施是可行。</w:t>
      </w:r>
    </w:p>
    <w:p>
      <w:pPr>
        <w:pStyle w:val="6"/>
        <w:ind w:firstLine="482"/>
      </w:pPr>
      <w:bookmarkStart w:id="1002" w:name="_Toc723_WPSOffice_Level2"/>
      <w:bookmarkStart w:id="1003" w:name="_Toc21866_WPSOffice_Level2"/>
      <w:bookmarkStart w:id="1004" w:name="_Toc13950"/>
      <w:r>
        <w:rPr>
          <w:rFonts w:hint="eastAsia"/>
        </w:rPr>
        <w:t>1</w:t>
      </w:r>
      <w:r>
        <w:rPr>
          <w:rFonts w:hint="eastAsia"/>
          <w:lang w:val="en-US" w:eastAsia="zh-CN"/>
        </w:rPr>
        <w:t>1</w:t>
      </w:r>
      <w:r>
        <w:rPr>
          <w:rFonts w:hint="eastAsia"/>
        </w:rPr>
        <w:t>.4.3、</w:t>
      </w:r>
      <w:bookmarkEnd w:id="1002"/>
      <w:bookmarkEnd w:id="1003"/>
      <w:r>
        <w:rPr>
          <w:rFonts w:hint="eastAsia"/>
        </w:rPr>
        <w:t>声</w:t>
      </w:r>
      <w:r>
        <w:t>环境</w:t>
      </w:r>
      <w:r>
        <w:rPr>
          <w:rFonts w:hint="eastAsia"/>
        </w:rPr>
        <w:t>质量</w:t>
      </w:r>
      <w:r>
        <w:t>影响分析及污染防治措施</w:t>
      </w:r>
      <w:bookmarkEnd w:id="1004"/>
    </w:p>
    <w:p>
      <w:pPr>
        <w:ind w:firstLine="480"/>
      </w:pPr>
      <w:r>
        <w:t>运营期噪声源主要来自生产设备</w:t>
      </w:r>
      <w:r>
        <w:rPr>
          <w:rFonts w:hint="eastAsia"/>
        </w:rPr>
        <w:t>牵羊机</w:t>
      </w:r>
      <w:r>
        <w:t>、</w:t>
      </w:r>
      <w:r>
        <w:rPr>
          <w:rFonts w:hint="eastAsia"/>
        </w:rPr>
        <w:t>肉羊输送机</w:t>
      </w:r>
      <w:r>
        <w:t>、</w:t>
      </w:r>
      <w:r>
        <w:rPr>
          <w:rFonts w:hint="eastAsia"/>
        </w:rPr>
        <w:t>液压</w:t>
      </w:r>
      <w:r>
        <w:t>剥皮机、</w:t>
      </w:r>
      <w:r>
        <w:rPr>
          <w:rFonts w:hint="eastAsia"/>
        </w:rPr>
        <w:t>自动清洗机、真空包装机、洗肚机、砍排机、全自动搅拌式电炒锅</w:t>
      </w:r>
      <w:r>
        <w:t>以及风机、水泵等等设备，噪声源强在</w:t>
      </w:r>
      <w:r>
        <w:rPr>
          <w:rFonts w:hint="eastAsia"/>
        </w:rPr>
        <w:t>8</w:t>
      </w:r>
      <w:r>
        <w:t>0~9</w:t>
      </w:r>
      <w:r>
        <w:rPr>
          <w:rFonts w:hint="eastAsia"/>
        </w:rPr>
        <w:t>5</w:t>
      </w:r>
      <w:r>
        <w:t>dB</w:t>
      </w:r>
      <w:r>
        <w:rPr>
          <w:rFonts w:hint="eastAsia"/>
        </w:rPr>
        <w:t>（A）</w:t>
      </w:r>
      <w:r>
        <w:t>之间。</w:t>
      </w:r>
      <w:r>
        <w:rPr>
          <w:rFonts w:hint="eastAsia"/>
        </w:rPr>
        <w:t>根据《环境影响评价技术导则 声环境》（HJ 2.4—2021）中的要求，噪声污防治染措施如下：</w:t>
      </w:r>
    </w:p>
    <w:p>
      <w:pPr>
        <w:ind w:firstLine="480"/>
      </w:pPr>
      <w:r>
        <w:t>①</w:t>
      </w:r>
      <w:r>
        <w:rPr>
          <w:rFonts w:hint="eastAsia"/>
        </w:rPr>
        <w:t>从设备选型入手，选择性能良好，同时可满足生产需求的低噪设备；</w:t>
      </w:r>
    </w:p>
    <w:p>
      <w:pPr>
        <w:ind w:firstLine="480"/>
      </w:pPr>
      <w:r>
        <w:rPr>
          <w:rFonts w:hint="eastAsia"/>
        </w:rPr>
        <w:t>②设备安装中，通过采用基座减震、加装消声器以及构筑物隔声等措施降低噪声污染；</w:t>
      </w:r>
    </w:p>
    <w:p>
      <w:pPr>
        <w:ind w:firstLine="480"/>
      </w:pPr>
      <w:r>
        <w:rPr>
          <w:rFonts w:hint="eastAsia"/>
        </w:rPr>
        <w:t>③对设备进行定期检修、维护及保养，保证其处于良好运行状态，避免非正常运转情况发生；</w:t>
      </w:r>
    </w:p>
    <w:p>
      <w:pPr>
        <w:ind w:firstLine="480"/>
      </w:pPr>
      <w:r>
        <w:rPr>
          <w:rFonts w:hint="eastAsia"/>
        </w:rPr>
        <w:t>④合理布局，高噪设备也可通过距离减噪等措施降低噪声污染；</w:t>
      </w:r>
    </w:p>
    <w:p>
      <w:pPr>
        <w:ind w:firstLine="480"/>
      </w:pPr>
      <w:r>
        <w:rPr>
          <w:rFonts w:hint="eastAsia"/>
        </w:rPr>
        <w:t>⑤加强厂区绿化，以进一步削减噪声污染；</w:t>
      </w:r>
    </w:p>
    <w:p>
      <w:pPr>
        <w:ind w:firstLine="480"/>
      </w:pPr>
      <w:r>
        <w:rPr>
          <w:rFonts w:hint="eastAsia"/>
        </w:rPr>
        <w:t>⑥为减少待宰圈羊叫声对工作人员及周围环境的影响，建设单位应尽量做到肉羊适时适量拉运暂存，在满足生产需求的情况下，尽量减少待宰圈肉羊数量；同时应减少外交噪声级突发性噪声对待宰圈肉羊的干扰，避免因惊吓而产生不安，增加羊叫的可能性。</w:t>
      </w:r>
    </w:p>
    <w:p>
      <w:pPr>
        <w:ind w:firstLine="480"/>
      </w:pPr>
      <w:r>
        <w:t>通过</w:t>
      </w:r>
      <w:r>
        <w:rPr>
          <w:rFonts w:hint="eastAsia"/>
        </w:rPr>
        <w:t>以上措施</w:t>
      </w:r>
      <w:r>
        <w:rPr>
          <w:rFonts w:hint="eastAsia"/>
          <w:lang w:val="en-US" w:eastAsia="zh-CN"/>
        </w:rPr>
        <w:t>并结合预测结果可知</w:t>
      </w:r>
      <w:r>
        <w:rPr>
          <w:rFonts w:hint="eastAsia"/>
        </w:rPr>
        <w:t>，</w:t>
      </w:r>
      <w:r>
        <w:rPr>
          <w:rFonts w:hint="eastAsia"/>
          <w:lang w:val="en-US" w:eastAsia="zh-CN"/>
        </w:rPr>
        <w:t>本项目</w:t>
      </w:r>
      <w:r>
        <w:rPr>
          <w:rFonts w:hint="eastAsia"/>
        </w:rPr>
        <w:t>运营期厂界</w:t>
      </w:r>
      <w:r>
        <w:t>噪声可满足《工业企业厂界环境噪声排放标准》（GB12348-2008）中3类区标准。另外，厂区厂界200km范围内无学校、医院及居民居住区等环境敏感点，项目运营产生的噪声不会对环境产生明显影响。</w:t>
      </w:r>
    </w:p>
    <w:p>
      <w:pPr>
        <w:ind w:firstLine="480"/>
      </w:pPr>
      <w:r>
        <w:rPr>
          <w:rFonts w:hint="eastAsia"/>
        </w:rPr>
        <w:t>综上所述</w:t>
      </w:r>
      <w:r>
        <w:t>，</w:t>
      </w:r>
      <w:r>
        <w:rPr>
          <w:rFonts w:hint="eastAsia"/>
        </w:rPr>
        <w:t>拟建项目运营期</w:t>
      </w:r>
      <w:r>
        <w:t>噪声治理措施可行</w:t>
      </w:r>
      <w:r>
        <w:rPr>
          <w:rFonts w:hint="eastAsia"/>
        </w:rPr>
        <w:t>，对周边环境影响较小</w:t>
      </w:r>
      <w:r>
        <w:t>。</w:t>
      </w:r>
    </w:p>
    <w:p>
      <w:pPr>
        <w:pStyle w:val="6"/>
        <w:ind w:firstLine="482"/>
      </w:pPr>
      <w:bookmarkStart w:id="1005" w:name="_Toc25827_WPSOffice_Level2"/>
      <w:bookmarkStart w:id="1006" w:name="_Toc22518_WPSOffice_Level2"/>
      <w:bookmarkStart w:id="1007" w:name="_Toc27707"/>
      <w:r>
        <w:rPr>
          <w:rFonts w:hint="eastAsia"/>
        </w:rPr>
        <w:t>1</w:t>
      </w:r>
      <w:r>
        <w:rPr>
          <w:rFonts w:hint="eastAsia"/>
          <w:lang w:val="en-US" w:eastAsia="zh-CN"/>
        </w:rPr>
        <w:t>1</w:t>
      </w:r>
      <w:r>
        <w:t>.4.4</w:t>
      </w:r>
      <w:r>
        <w:rPr>
          <w:rFonts w:hint="eastAsia"/>
        </w:rPr>
        <w:t>、</w:t>
      </w:r>
      <w:bookmarkEnd w:id="1005"/>
      <w:bookmarkEnd w:id="1006"/>
      <w:r>
        <w:rPr>
          <w:rFonts w:hint="eastAsia"/>
        </w:rPr>
        <w:t>固体废物</w:t>
      </w:r>
      <w:r>
        <w:t>环境影响分析及污染防治措施</w:t>
      </w:r>
      <w:bookmarkEnd w:id="1007"/>
    </w:p>
    <w:p>
      <w:pPr>
        <w:ind w:firstLine="482"/>
        <w:rPr>
          <w:b/>
          <w:bCs/>
        </w:rPr>
      </w:pPr>
      <w:r>
        <w:rPr>
          <w:rFonts w:hint="eastAsia"/>
          <w:b/>
          <w:bCs/>
        </w:rPr>
        <w:t>1、羊粪</w:t>
      </w:r>
    </w:p>
    <w:p>
      <w:pPr>
        <w:ind w:firstLine="480"/>
      </w:pPr>
      <w:r>
        <w:rPr>
          <w:rFonts w:hint="eastAsia"/>
        </w:rPr>
        <w:t>肉羊在待宰圈待宰过程中会产生一定量的羊粪，羊粪属于一般固废。羊粪全部日产日清，集中收集后拉运至厂区现有的有机肥生产车间作为原料使用。</w:t>
      </w:r>
    </w:p>
    <w:p>
      <w:pPr>
        <w:ind w:firstLine="482"/>
        <w:rPr>
          <w:b/>
          <w:bCs/>
        </w:rPr>
      </w:pPr>
      <w:r>
        <w:rPr>
          <w:rFonts w:hint="eastAsia"/>
          <w:b/>
          <w:bCs/>
        </w:rPr>
        <w:t>2、屠宰固废</w:t>
      </w:r>
    </w:p>
    <w:p>
      <w:pPr>
        <w:ind w:firstLine="480"/>
      </w:pPr>
      <w:r>
        <w:rPr>
          <w:rFonts w:hint="eastAsia"/>
        </w:rPr>
        <w:t>屠宰固废主要是指羊头蹄烫漂过程中产生的羊毛、羊蹄匣；白内脏处理过程产生的白内脏内容物等。屠宰固废全部为一般固废，屠宰固废全部集中收集后拉运至厂区现有的有机肥生产车间作为原料使用。</w:t>
      </w:r>
    </w:p>
    <w:p>
      <w:pPr>
        <w:ind w:firstLine="482"/>
        <w:rPr>
          <w:b/>
          <w:bCs/>
        </w:rPr>
      </w:pPr>
      <w:r>
        <w:rPr>
          <w:rFonts w:hint="eastAsia"/>
          <w:b/>
          <w:bCs/>
        </w:rPr>
        <w:t>3、酱卤及蒸煮固废</w:t>
      </w:r>
    </w:p>
    <w:p>
      <w:pPr>
        <w:ind w:firstLine="480"/>
      </w:pPr>
      <w:r>
        <w:t>酱卤及蒸煮固废是指在牛羊预制品和羊杂预制品生产过程中牛羊肉焯水过程中产生的血沫、浮油等；羊杂蒸煮过程中产生的血沫、浮油等以及在卤制</w:t>
      </w:r>
      <w:r>
        <w:rPr>
          <w:rFonts w:hint="eastAsia"/>
        </w:rPr>
        <w:t>、</w:t>
      </w:r>
      <w:r>
        <w:t>蒸煮过程中产生的废卤料</w:t>
      </w:r>
      <w:r>
        <w:rPr>
          <w:rFonts w:hint="eastAsia"/>
        </w:rPr>
        <w:t>、废调料</w:t>
      </w:r>
      <w:r>
        <w:t>。酱卤及蒸煮固废</w:t>
      </w:r>
      <w:r>
        <w:rPr>
          <w:rFonts w:hint="eastAsia"/>
        </w:rPr>
        <w:t>全部为一般固废，酱卤及蒸煮固废全部集中收集后拉运至厂区现有的有机肥生产车间作为原料使用。</w:t>
      </w:r>
    </w:p>
    <w:p>
      <w:pPr>
        <w:ind w:firstLine="482"/>
        <w:rPr>
          <w:b/>
          <w:bCs/>
        </w:rPr>
      </w:pPr>
      <w:r>
        <w:rPr>
          <w:rFonts w:hint="eastAsia"/>
          <w:b/>
          <w:bCs/>
        </w:rPr>
        <w:t>4、择菜固废</w:t>
      </w:r>
    </w:p>
    <w:p>
      <w:pPr>
        <w:ind w:firstLine="480"/>
      </w:pPr>
      <w:r>
        <w:rPr>
          <w:rFonts w:hint="eastAsia"/>
        </w:rPr>
        <w:t>择菜固废主要是指牛羊预制品生产线使用的蔬菜在择菜过程中产生的不能使用的根、茎、叶等固废。择菜固废全部为一般固废，择菜固废全部集中收集后拉运至厂区现有的有机肥生产车间作为原料使用。</w:t>
      </w:r>
    </w:p>
    <w:p>
      <w:pPr>
        <w:ind w:firstLine="482"/>
        <w:rPr>
          <w:b/>
          <w:bCs/>
        </w:rPr>
      </w:pPr>
      <w:r>
        <w:rPr>
          <w:rFonts w:hint="eastAsia"/>
          <w:b/>
          <w:bCs/>
        </w:rPr>
        <w:t>5、废包装</w:t>
      </w:r>
    </w:p>
    <w:p>
      <w:pPr>
        <w:ind w:firstLine="480"/>
      </w:pPr>
      <w:r>
        <w:rPr>
          <w:rFonts w:hint="eastAsia"/>
        </w:rPr>
        <w:t>废包装主要来自于牛羊预制品生产线，主要是指在调料、卤料使用过程中产生的包装固废以及在冷冻牛羊肉拆包过程中产生的废包装。废包装材料主要以废纸壳、废塑料为主，全部为一般固废，废包装集中收集后外售废旧回收单位统一处置。</w:t>
      </w:r>
    </w:p>
    <w:p>
      <w:pPr>
        <w:ind w:firstLine="482"/>
        <w:rPr>
          <w:b/>
          <w:bCs/>
        </w:rPr>
      </w:pPr>
      <w:r>
        <w:rPr>
          <w:rFonts w:hint="eastAsia"/>
          <w:b/>
          <w:bCs/>
        </w:rPr>
        <w:t>6、生活垃圾</w:t>
      </w:r>
    </w:p>
    <w:p>
      <w:pPr>
        <w:ind w:firstLine="480"/>
      </w:pPr>
      <w:r>
        <w:t>生活垃圾集中收集后</w:t>
      </w:r>
      <w:r>
        <w:rPr>
          <w:rFonts w:hint="eastAsia"/>
        </w:rPr>
        <w:t>交由园区</w:t>
      </w:r>
      <w:r>
        <w:t>环卫部门统一处理。</w:t>
      </w:r>
    </w:p>
    <w:p>
      <w:pPr>
        <w:ind w:firstLine="482"/>
        <w:rPr>
          <w:b/>
          <w:bCs/>
        </w:rPr>
      </w:pPr>
      <w:r>
        <w:rPr>
          <w:rFonts w:hint="eastAsia"/>
          <w:b/>
          <w:bCs/>
        </w:rPr>
        <w:t>7、病死羊</w:t>
      </w:r>
    </w:p>
    <w:p>
      <w:pPr>
        <w:ind w:firstLine="480"/>
      </w:pPr>
      <w:r>
        <w:rPr>
          <w:rFonts w:hint="eastAsia"/>
        </w:rPr>
        <w:t>病死羊主要是指肉羊在待宰过程中发生病患导致死亡的肉羊。查阅《国家危险废物名录（2021年版）》未将病死羊列入危废中，同时</w:t>
      </w:r>
      <w:r>
        <w:t>根据我国</w:t>
      </w:r>
      <w:r>
        <w:rPr>
          <w:rFonts w:hint="eastAsia"/>
          <w:lang w:val="en-US" w:eastAsia="zh-CN"/>
        </w:rPr>
        <w:t>《病死畜禽和病害畜禽产品无害化处理管理办法》（中华人民共和国农业农村部令，2022年第3号，自2022年7月1日起施行）</w:t>
      </w:r>
      <w:r>
        <w:rPr>
          <w:rFonts w:hint="eastAsia"/>
        </w:rPr>
        <w:t>中</w:t>
      </w:r>
      <w:r>
        <w:t>的规定</w:t>
      </w:r>
      <w:r>
        <w:rPr>
          <w:rFonts w:hint="eastAsia"/>
        </w:rPr>
        <w:t>要求</w:t>
      </w:r>
      <w:r>
        <w:t>，</w:t>
      </w:r>
      <w:r>
        <w:rPr>
          <w:rFonts w:hint="eastAsia"/>
        </w:rPr>
        <w:t>本项目运营期产生的</w:t>
      </w:r>
      <w:r>
        <w:t>病死</w:t>
      </w:r>
      <w:r>
        <w:rPr>
          <w:rFonts w:hint="eastAsia"/>
        </w:rPr>
        <w:t>羊需全部委托张掖市宏金雁再生能源科技发展有限责任公司进行无害化处理，</w:t>
      </w:r>
      <w:r>
        <w:t>严禁随意丢弃，严禁出售或作为饲料再利用。</w:t>
      </w:r>
    </w:p>
    <w:p>
      <w:pPr>
        <w:ind w:firstLine="482"/>
      </w:pPr>
      <w:r>
        <w:rPr>
          <w:rFonts w:hint="eastAsia"/>
          <w:b/>
          <w:bCs/>
        </w:rPr>
        <w:t>8、废活性炭</w:t>
      </w:r>
    </w:p>
    <w:p>
      <w:pPr>
        <w:ind w:firstLine="480"/>
      </w:pPr>
      <w:r>
        <w:rPr>
          <w:rFonts w:hint="eastAsia"/>
        </w:rPr>
        <w:t>本项目废活性炭主要是指在屠宰车间恶臭气体治理过程中产生的固废，废活性炭属于危险废物，建设单位需集中收集在危废暂存间后委托有资质的单位处置。</w:t>
      </w:r>
    </w:p>
    <w:p>
      <w:pPr>
        <w:ind w:firstLine="480"/>
      </w:pPr>
      <w:r>
        <w:t>综上</w:t>
      </w:r>
      <w:r>
        <w:rPr>
          <w:rFonts w:hint="eastAsia"/>
        </w:rPr>
        <w:t>所述</w:t>
      </w:r>
      <w:r>
        <w:t>，</w:t>
      </w:r>
      <w:r>
        <w:rPr>
          <w:rFonts w:hint="eastAsia"/>
        </w:rPr>
        <w:t>拟建项目运营期固体废物都得到了</w:t>
      </w:r>
      <w:r>
        <w:t>合理</w:t>
      </w:r>
      <w:r>
        <w:rPr>
          <w:rFonts w:hint="eastAsia"/>
        </w:rPr>
        <w:t>的</w:t>
      </w:r>
      <w:r>
        <w:t>处置，固废污染物</w:t>
      </w:r>
      <w:r>
        <w:rPr>
          <w:rFonts w:hint="eastAsia"/>
        </w:rPr>
        <w:t>不会对</w:t>
      </w:r>
      <w:r>
        <w:t>对环境产生危害，影响较小，防治措施可行。</w:t>
      </w:r>
    </w:p>
    <w:p>
      <w:pPr>
        <w:pStyle w:val="5"/>
        <w:spacing w:before="78" w:after="78"/>
        <w:ind w:firstLine="562"/>
      </w:pPr>
      <w:bookmarkStart w:id="1008" w:name="_Toc17429"/>
      <w:bookmarkStart w:id="1009" w:name="_Toc13772"/>
      <w:bookmarkStart w:id="1010" w:name="_Toc23370_WPSOffice_Level3"/>
      <w:r>
        <w:rPr>
          <w:rFonts w:hint="eastAsia"/>
        </w:rPr>
        <w:t>1</w:t>
      </w:r>
      <w:r>
        <w:rPr>
          <w:rFonts w:hint="eastAsia"/>
          <w:lang w:val="en-US" w:eastAsia="zh-CN"/>
        </w:rPr>
        <w:t>1</w:t>
      </w:r>
      <w:r>
        <w:rPr>
          <w:rFonts w:hint="eastAsia"/>
        </w:rPr>
        <w:t>.5、</w:t>
      </w:r>
      <w:bookmarkStart w:id="1011" w:name="_Toc15459"/>
      <w:r>
        <w:rPr>
          <w:rFonts w:hint="eastAsia"/>
        </w:rPr>
        <w:t>环境风险结论</w:t>
      </w:r>
      <w:bookmarkEnd w:id="1008"/>
      <w:bookmarkEnd w:id="1009"/>
      <w:bookmarkEnd w:id="1011"/>
    </w:p>
    <w:p>
      <w:pPr>
        <w:ind w:firstLine="480"/>
        <w:rPr>
          <w:szCs w:val="32"/>
        </w:rPr>
      </w:pPr>
      <w:r>
        <w:rPr>
          <w:rFonts w:hint="eastAsia"/>
        </w:rPr>
        <w:t>通过对</w:t>
      </w:r>
      <w:r>
        <w:t>本项目物质及生产设施风险识别分析，本项目无重大风险源，</w:t>
      </w:r>
      <w:r>
        <w:rPr>
          <w:rFonts w:hint="eastAsia"/>
        </w:rPr>
        <w:t>本环评认为本项目不构成重大危险源，在建设单位严格按照本环评的建议落实本环评提出的各项风险措施后，加强对员工的安全操作培训，加强对危险物质的管理，严格按照规范、操作规程操作，杜绝人为操作失误而引起的泄漏；落实各项环境管理措施，同时制定完善、有效的环境风险应急预案，保证在发生事故时能采取有效的措施及时控制事故，防止事故的蔓延，做好事后环境污染治理工作的前提下，项目发生环境风险的概率很小，项目的环境风险是可以接受的，</w:t>
      </w:r>
      <w:r>
        <w:t>项目建设是可行。</w:t>
      </w:r>
    </w:p>
    <w:p>
      <w:pPr>
        <w:pStyle w:val="5"/>
        <w:spacing w:before="78" w:after="78"/>
        <w:ind w:firstLine="562"/>
      </w:pPr>
      <w:bookmarkStart w:id="1012" w:name="_Toc25262"/>
      <w:bookmarkStart w:id="1013" w:name="_Toc10407"/>
      <w:bookmarkStart w:id="1014" w:name="_Toc22530"/>
      <w:r>
        <w:rPr>
          <w:rFonts w:hint="eastAsia"/>
        </w:rPr>
        <w:t>1</w:t>
      </w:r>
      <w:r>
        <w:rPr>
          <w:rFonts w:hint="eastAsia"/>
          <w:lang w:val="en-US" w:eastAsia="zh-CN"/>
        </w:rPr>
        <w:t>1</w:t>
      </w:r>
      <w:r>
        <w:rPr>
          <w:rFonts w:hint="eastAsia"/>
        </w:rPr>
        <w:t>.6、环境管理及监测计划</w:t>
      </w:r>
      <w:bookmarkEnd w:id="1012"/>
      <w:bookmarkEnd w:id="1013"/>
      <w:bookmarkEnd w:id="1014"/>
    </w:p>
    <w:p>
      <w:pPr>
        <w:ind w:firstLine="480"/>
      </w:pPr>
      <w:r>
        <w:rPr>
          <w:rFonts w:hint="eastAsia" w:ascii="宋体" w:hAnsi="宋体" w:cs="宋体"/>
          <w:kern w:val="0"/>
          <w:lang w:bidi="ar"/>
        </w:rPr>
        <w:t>本环评提出了环境管理及监测计划，建设单位应参照执行，必须制定全面的、长期的环境 管理制度，落实环境影响报告书提出的主要环保措施、环境监测计划、环境管理要求及制度和“三同时”验收内容。</w:t>
      </w:r>
    </w:p>
    <w:p>
      <w:pPr>
        <w:pStyle w:val="5"/>
        <w:spacing w:before="78" w:after="78"/>
        <w:ind w:firstLine="562"/>
      </w:pPr>
      <w:bookmarkStart w:id="1015" w:name="_Toc30140"/>
      <w:bookmarkStart w:id="1016" w:name="_Toc870"/>
      <w:r>
        <w:rPr>
          <w:rFonts w:hint="eastAsia"/>
        </w:rPr>
        <w:t>1</w:t>
      </w:r>
      <w:r>
        <w:rPr>
          <w:rFonts w:hint="eastAsia"/>
          <w:lang w:val="en-US" w:eastAsia="zh-CN"/>
        </w:rPr>
        <w:t>1</w:t>
      </w:r>
      <w:r>
        <w:rPr>
          <w:rFonts w:hint="eastAsia"/>
        </w:rPr>
        <w:t>.7、</w:t>
      </w:r>
      <w:r>
        <w:t>污染物排放总量控制和排污许可</w:t>
      </w:r>
      <w:r>
        <w:rPr>
          <w:rFonts w:hint="eastAsia"/>
        </w:rPr>
        <w:t>制度</w:t>
      </w:r>
      <w:bookmarkEnd w:id="1015"/>
      <w:bookmarkEnd w:id="1016"/>
    </w:p>
    <w:p>
      <w:pPr>
        <w:ind w:firstLine="482"/>
        <w:rPr>
          <w:b/>
          <w:bCs/>
        </w:rPr>
      </w:pPr>
      <w:r>
        <w:rPr>
          <w:rFonts w:hint="eastAsia"/>
          <w:b/>
          <w:bCs/>
        </w:rPr>
        <w:t>1、污染物排放总量控制</w:t>
      </w:r>
    </w:p>
    <w:p>
      <w:pPr>
        <w:ind w:firstLine="480"/>
      </w:pPr>
      <w:r>
        <w:t>项目运营阶段，厂区废水经污水处理站处理达标后用于厂区饲草灌溉，不再设置总量控制指标；</w:t>
      </w:r>
      <w:r>
        <w:rPr>
          <w:rFonts w:hint="eastAsia"/>
        </w:rPr>
        <w:t>运营期产生的废气主要为硫化氢和氨，根据大气污染物总量指标控制要求，拟建项目运营期无</w:t>
      </w:r>
      <w:r>
        <w:t>二氧化硫、氮氧化物、</w:t>
      </w:r>
      <w:r>
        <w:rPr>
          <w:rFonts w:hint="eastAsia"/>
        </w:rPr>
        <w:t>挥发性有机物产生，因此，也不设置大气污染物总量控制指标。</w:t>
      </w:r>
    </w:p>
    <w:p>
      <w:pPr>
        <w:ind w:firstLine="482"/>
        <w:rPr>
          <w:b/>
          <w:bCs/>
        </w:rPr>
      </w:pPr>
      <w:r>
        <w:rPr>
          <w:rFonts w:hint="eastAsia"/>
          <w:b/>
          <w:bCs/>
        </w:rPr>
        <w:t>2、</w:t>
      </w:r>
      <w:r>
        <w:rPr>
          <w:b/>
          <w:bCs/>
        </w:rPr>
        <w:t>排污许可</w:t>
      </w:r>
      <w:r>
        <w:rPr>
          <w:rFonts w:hint="eastAsia"/>
          <w:b/>
          <w:bCs/>
        </w:rPr>
        <w:t>制度</w:t>
      </w:r>
    </w:p>
    <w:p>
      <w:pPr>
        <w:ind w:firstLine="480"/>
        <w:rPr>
          <w:color w:val="FF0000"/>
        </w:rPr>
      </w:pPr>
      <w:r>
        <w:rPr>
          <w:color w:val="FF0000"/>
        </w:rPr>
        <w:t>根据《固定污染源排污许可分类管理名录（2017年版）》</w:t>
      </w:r>
      <w:r>
        <w:rPr>
          <w:rFonts w:hint="eastAsia"/>
          <w:color w:val="FF0000"/>
        </w:rPr>
        <w:t>可知</w:t>
      </w:r>
      <w:r>
        <w:rPr>
          <w:color w:val="FF0000"/>
        </w:rPr>
        <w:t>，本项目</w:t>
      </w:r>
      <w:r>
        <w:rPr>
          <w:rFonts w:hint="eastAsia"/>
          <w:color w:val="FF0000"/>
        </w:rPr>
        <w:t>为“八、农副食品加工业/13屠宰及肉类加工/年屠宰肉羊15万头及以上的”，实行重点管理。根据现场调查，现阶段公司已获得张掖市生态环境局核发申请排污许可证（证书编号：91620702MA74N7307H001V）），同时结合《排污许可证管理暂行规定》（环水体〔2016〕186号）中的要求，排污单位在原场址内实施新改扩建项目应当开展环境影响评价的，在通过环境影响评价审批或者备案后，产生实际排污行为之前二十日内应当向原核发机关提出变更排污许可证的申请。因此本项目建成后，在产生实际排污行为之前二十日内应当向张掖市生态环境局提交变更</w:t>
      </w:r>
      <w:r>
        <w:rPr>
          <w:color w:val="FF0000"/>
        </w:rPr>
        <w:t>排污许可</w:t>
      </w:r>
      <w:r>
        <w:rPr>
          <w:rFonts w:hint="eastAsia"/>
          <w:color w:val="FF0000"/>
        </w:rPr>
        <w:t>的</w:t>
      </w:r>
      <w:r>
        <w:rPr>
          <w:color w:val="FF0000"/>
        </w:rPr>
        <w:t>申请，经</w:t>
      </w:r>
      <w:r>
        <w:rPr>
          <w:rFonts w:hint="eastAsia"/>
          <w:color w:val="FF0000"/>
        </w:rPr>
        <w:t>张掖市生态环境局审核通过并</w:t>
      </w:r>
      <w:r>
        <w:rPr>
          <w:color w:val="FF0000"/>
        </w:rPr>
        <w:t>核发</w:t>
      </w:r>
      <w:r>
        <w:rPr>
          <w:rFonts w:hint="eastAsia"/>
          <w:color w:val="FF0000"/>
        </w:rPr>
        <w:t>变更后的</w:t>
      </w:r>
      <w:r>
        <w:rPr>
          <w:color w:val="FF0000"/>
        </w:rPr>
        <w:t>排污许可证后方可排污。</w:t>
      </w:r>
    </w:p>
    <w:p>
      <w:pPr>
        <w:pStyle w:val="5"/>
        <w:spacing w:before="78" w:after="78"/>
        <w:ind w:firstLine="562"/>
      </w:pPr>
      <w:bookmarkStart w:id="1017" w:name="_Toc3626"/>
      <w:bookmarkStart w:id="1018" w:name="_Toc19513"/>
      <w:bookmarkStart w:id="1019" w:name="_Toc13011"/>
      <w:r>
        <w:rPr>
          <w:rFonts w:hint="eastAsia"/>
        </w:rPr>
        <w:t>1</w:t>
      </w:r>
      <w:r>
        <w:rPr>
          <w:rFonts w:hint="eastAsia"/>
          <w:lang w:val="en-US" w:eastAsia="zh-CN"/>
        </w:rPr>
        <w:t>1</w:t>
      </w:r>
      <w:r>
        <w:rPr>
          <w:rFonts w:hint="eastAsia"/>
        </w:rPr>
        <w:t>.8、环境经济损益分析</w:t>
      </w:r>
      <w:bookmarkEnd w:id="1017"/>
      <w:bookmarkEnd w:id="1018"/>
      <w:bookmarkEnd w:id="1019"/>
    </w:p>
    <w:p>
      <w:pPr>
        <w:ind w:firstLine="480"/>
      </w:pPr>
      <w:r>
        <w:rPr>
          <w:rFonts w:hint="eastAsia"/>
        </w:rPr>
        <w:t>通过以上对本工程建设的社会、经济和环境效益分析可知，在落实工程设计和环境影响评价所提出各项污染防治措施的前提下，项目的建设基本能够实现经济效益、社会效益和环境效益相统一的要求，不仅为地方经济发展做出贡献，同时还通过采取相应的环保投资减少了污染物排放量，最大限度地减轻了对外环境的污染。项目的建设原则满足可持续发展的要求，从环境经济的角度而言，项目实施具有良好的社会效益、经济效益及环境效应。</w:t>
      </w:r>
    </w:p>
    <w:p>
      <w:pPr>
        <w:pStyle w:val="5"/>
        <w:spacing w:before="78" w:after="78"/>
        <w:ind w:firstLine="562"/>
      </w:pPr>
      <w:bookmarkStart w:id="1020" w:name="_Toc6331"/>
      <w:bookmarkStart w:id="1021" w:name="_Toc17710"/>
      <w:bookmarkStart w:id="1022" w:name="_Toc20824"/>
      <w:r>
        <w:rPr>
          <w:rFonts w:hint="eastAsia"/>
        </w:rPr>
        <w:t>1</w:t>
      </w:r>
      <w:r>
        <w:rPr>
          <w:rFonts w:hint="eastAsia"/>
          <w:lang w:val="en-US" w:eastAsia="zh-CN"/>
        </w:rPr>
        <w:t>1</w:t>
      </w:r>
      <w:r>
        <w:t>.</w:t>
      </w:r>
      <w:r>
        <w:rPr>
          <w:rFonts w:hint="eastAsia"/>
        </w:rPr>
        <w:t>9、</w:t>
      </w:r>
      <w:r>
        <w:t>环保投资概算</w:t>
      </w:r>
      <w:bookmarkEnd w:id="1020"/>
      <w:bookmarkEnd w:id="1021"/>
    </w:p>
    <w:p>
      <w:pPr>
        <w:ind w:firstLine="480"/>
      </w:pPr>
      <w:r>
        <w:rPr>
          <w:rFonts w:hint="eastAsia"/>
        </w:rPr>
        <w:t>本项目</w:t>
      </w:r>
      <w:r>
        <w:rPr>
          <w:rFonts w:hint="eastAsia"/>
          <w:lang w:val="en-US" w:eastAsia="zh-CN"/>
        </w:rPr>
        <w:t>计划</w:t>
      </w:r>
      <w:r>
        <w:rPr>
          <w:rFonts w:hint="eastAsia"/>
        </w:rPr>
        <w:t>总投资</w:t>
      </w:r>
      <w:r>
        <w:rPr>
          <w:rFonts w:hint="eastAsia"/>
          <w:lang w:val="en-US" w:eastAsia="zh-CN"/>
        </w:rPr>
        <w:t>6000</w:t>
      </w:r>
      <w:r>
        <w:rPr>
          <w:rFonts w:hint="eastAsia"/>
        </w:rPr>
        <w:t>万元，</w:t>
      </w:r>
      <w:r>
        <w:rPr>
          <w:rFonts w:hint="eastAsia"/>
          <w:lang w:val="en-US" w:eastAsia="zh-CN"/>
        </w:rPr>
        <w:t>计划</w:t>
      </w:r>
      <w:r>
        <w:rPr>
          <w:rFonts w:hint="eastAsia"/>
        </w:rPr>
        <w:t>环保投资</w:t>
      </w:r>
      <w:r>
        <w:rPr>
          <w:rFonts w:hint="eastAsia"/>
          <w:lang w:val="en-US" w:eastAsia="zh-CN"/>
        </w:rPr>
        <w:t>142.2</w:t>
      </w:r>
      <w:r>
        <w:rPr>
          <w:rFonts w:hint="eastAsia"/>
        </w:rPr>
        <w:t>万元，占总投资的</w:t>
      </w:r>
      <w:r>
        <w:rPr>
          <w:rFonts w:hint="eastAsia"/>
          <w:lang w:val="en-US" w:eastAsia="zh-CN"/>
        </w:rPr>
        <w:t>2.37</w:t>
      </w:r>
      <w:r>
        <w:rPr>
          <w:rFonts w:hint="eastAsia"/>
        </w:rPr>
        <w:t>%</w:t>
      </w:r>
      <w:r>
        <w:t>。</w:t>
      </w:r>
    </w:p>
    <w:p>
      <w:pPr>
        <w:pStyle w:val="5"/>
        <w:spacing w:before="78" w:after="78"/>
        <w:ind w:firstLine="562"/>
      </w:pPr>
      <w:bookmarkStart w:id="1023" w:name="_Toc701"/>
      <w:bookmarkStart w:id="1024" w:name="_Toc20390"/>
      <w:r>
        <w:rPr>
          <w:rFonts w:hint="eastAsia"/>
        </w:rPr>
        <w:t>1</w:t>
      </w:r>
      <w:r>
        <w:rPr>
          <w:rFonts w:hint="eastAsia"/>
          <w:lang w:val="en-US" w:eastAsia="zh-CN"/>
        </w:rPr>
        <w:t>1</w:t>
      </w:r>
      <w:r>
        <w:rPr>
          <w:rFonts w:hint="eastAsia"/>
        </w:rPr>
        <w:t>.10、公众参与</w:t>
      </w:r>
      <w:bookmarkEnd w:id="1022"/>
      <w:bookmarkEnd w:id="1023"/>
      <w:bookmarkEnd w:id="1024"/>
    </w:p>
    <w:p>
      <w:pPr>
        <w:ind w:firstLine="480"/>
        <w:rPr>
          <w:color w:val="FF0000"/>
        </w:rPr>
      </w:pPr>
      <w:r>
        <w:rPr>
          <w:color w:val="FF0000"/>
        </w:rPr>
        <w:t>本现状环境影响评估评价公告按照《环境影响评价公众参与办法》（部令第4号，2018年7月16日公布）要求进行了两次公示，公示期间，未收到电话、留言、信件等各类方式的意见及建议回馈，公众参与结论主要基于现场调查过程中进行的问卷调查所收集信息。</w:t>
      </w:r>
    </w:p>
    <w:p>
      <w:pPr>
        <w:ind w:firstLine="480"/>
      </w:pPr>
      <w:r>
        <w:rPr>
          <w:color w:val="FF0000"/>
        </w:rPr>
        <w:t>本次调查基本上反映了公众对该项目环境影响评估的意见，达到了公众参与的目的，可以概括为：本环境影响评价得到了公众的理解与支持，</w:t>
      </w:r>
      <w:r>
        <w:rPr>
          <w:rFonts w:hint="eastAsia"/>
          <w:color w:val="FF0000"/>
        </w:rPr>
        <w:t>公众</w:t>
      </w:r>
      <w:r>
        <w:rPr>
          <w:color w:val="FF0000"/>
        </w:rPr>
        <w:t>认为该项目的运行有利于</w:t>
      </w:r>
      <w:r>
        <w:rPr>
          <w:rFonts w:hint="eastAsia"/>
          <w:color w:val="FF0000"/>
        </w:rPr>
        <w:t>张掖市甘州区经济发展</w:t>
      </w:r>
      <w:r>
        <w:rPr>
          <w:color w:val="FF0000"/>
        </w:rPr>
        <w:t>。</w:t>
      </w:r>
      <w:r>
        <w:rPr>
          <w:rFonts w:hint="eastAsia"/>
          <w:color w:val="FF0000"/>
        </w:rPr>
        <w:t>项目运营过程中虽然对周边环境产生了一定的影响，但其影响是可以接受的</w:t>
      </w:r>
      <w:r>
        <w:t>。</w:t>
      </w:r>
    </w:p>
    <w:bookmarkEnd w:id="1010"/>
    <w:p>
      <w:pPr>
        <w:pStyle w:val="5"/>
        <w:spacing w:before="78" w:after="78"/>
        <w:ind w:firstLine="562"/>
      </w:pPr>
      <w:bookmarkStart w:id="1025" w:name="_Toc723_WPSOffice_Level3"/>
      <w:bookmarkStart w:id="1026" w:name="_Toc23286"/>
      <w:bookmarkStart w:id="1027" w:name="_Toc24946"/>
      <w:r>
        <w:rPr>
          <w:rFonts w:hint="eastAsia"/>
        </w:rPr>
        <w:t>1</w:t>
      </w:r>
      <w:r>
        <w:rPr>
          <w:rFonts w:hint="eastAsia"/>
          <w:lang w:val="en-US" w:eastAsia="zh-CN"/>
        </w:rPr>
        <w:t>1</w:t>
      </w:r>
      <w:r>
        <w:rPr>
          <w:rFonts w:hint="eastAsia"/>
        </w:rPr>
        <w:t>.1</w:t>
      </w:r>
      <w:r>
        <w:rPr>
          <w:rFonts w:hint="eastAsia"/>
          <w:lang w:val="en-US" w:eastAsia="zh-CN"/>
        </w:rPr>
        <w:t>1</w:t>
      </w:r>
      <w:r>
        <w:rPr>
          <w:rFonts w:hint="eastAsia"/>
        </w:rPr>
        <w:t>、</w:t>
      </w:r>
      <w:r>
        <w:t>综合评价结论</w:t>
      </w:r>
      <w:bookmarkEnd w:id="1025"/>
      <w:bookmarkEnd w:id="1026"/>
      <w:bookmarkEnd w:id="1027"/>
    </w:p>
    <w:p>
      <w:pPr>
        <w:pStyle w:val="82"/>
        <w:ind w:firstLine="472" w:firstLineChars="197"/>
        <w:rPr>
          <w:kern w:val="18"/>
        </w:rPr>
      </w:pPr>
      <w:r>
        <w:t>综上所述，本项目符合国家产业政策，符合</w:t>
      </w:r>
      <w:r>
        <w:rPr>
          <w:rFonts w:hint="eastAsia"/>
        </w:rPr>
        <w:t>相关政策和</w:t>
      </w:r>
      <w:r>
        <w:rPr>
          <w:kern w:val="0"/>
        </w:rPr>
        <w:t>规划要求；选址合理；</w:t>
      </w:r>
      <w:r>
        <w:t>项目区域周围环境空气、地表水、地下水、声环境和土壤环境质量现状良好；虽然在项目建设和运营过程中对当地环境会造成一定的不利影响，可通过采取本次环评提出的各项环境保护措施及监控管理措施进行预防保护、减免、控制和恢复，各项污染物均能实施达标排放</w:t>
      </w:r>
      <w:r>
        <w:rPr>
          <w:kern w:val="18"/>
        </w:rPr>
        <w:t>。</w:t>
      </w:r>
    </w:p>
    <w:p>
      <w:pPr>
        <w:ind w:firstLine="480"/>
      </w:pPr>
      <w:r>
        <w:rPr>
          <w:kern w:val="18"/>
        </w:rPr>
        <w:t>因此，本评价认为，建设单位在切实落实本报告提出的各项环境保护措施和管理对策，减免各种不利影响，</w:t>
      </w:r>
      <w:r>
        <w:t>并严格执行环境保护“三同时”制度，确保污染治理设施正常运转的前提下</w:t>
      </w:r>
      <w:r>
        <w:rPr>
          <w:kern w:val="18"/>
        </w:rPr>
        <w:t>，可使本项目对环境的不利影响降低至可接受的水平</w:t>
      </w:r>
      <w:r>
        <w:t>。从环保角度看，本项目的建设是可行的。</w:t>
      </w:r>
    </w:p>
    <w:p>
      <w:pPr>
        <w:pStyle w:val="5"/>
        <w:spacing w:before="78" w:after="78"/>
        <w:ind w:firstLine="562"/>
      </w:pPr>
      <w:bookmarkStart w:id="1028" w:name="_Toc7799"/>
      <w:bookmarkStart w:id="1029" w:name="_Toc3522"/>
      <w:bookmarkStart w:id="1030" w:name="_Toc476086570"/>
      <w:bookmarkStart w:id="1031" w:name="_Toc24747"/>
      <w:bookmarkStart w:id="1032" w:name="_Toc536"/>
      <w:bookmarkStart w:id="1033" w:name="_Toc31009_WPSOffice_Level3"/>
      <w:bookmarkStart w:id="1034" w:name="_Toc30489"/>
      <w:bookmarkStart w:id="1035" w:name="_Toc18710"/>
      <w:r>
        <w:rPr>
          <w:rFonts w:hint="eastAsia"/>
        </w:rPr>
        <w:t>1</w:t>
      </w:r>
      <w:r>
        <w:rPr>
          <w:rFonts w:hint="eastAsia"/>
          <w:lang w:val="en-US" w:eastAsia="zh-CN"/>
        </w:rPr>
        <w:t>1</w:t>
      </w:r>
      <w:r>
        <w:rPr>
          <w:rFonts w:hint="eastAsia"/>
        </w:rPr>
        <w:t>.13、</w:t>
      </w:r>
      <w:r>
        <w:t>建议</w:t>
      </w:r>
      <w:bookmarkEnd w:id="1028"/>
      <w:bookmarkEnd w:id="1029"/>
      <w:bookmarkEnd w:id="1030"/>
      <w:bookmarkEnd w:id="1031"/>
      <w:bookmarkEnd w:id="1032"/>
      <w:bookmarkEnd w:id="1033"/>
      <w:bookmarkEnd w:id="1034"/>
      <w:bookmarkEnd w:id="1035"/>
    </w:p>
    <w:p>
      <w:pPr>
        <w:ind w:firstLine="480"/>
      </w:pPr>
      <w:r>
        <w:rPr>
          <w:rFonts w:hint="eastAsia"/>
        </w:rPr>
        <w:t>1、</w:t>
      </w:r>
      <w:r>
        <w:t>建设单位应加强环境管理及监管，增强环境保护意识，切实落实本报告提出的各项环保措施，定期检修维护设备，确保设备正常运行，污染物达标排放；</w:t>
      </w:r>
    </w:p>
    <w:p>
      <w:pPr>
        <w:ind w:firstLine="480"/>
      </w:pPr>
      <w:r>
        <w:rPr>
          <w:rFonts w:hint="eastAsia"/>
        </w:rPr>
        <w:t>2、</w:t>
      </w:r>
      <w:r>
        <w:t>建立健全固体废物收集、处理、处置措施，各类固体废物处置应遵循“分类、回收利用、减量化、无公害、分散与集中处理相结合”这五个原则；</w:t>
      </w:r>
    </w:p>
    <w:p>
      <w:pPr>
        <w:ind w:firstLine="480"/>
      </w:pPr>
      <w:r>
        <w:rPr>
          <w:rFonts w:hint="eastAsia"/>
        </w:rPr>
        <w:t>3、</w:t>
      </w:r>
      <w:r>
        <w:t>加强知识培训及技术培训，由专人负责设施设备的操作、检修及维护，同时建立环保设施运行台账，确保环保设施运行良好；</w:t>
      </w:r>
    </w:p>
    <w:p>
      <w:pPr>
        <w:ind w:firstLine="480"/>
      </w:pPr>
      <w:r>
        <w:rPr>
          <w:rFonts w:hint="eastAsia"/>
        </w:rPr>
        <w:t>4、</w:t>
      </w:r>
      <w:r>
        <w:t>开展危险废物收集、暂存培训，提高危废管理水平；</w:t>
      </w:r>
    </w:p>
    <w:p>
      <w:pPr>
        <w:ind w:firstLine="480"/>
      </w:pPr>
      <w:r>
        <w:rPr>
          <w:rFonts w:hint="eastAsia"/>
        </w:rPr>
        <w:t>5、</w:t>
      </w:r>
      <w:r>
        <w:t>积极宣传环保知识，对职工进行环保教育，提高职工环保意识。</w:t>
      </w:r>
    </w:p>
    <w:p>
      <w:pPr>
        <w:ind w:firstLine="480"/>
      </w:pPr>
    </w:p>
    <w:sectPr>
      <w:pgSz w:w="11906" w:h="16838"/>
      <w:pgMar w:top="1440" w:right="1080" w:bottom="1440" w:left="1080" w:header="851" w:footer="850" w:gutter="0"/>
      <w:pgBorders>
        <w:top w:val="none" w:sz="0" w:space="0"/>
        <w:left w:val="none" w:sz="0" w:space="0"/>
        <w:bottom w:val="none" w:sz="0" w:space="0"/>
        <w:right w:val="none" w:sz="0" w:space="0"/>
      </w:pgBorders>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Windows User" w:date="2022-07-31T21:43:00Z" w:initials="WU">
    <w:p w14:paraId="095B3828">
      <w:pPr>
        <w:pStyle w:val="11"/>
      </w:pPr>
      <w:r>
        <w:rPr>
          <w:rFonts w:hint="eastAsia"/>
        </w:rPr>
        <w:t>同上</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95B382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jc w:val="right"/>
      <w:rPr>
        <w:rFonts w:ascii="楷体" w:hAnsi="楷体" w:eastAsia="楷体" w:cs="楷体"/>
        <w:szCs w:val="18"/>
      </w:rPr>
    </w:pPr>
    <w:r>
      <w:rPr>
        <w:rFonts w:hint="eastAsia" w:ascii="楷体" w:hAnsi="楷体" w:eastAsia="楷体" w:cs="楷体"/>
        <w:szCs w:val="18"/>
      </w:rPr>
      <w:t>甘肃聚泰园环保科技有限公司</w:t>
    </w:r>
    <w:r>
      <w:rPr>
        <w:rFonts w:hint="eastAsia" w:ascii="楷体" w:hAnsi="楷体" w:eastAsia="楷体" w:cs="楷体"/>
        <w:szCs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29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92"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hnQIU1AgAAZgQAAA4AAABkcnMvZTJvRG9jLnhtbK1UzY7TMBC+I/EO&#10;lu80bRFLt2q6KlsVIVXsSgVxdh2nieQ/2W6T8gDwBpy47J3n6nPw2Wm6aOGwBy7p2DP+Zr5vZjq7&#10;aZUkB+F8bXROR4MhJUJzU9R6l9PPn1avJpT4wHTBpNEip0fh6c385YtZY6dibCojC+EIQLSfNjan&#10;VQh2mmWeV0IxPzBWaDhL4xQLOLpdVjjWAF3JbDwcXmWNcYV1hgvvcbvsnPSM6J4DaMqy5mJp+F4J&#10;HTpUJyQLoOSr2no6T9WWpeDhriy9CETmFExD+iIJ7G38ZvMZm+4cs1XNzyWw55TwhJNitUbSC9SS&#10;BUb2rv4LStXcGW/KMOBGZR2RpAhYjIZPtNlUzIrEBVJ7exHd/z9Y/vFw70hd5PTtNSWaKXT89OP7&#10;6eev08M3Mr4eR4Ua66cI3FiEhvadaTE3/b3HZSTelk7FX1Ai8EPf40Vf0QbC46PJeDIZwsXh6w/A&#10;zx6fW+fDe2EUiUZOHRqYdGWHtQ9daB8Ss2mzqqVMTZSaNDm9ev1mmB5cPACXOsaKNA5nmEipKz1a&#10;od22Z55bUxxB05luVLzlqxqlrJkP98xhNlA+tifc4VNKg5TmbFFSGff1X/cxHi2Dl5IGs5ZTjdWi&#10;RH7QaCUAQ2+43tj2ht6rW4PhHWErLU8mHrgge7N0Rn3BSi1iDriY5siU09Cbt6Gbd6wkF4tFCsLw&#10;WRbWemN5hI7yeLvYB8iZVI6idEqgO/GA8Ut9Oq9KnO8/zynq8e9h/h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2GdAhTUCAABmBAAADgAAAAAAAAABACAAAAAfAQAAZHJzL2Uyb0RvYy54bWxQ&#10;SwUGAAAAAAYABgBZAQAAxgUAAAAA&#10;">
              <v:fill on="f" focussize="0,0"/>
              <v:stroke on="f" weight="0.5pt"/>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sz w:val="21"/>
        <w:szCs w:val="21"/>
      </w:rPr>
    </w:pPr>
    <w:r>
      <w:rPr>
        <w:rFonts w:hint="eastAsia" w:ascii="楷体_GB2312" w:hAnsi="楷体_GB2312" w:eastAsia="楷体_GB2312" w:cs="楷体_GB2312"/>
        <w:sz w:val="21"/>
        <w:szCs w:val="21"/>
      </w:rPr>
      <w:t>甘肃聚泰园环保科技有限公司</w:t>
    </w:r>
    <w:r>
      <w:rPr>
        <w:rFonts w:hint="eastAsia" w:ascii="楷体_GB2312" w:hAnsi="楷体_GB2312" w:eastAsia="楷体_GB2312" w:cs="楷体_GB2312"/>
        <w:sz w:val="21"/>
        <w:szCs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0" name="文本框 12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UYrVU0AgAAaQQAAA4AAABkcnMvZTJvRG9jLnhtbK1UzY7TMBC+I/EO&#10;lu80bYFVVTVdla2KkCp2pYI4u47TRPKfbLdJeQB4A05cuO9z9Tn47DQtWjjsgYsznhl/M/PNTGa3&#10;rZLkIJyvjc7paDCkRGhuilrvcvr50+rVhBIfmC6YNFrk9Cg8vZ2/fDFr7FSMTWVkIRwBiPbTxua0&#10;CsFOs8zzSijmB8YKDWNpnGIBV7fLCscaoCuZjYfDm6wxrrDOcOE9tMvOSM+I7jmApixrLpaG75XQ&#10;oUN1QrKAknxVW0/nKduyFDzcl6UXgcicotKQTgSBvI1nNp+x6c4xW9X8nAJ7TgpPalKs1gh6gVqy&#10;wMje1X9BqZo7400ZBtyorCskMYIqRsMn3GwqZkWqBVR7eyHd/z9Y/vHw4EhdYBLGb0CKZgo9P/34&#10;fvr5ePr1jSQtSGqsn8J3Y+Ed2nemxYNIXtR7KGPtbelU/KIqAjvQjheKRRsIj48m48lkCBOHrb8A&#10;J7s+t86H98IoEoWcOvQwUcsOax86194lRtNmVUsJPZtKTZqc3rx+O0wPLhaASx0dRJqIM8w19SiF&#10;dtue69ma4ogynemmxVu+qpHKmvnwwBzGA+ljgcI9jlIahDRniZLKuK//0kd/dA1WShqMW041tosS&#10;+UGjmwAMveB6YdsLeq/uDOZ3hMW0PIl44ILsxdIZ9QVbtYgxYGKaI1JOQy/ehW7ksZVcLBbJCfNn&#10;WVjrjeUROtLj7WIfQGdiOZLSMYHuxAsmMPXpvC1xxP+8J6/rH2L+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lGK1VNAIAAGkEAAAOAAAAAAAAAAEAIAAAAB8BAABkcnMvZTJvRG9jLnhtbFBL&#10;BQYAAAAABgAGAFkBAADFBQAAAAA=&#10;">
              <v:fill on="f" focussize="0,0"/>
              <v:stroke on="f" weight="0.5pt"/>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16</w:t>
                    </w:r>
                    <w:r>
                      <w:rPr>
                        <w:rFonts w:hint="eastAsia"/>
                        <w:sz w:val="18"/>
                      </w:rPr>
                      <w:fldChar w:fldCharType="end"/>
                    </w:r>
                  </w:p>
                </w:txbxContent>
              </v:textbox>
            </v:shape>
          </w:pict>
        </mc:Fallback>
      </mc:AlternateContent>
    </w:r>
  </w:p>
  <w:p>
    <w:pPr>
      <w:pStyle w:val="1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sz w:val="21"/>
        <w:szCs w:val="21"/>
      </w:rPr>
    </w:pPr>
    <w:r>
      <w:rPr>
        <w:rFonts w:hint="eastAsia" w:ascii="楷体_GB2312" w:hAnsi="楷体_GB2312" w:eastAsia="楷体_GB2312" w:cs="楷体_GB2312"/>
        <w:sz w:val="21"/>
        <w:szCs w:val="21"/>
      </w:rPr>
      <w:t>甘肃聚泰园环保科技有限公司</w:t>
    </w:r>
    <w:r>
      <w:rPr>
        <w:rFonts w:hint="eastAsia" w:ascii="楷体_GB2312" w:hAnsi="楷体_GB2312" w:eastAsia="楷体_GB2312" w:cs="楷体_GB2312"/>
        <w:sz w:val="21"/>
        <w:szCs w:val="21"/>
      </w:rPr>
      <mc:AlternateContent>
        <mc:Choice Requires="wps">
          <w:drawing>
            <wp:anchor distT="0" distB="0" distL="114300" distR="114300" simplePos="0" relativeHeight="251669504" behindDoc="0" locked="0" layoutInCell="1" allowOverlap="1">
              <wp:simplePos x="0" y="0"/>
              <wp:positionH relativeFrom="margin">
                <wp:posOffset>2546985</wp:posOffset>
              </wp:positionH>
              <wp:positionV relativeFrom="paragraph">
                <wp:posOffset>0</wp:posOffset>
              </wp:positionV>
              <wp:extent cx="1828800" cy="18288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215</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0.55pt;margin-top:0pt;height:144pt;width:144pt;mso-position-horizontal-relative:margin;mso-wrap-style:none;z-index:251669504;mso-width-relative:page;mso-height-relative:page;" filled="f" stroked="f" coordsize="21600,21600" o:gfxdata="UEsDBAoAAAAAAIdO4kAAAAAAAAAAAAAAAAAEAAAAZHJzL1BLAwQUAAAACACHTuJAFOyX8NQAAAAI&#10;AQAADwAAAGRycy9kb3ducmV2LnhtbE2PwU7DMBBE70j8g7VI3KidUlUhxKlERTgi0fTA0Y2XJBCv&#10;I9tNw9+znOA4mtHMm3K3uFHMGOLgSUO2UiCQWm8H6jQcm/ouBxGTIWtGT6jhGyPsquur0hTWX+gN&#10;50PqBJdQLIyGPqWpkDK2PToTV35CYu/DB2cSy9BJG8yFy90o10ptpTMD8UJvJtz32H4dzk7Dvm6a&#10;MGMM4zu+1Pefr08bfF60vr3J1COIhEv6C8MvPqNDxUwnfyYbxahho7KMoxr4Edvb/IHlScM6zxXI&#10;qpT/D1Q/UEsDBBQAAAAIAIdO4kAfyhH/MQIAAGcEAAAOAAAAZHJzL2Uyb0RvYy54bWytVM2O0zAQ&#10;viPxDpbvNG0Rq6pquipbFSFV7EoL4uw6ThPJf7LdJuUB4A04ceHOc/U59rOTdGHhsAcuznhm/M3M&#10;NzNZXLdKkqNwvjY6p5PRmBKhuSlqvc/pp4+bVzNKfGC6YNJokdOT8PR6+fLForFzMTWVkYVwBCDa&#10;zxub0yoEO88yzyuhmB8ZKzSMpXGKBVzdPisca4CuZDYdj6+yxrjCOsOF99CuOyPtEd1zAE1Z1lys&#10;DT8ooUOH6oRkASX5qraeLlO2ZSl4uC1LLwKROUWlIZ0IAnkXz2y5YPO9Y7aqeZ8Ce04KT2pSrNYI&#10;eoFas8DIwdV/QamaO+NNGUbcqKwrJDGCKibjJ9zcV8yKVAuo9vZCuv9/sPzD8c6RusAkvAEnmim0&#10;/Pz92/nHr/PPryQqQVFj/Rye9xa+oX1rWrgPeg9lrLwtnYpf1ERgB9jpQrBoA+Hx0Ww6m41h4rAN&#10;F+Bnj8+t8+GdMIpEIacOHUzEsuPWh851cInRtNnUUqYuSk2anF69Rsp/WAAuddSINA89TCypSz1K&#10;od21fZ07U5xQpjPdrHjLNzVS2TIf7pjDcCB9rE+4xVFKg5CmlyipjPvyL330R89gpaTBsOVUY7co&#10;ke81egnAMAhuEHaDoA/qxmB6J1hLy5OIBy7IQSydUZ+xU6sYAyamOSLlNAziTegGHjvJxWqVnDB9&#10;loWtvrc8Qkd6vF0dAuhMLEdSOibQnXjB/KU+9bsSB/z3e/J6/D8sH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U7Jfw1AAAAAgBAAAPAAAAAAAAAAEAIAAAACIAAABkcnMvZG93bnJldi54bWxQSwEC&#10;FAAUAAAACACHTuJAH8oR/zECAABnBAAADgAAAAAAAAABACAAAAAjAQAAZHJzL2Uyb0RvYy54bWxQ&#10;SwUGAAAAAAYABgBZAQAAxgUAAAAA&#10;">
              <v:fill on="f" focussize="0,0"/>
              <v:stroke on="f" weight="0.5pt"/>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215</w:t>
                    </w:r>
                    <w:r>
                      <w:rPr>
                        <w:rFonts w:hint="eastAsia"/>
                        <w:sz w:val="18"/>
                      </w:rPr>
                      <w:fldChar w:fldCharType="end"/>
                    </w:r>
                  </w:p>
                </w:txbxContent>
              </v:textbox>
            </v:shape>
          </w:pict>
        </mc:Fallback>
      </mc:AlternateContent>
    </w:r>
  </w:p>
  <w:p>
    <w:pPr>
      <w:pStyle w:val="12"/>
      <w:spacing w:line="14" w:lineRule="auto"/>
      <w:ind w:firstLine="40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left" w:pos="4769"/>
      </w:tabs>
      <w:ind w:firstLine="36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inThickSmallGap" w:color="auto" w:sz="12" w:space="1"/>
      </w:pBdr>
      <w:spacing w:line="240" w:lineRule="auto"/>
      <w:ind w:firstLine="361"/>
      <w:jc w:val="center"/>
      <w:rPr>
        <w:rFonts w:ascii="楷体_GB2312" w:hAnsi="楷体_GB2312" w:eastAsia="楷体_GB2312" w:cs="楷体_GB2312"/>
        <w:b/>
        <w:bCs/>
      </w:rPr>
    </w:pPr>
    <w:r>
      <w:rPr>
        <w:rFonts w:hint="eastAsia" w:ascii="楷体_GB2312" w:hAnsi="楷体_GB2312" w:eastAsia="楷体_GB2312" w:cs="楷体_GB2312"/>
        <w:b/>
        <w:bCs/>
      </w:rPr>
      <w:t>60万只肉羊精深分割及牛羊预制品加工项目环境影响报告书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inThickSmallGap" w:color="auto" w:sz="12" w:space="1"/>
      </w:pBdr>
      <w:spacing w:line="240" w:lineRule="auto"/>
      <w:ind w:firstLine="361"/>
      <w:jc w:val="center"/>
      <w:rPr>
        <w:rFonts w:ascii="楷体_GB2312" w:hAnsi="楷体_GB2312" w:eastAsia="楷体_GB2312" w:cs="楷体_GB2312"/>
        <w:b/>
        <w:bCs/>
      </w:rPr>
    </w:pPr>
    <w:r>
      <w:rPr>
        <w:rFonts w:hint="eastAsia" w:ascii="楷体_GB2312" w:hAnsi="楷体_GB2312" w:eastAsia="楷体_GB2312" w:cs="楷体_GB2312"/>
        <w:b/>
        <w:bCs/>
      </w:rPr>
      <w:t>60万只肉羊精深分割及牛羊预制品加工项目环境影响报告书</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thinThickSmallGap" w:color="auto" w:sz="12" w:space="1"/>
      </w:pBdr>
      <w:spacing w:line="240" w:lineRule="auto"/>
      <w:ind w:firstLine="361"/>
      <w:jc w:val="center"/>
      <w:rPr>
        <w:rFonts w:ascii="楷体_GB2312" w:hAnsi="楷体_GB2312" w:eastAsia="楷体_GB2312" w:cs="楷体_GB2312"/>
        <w:b/>
        <w:bCs/>
      </w:rPr>
    </w:pPr>
    <w:r>
      <w:rPr>
        <w:rFonts w:hint="eastAsia" w:ascii="楷体_GB2312" w:hAnsi="楷体_GB2312" w:eastAsia="楷体_GB2312" w:cs="楷体_GB2312"/>
        <w:b/>
        <w:bCs/>
      </w:rPr>
      <w:t>60万只肉羊精深分割及牛羊预制品加工项目环境影响报告书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65"/>
      <w:lvlText w:val=""/>
      <w:lvlJc w:val="left"/>
      <w:pPr>
        <w:tabs>
          <w:tab w:val="left" w:pos="360"/>
        </w:tabs>
        <w:ind w:left="360" w:hanging="360"/>
      </w:pPr>
      <w:rPr>
        <w:rFonts w:hint="default" w:ascii="Wingdings" w:hAnsi="Wingdings"/>
      </w:rPr>
    </w:lvl>
  </w:abstractNum>
  <w:abstractNum w:abstractNumId="1">
    <w:nsid w:val="6AC55E6A"/>
    <w:multiLevelType w:val="multilevel"/>
    <w:tmpl w:val="6AC55E6A"/>
    <w:lvl w:ilvl="0" w:tentative="0">
      <w:start w:val="1"/>
      <w:numFmt w:val="chineseCountingThousand"/>
      <w:suff w:val="nothing"/>
      <w:lvlText w:val="%1."/>
      <w:lvlJc w:val="center"/>
      <w:pPr>
        <w:ind w:left="0" w:firstLine="0"/>
      </w:pPr>
      <w:rPr>
        <w:rFonts w:hint="eastAsia"/>
      </w:rPr>
    </w:lvl>
    <w:lvl w:ilvl="1" w:tentative="0">
      <w:start w:val="1"/>
      <w:numFmt w:val="decimal"/>
      <w:isLgl/>
      <w:suff w:val="space"/>
      <w:lvlText w:val="%1.%2"/>
      <w:lvlJc w:val="left"/>
      <w:pPr>
        <w:ind w:left="0" w:firstLine="0"/>
      </w:pPr>
      <w:rPr>
        <w:rFonts w:hint="eastAsia" w:ascii="Times New Roman" w:hAnsi="Times New Roman" w:cs="Times New Roman"/>
        <w:bCs w:val="0"/>
        <w:i w:val="0"/>
        <w:iCs w:val="0"/>
        <w:caps w:val="0"/>
        <w:smallCaps w:val="0"/>
        <w:strike w:val="0"/>
        <w:dstrike w:val="0"/>
        <w:vanish w:val="0"/>
        <w:spacing w:val="0"/>
        <w:kern w:val="0"/>
        <w:position w:val="0"/>
        <w:u w:val="none"/>
        <w:vertAlign w:val="baseline"/>
      </w:rPr>
    </w:lvl>
    <w:lvl w:ilvl="2" w:tentative="0">
      <w:start w:val="1"/>
      <w:numFmt w:val="decimal"/>
      <w:isLgl/>
      <w:suff w:val="space"/>
      <w:lvlText w:val="%1.%2.%3"/>
      <w:lvlJc w:val="left"/>
      <w:pPr>
        <w:ind w:left="710" w:firstLine="0"/>
      </w:pPr>
      <w:rPr>
        <w:rFonts w:hint="eastAsia" w:ascii="Times New Roman" w:hAnsi="Times New Roman" w:cs="Times New Roman"/>
        <w:bCs w:val="0"/>
        <w:i w:val="0"/>
        <w:iCs w:val="0"/>
        <w:caps w:val="0"/>
        <w:smallCaps w:val="0"/>
        <w:strike w:val="0"/>
        <w:dstrike w:val="0"/>
        <w:vanish w:val="0"/>
        <w:spacing w:val="0"/>
        <w:kern w:val="0"/>
        <w:position w:val="0"/>
        <w:u w:val="none"/>
        <w:vertAlign w:val="baseline"/>
      </w:rPr>
    </w:lvl>
    <w:lvl w:ilvl="3" w:tentative="0">
      <w:start w:val="1"/>
      <w:numFmt w:val="decimal"/>
      <w:isLgl/>
      <w:suff w:val="space"/>
      <w:lvlText w:val="%1.%2.%3.%4"/>
      <w:lvlJc w:val="left"/>
      <w:pPr>
        <w:ind w:left="0" w:firstLine="0"/>
      </w:pPr>
      <w:rPr>
        <w:rFonts w:hint="eastAsia"/>
      </w:rPr>
    </w:lvl>
    <w:lvl w:ilvl="4" w:tentative="0">
      <w:start w:val="1"/>
      <w:numFmt w:val="decimal"/>
      <w:lvlRestart w:val="1"/>
      <w:pStyle w:val="74"/>
      <w:isLgl/>
      <w:suff w:val="space"/>
      <w:lvlText w:val="表1-%5"/>
      <w:lvlJc w:val="left"/>
      <w:pPr>
        <w:ind w:left="1440" w:firstLine="0"/>
      </w:pPr>
      <w:rPr>
        <w:rFonts w:hint="eastAsia" w:ascii="Times New Roman" w:hAnsi="Times New Roman" w:cs="Times New Roman"/>
        <w:bCs w:val="0"/>
        <w:i w:val="0"/>
        <w:iCs w:val="0"/>
        <w:caps w:val="0"/>
        <w:smallCaps w:val="0"/>
        <w:strike w:val="0"/>
        <w:dstrike w:val="0"/>
        <w:vanish w:val="0"/>
        <w:spacing w:val="0"/>
        <w:kern w:val="0"/>
        <w:position w:val="0"/>
        <w:u w:val="none"/>
        <w:vertAlign w:val="baseline"/>
      </w:rPr>
    </w:lvl>
    <w:lvl w:ilvl="5" w:tentative="0">
      <w:start w:val="1"/>
      <w:numFmt w:val="decimal"/>
      <w:lvlText w:val="%1.%2.%3.%4.%5.%6"/>
      <w:lvlJc w:val="left"/>
      <w:pPr>
        <w:tabs>
          <w:tab w:val="left" w:pos="0"/>
        </w:tabs>
        <w:ind w:left="3260" w:hanging="1134"/>
      </w:pPr>
      <w:rPr>
        <w:rFonts w:hint="eastAsia"/>
      </w:rPr>
    </w:lvl>
    <w:lvl w:ilvl="6" w:tentative="0">
      <w:start w:val="1"/>
      <w:numFmt w:val="decimal"/>
      <w:lvlText w:val="%1.%2.%3.%4.%5.%6.%7"/>
      <w:lvlJc w:val="left"/>
      <w:pPr>
        <w:tabs>
          <w:tab w:val="left" w:pos="0"/>
        </w:tabs>
        <w:ind w:left="3827" w:hanging="1276"/>
      </w:pPr>
      <w:rPr>
        <w:rFonts w:hint="eastAsia"/>
      </w:rPr>
    </w:lvl>
    <w:lvl w:ilvl="7" w:tentative="0">
      <w:start w:val="1"/>
      <w:numFmt w:val="decimal"/>
      <w:lvlText w:val="%1.%2.%3.%4.%5.%6.%7.%8"/>
      <w:lvlJc w:val="left"/>
      <w:pPr>
        <w:tabs>
          <w:tab w:val="left" w:pos="0"/>
        </w:tabs>
        <w:ind w:left="4394" w:hanging="1418"/>
      </w:pPr>
      <w:rPr>
        <w:rFonts w:hint="eastAsia"/>
      </w:rPr>
    </w:lvl>
    <w:lvl w:ilvl="8" w:tentative="0">
      <w:start w:val="1"/>
      <w:numFmt w:val="decimal"/>
      <w:lvlText w:val="%1.%2.%3.%4.%5.%6.%7.%8.%9"/>
      <w:lvlJc w:val="left"/>
      <w:pPr>
        <w:tabs>
          <w:tab w:val="left" w:pos="0"/>
        </w:tabs>
        <w:ind w:left="5102" w:hanging="170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dows User">
    <w15:presenceInfo w15:providerId="None" w15:userId="Windows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wYTA4NTU2MmVjOGFjMTJiY2U4MzM4ZjE2MTdmMzUifQ=="/>
  </w:docVars>
  <w:rsids>
    <w:rsidRoot w:val="74E622F3"/>
    <w:rsid w:val="00043196"/>
    <w:rsid w:val="00072ECC"/>
    <w:rsid w:val="000C6E9B"/>
    <w:rsid w:val="002D04E7"/>
    <w:rsid w:val="004A7556"/>
    <w:rsid w:val="00581626"/>
    <w:rsid w:val="0065646A"/>
    <w:rsid w:val="0067535F"/>
    <w:rsid w:val="006D790E"/>
    <w:rsid w:val="007145F9"/>
    <w:rsid w:val="007A442F"/>
    <w:rsid w:val="008525F0"/>
    <w:rsid w:val="00913633"/>
    <w:rsid w:val="00A52AB0"/>
    <w:rsid w:val="00AE154D"/>
    <w:rsid w:val="00AE1666"/>
    <w:rsid w:val="00BB0D5D"/>
    <w:rsid w:val="00BD5226"/>
    <w:rsid w:val="00E25DFD"/>
    <w:rsid w:val="00E32A99"/>
    <w:rsid w:val="00EF440E"/>
    <w:rsid w:val="00F84359"/>
    <w:rsid w:val="00F93F03"/>
    <w:rsid w:val="00FD6AD4"/>
    <w:rsid w:val="00FE6C01"/>
    <w:rsid w:val="01692E5D"/>
    <w:rsid w:val="01D90D39"/>
    <w:rsid w:val="02054E56"/>
    <w:rsid w:val="024D3F5D"/>
    <w:rsid w:val="03105B16"/>
    <w:rsid w:val="03BE3C77"/>
    <w:rsid w:val="03E3411C"/>
    <w:rsid w:val="04097D2E"/>
    <w:rsid w:val="045964D0"/>
    <w:rsid w:val="0469306D"/>
    <w:rsid w:val="047A0914"/>
    <w:rsid w:val="0485787C"/>
    <w:rsid w:val="04DA5EA7"/>
    <w:rsid w:val="04EE7FB9"/>
    <w:rsid w:val="050272E1"/>
    <w:rsid w:val="05155ABB"/>
    <w:rsid w:val="052B4BA4"/>
    <w:rsid w:val="054F04B6"/>
    <w:rsid w:val="062A4967"/>
    <w:rsid w:val="062F79BD"/>
    <w:rsid w:val="065472C1"/>
    <w:rsid w:val="06863091"/>
    <w:rsid w:val="06B3590D"/>
    <w:rsid w:val="074051BC"/>
    <w:rsid w:val="07A7471E"/>
    <w:rsid w:val="07E059B0"/>
    <w:rsid w:val="085E00D5"/>
    <w:rsid w:val="0910024F"/>
    <w:rsid w:val="091E2858"/>
    <w:rsid w:val="09A27613"/>
    <w:rsid w:val="09B26E7A"/>
    <w:rsid w:val="0A637DD2"/>
    <w:rsid w:val="0A6A6244"/>
    <w:rsid w:val="0B45577C"/>
    <w:rsid w:val="0B5047C1"/>
    <w:rsid w:val="0BAA2D34"/>
    <w:rsid w:val="0C1E6735"/>
    <w:rsid w:val="0C2B1DEF"/>
    <w:rsid w:val="0C41432A"/>
    <w:rsid w:val="0C586869"/>
    <w:rsid w:val="0CDE1F34"/>
    <w:rsid w:val="0D44312E"/>
    <w:rsid w:val="0D4541C5"/>
    <w:rsid w:val="0D516873"/>
    <w:rsid w:val="0DB5096A"/>
    <w:rsid w:val="0E086E65"/>
    <w:rsid w:val="0E3946BA"/>
    <w:rsid w:val="0E6B2589"/>
    <w:rsid w:val="0E774C01"/>
    <w:rsid w:val="0E975D57"/>
    <w:rsid w:val="0E9C4CFB"/>
    <w:rsid w:val="0EB40E2E"/>
    <w:rsid w:val="0F167545"/>
    <w:rsid w:val="0F31389B"/>
    <w:rsid w:val="0F6B7339"/>
    <w:rsid w:val="0F807B0A"/>
    <w:rsid w:val="0FEA0425"/>
    <w:rsid w:val="0FEB2E06"/>
    <w:rsid w:val="103A3238"/>
    <w:rsid w:val="105E11BD"/>
    <w:rsid w:val="107D339A"/>
    <w:rsid w:val="10BB0422"/>
    <w:rsid w:val="10F452BE"/>
    <w:rsid w:val="113066C1"/>
    <w:rsid w:val="11465451"/>
    <w:rsid w:val="115019AE"/>
    <w:rsid w:val="11585833"/>
    <w:rsid w:val="11782396"/>
    <w:rsid w:val="118F66DA"/>
    <w:rsid w:val="11C10C34"/>
    <w:rsid w:val="11D67681"/>
    <w:rsid w:val="1251370A"/>
    <w:rsid w:val="12552456"/>
    <w:rsid w:val="127501DA"/>
    <w:rsid w:val="12A130A0"/>
    <w:rsid w:val="12BD1C22"/>
    <w:rsid w:val="12EA653E"/>
    <w:rsid w:val="13221DC1"/>
    <w:rsid w:val="13251A1A"/>
    <w:rsid w:val="13673D62"/>
    <w:rsid w:val="13893F9B"/>
    <w:rsid w:val="13DB1F49"/>
    <w:rsid w:val="14436715"/>
    <w:rsid w:val="146307E4"/>
    <w:rsid w:val="14735EFB"/>
    <w:rsid w:val="147B7C9C"/>
    <w:rsid w:val="148245C2"/>
    <w:rsid w:val="14D844E7"/>
    <w:rsid w:val="14FD776D"/>
    <w:rsid w:val="15405793"/>
    <w:rsid w:val="15967523"/>
    <w:rsid w:val="15A47A96"/>
    <w:rsid w:val="15BB3809"/>
    <w:rsid w:val="15EB1A03"/>
    <w:rsid w:val="15F63117"/>
    <w:rsid w:val="17626C76"/>
    <w:rsid w:val="179B5FF8"/>
    <w:rsid w:val="17D033EA"/>
    <w:rsid w:val="17EF0730"/>
    <w:rsid w:val="185B7DB1"/>
    <w:rsid w:val="187066CC"/>
    <w:rsid w:val="188C26D1"/>
    <w:rsid w:val="189C686D"/>
    <w:rsid w:val="18E2406A"/>
    <w:rsid w:val="18F121A8"/>
    <w:rsid w:val="193D4CDE"/>
    <w:rsid w:val="19607CAF"/>
    <w:rsid w:val="1A1276D4"/>
    <w:rsid w:val="1A402BB1"/>
    <w:rsid w:val="1A662EFE"/>
    <w:rsid w:val="1AD32C31"/>
    <w:rsid w:val="1AEF2978"/>
    <w:rsid w:val="1BE40EEE"/>
    <w:rsid w:val="1BED5CE0"/>
    <w:rsid w:val="1C725C75"/>
    <w:rsid w:val="1C8437E5"/>
    <w:rsid w:val="1C9255DF"/>
    <w:rsid w:val="1CBB6560"/>
    <w:rsid w:val="1D0B2CBC"/>
    <w:rsid w:val="1D2240D4"/>
    <w:rsid w:val="1D365353"/>
    <w:rsid w:val="1D443006"/>
    <w:rsid w:val="1D793FE2"/>
    <w:rsid w:val="1D88703A"/>
    <w:rsid w:val="1DB733CE"/>
    <w:rsid w:val="1DB92337"/>
    <w:rsid w:val="1E204EC9"/>
    <w:rsid w:val="1E516D80"/>
    <w:rsid w:val="1E976BDF"/>
    <w:rsid w:val="1EF86BDC"/>
    <w:rsid w:val="1F0D3044"/>
    <w:rsid w:val="1F4009B4"/>
    <w:rsid w:val="1F6C23D4"/>
    <w:rsid w:val="1F921803"/>
    <w:rsid w:val="202D3C0F"/>
    <w:rsid w:val="208B4A47"/>
    <w:rsid w:val="2096767D"/>
    <w:rsid w:val="20DD5D3C"/>
    <w:rsid w:val="210E677F"/>
    <w:rsid w:val="21260FED"/>
    <w:rsid w:val="21322C62"/>
    <w:rsid w:val="214762D0"/>
    <w:rsid w:val="21A22F52"/>
    <w:rsid w:val="22212A73"/>
    <w:rsid w:val="22BD6A1C"/>
    <w:rsid w:val="22CD1AE2"/>
    <w:rsid w:val="2301740D"/>
    <w:rsid w:val="23072D38"/>
    <w:rsid w:val="231D42EE"/>
    <w:rsid w:val="231F5B8E"/>
    <w:rsid w:val="2374429C"/>
    <w:rsid w:val="23A65A0A"/>
    <w:rsid w:val="23BB5D34"/>
    <w:rsid w:val="23DC31C9"/>
    <w:rsid w:val="2440791A"/>
    <w:rsid w:val="246031BB"/>
    <w:rsid w:val="247300F9"/>
    <w:rsid w:val="24E939D4"/>
    <w:rsid w:val="24EE410E"/>
    <w:rsid w:val="24F278B3"/>
    <w:rsid w:val="25417ECA"/>
    <w:rsid w:val="25A3086C"/>
    <w:rsid w:val="25B5385A"/>
    <w:rsid w:val="26043DDE"/>
    <w:rsid w:val="261521BC"/>
    <w:rsid w:val="264D560D"/>
    <w:rsid w:val="267F28A0"/>
    <w:rsid w:val="26951063"/>
    <w:rsid w:val="26DE01B5"/>
    <w:rsid w:val="271420B6"/>
    <w:rsid w:val="27536BF1"/>
    <w:rsid w:val="279A0634"/>
    <w:rsid w:val="27D331C1"/>
    <w:rsid w:val="27DD2F15"/>
    <w:rsid w:val="27E044E5"/>
    <w:rsid w:val="28211163"/>
    <w:rsid w:val="282137E4"/>
    <w:rsid w:val="28730A32"/>
    <w:rsid w:val="28786E47"/>
    <w:rsid w:val="28B34B7A"/>
    <w:rsid w:val="28BB6A09"/>
    <w:rsid w:val="28EF2376"/>
    <w:rsid w:val="295A53EE"/>
    <w:rsid w:val="296807E9"/>
    <w:rsid w:val="296D5F0F"/>
    <w:rsid w:val="299828E6"/>
    <w:rsid w:val="29D71CC0"/>
    <w:rsid w:val="2A0D778B"/>
    <w:rsid w:val="2A3C67AE"/>
    <w:rsid w:val="2A513597"/>
    <w:rsid w:val="2A5376F1"/>
    <w:rsid w:val="2A8972EE"/>
    <w:rsid w:val="2A8E65F2"/>
    <w:rsid w:val="2B447D1A"/>
    <w:rsid w:val="2C3C6E9F"/>
    <w:rsid w:val="2C7B7326"/>
    <w:rsid w:val="2C9D4714"/>
    <w:rsid w:val="2CB61703"/>
    <w:rsid w:val="2CCB0332"/>
    <w:rsid w:val="2D111E0A"/>
    <w:rsid w:val="2D23570A"/>
    <w:rsid w:val="2D8479B0"/>
    <w:rsid w:val="2DAB181D"/>
    <w:rsid w:val="2DD2359D"/>
    <w:rsid w:val="2DF22BE7"/>
    <w:rsid w:val="2DFC4FC4"/>
    <w:rsid w:val="2E154657"/>
    <w:rsid w:val="2E5D557B"/>
    <w:rsid w:val="2E7E4CB0"/>
    <w:rsid w:val="2E9A0AFC"/>
    <w:rsid w:val="2EE62D22"/>
    <w:rsid w:val="2FA3746B"/>
    <w:rsid w:val="2FC614C8"/>
    <w:rsid w:val="2FD751F6"/>
    <w:rsid w:val="2FDB754D"/>
    <w:rsid w:val="2FDF1CF0"/>
    <w:rsid w:val="2FE562BF"/>
    <w:rsid w:val="2FEF503A"/>
    <w:rsid w:val="2FF44C48"/>
    <w:rsid w:val="2FF6691B"/>
    <w:rsid w:val="3052119A"/>
    <w:rsid w:val="30A4434C"/>
    <w:rsid w:val="30A67AD5"/>
    <w:rsid w:val="30E769C1"/>
    <w:rsid w:val="30FB5F4F"/>
    <w:rsid w:val="3105792D"/>
    <w:rsid w:val="31297EAD"/>
    <w:rsid w:val="31890BE0"/>
    <w:rsid w:val="31AD7CD7"/>
    <w:rsid w:val="31AF67EC"/>
    <w:rsid w:val="325632A2"/>
    <w:rsid w:val="32AF2B54"/>
    <w:rsid w:val="32B417C8"/>
    <w:rsid w:val="32C57EBC"/>
    <w:rsid w:val="32CB6A6C"/>
    <w:rsid w:val="32EE4648"/>
    <w:rsid w:val="32F938A3"/>
    <w:rsid w:val="33195A34"/>
    <w:rsid w:val="332270F4"/>
    <w:rsid w:val="3348725C"/>
    <w:rsid w:val="338502B0"/>
    <w:rsid w:val="33853A76"/>
    <w:rsid w:val="338A3A57"/>
    <w:rsid w:val="33EC32A4"/>
    <w:rsid w:val="341A3E12"/>
    <w:rsid w:val="34232509"/>
    <w:rsid w:val="343F3099"/>
    <w:rsid w:val="34895F7F"/>
    <w:rsid w:val="34BA3117"/>
    <w:rsid w:val="34BB4C11"/>
    <w:rsid w:val="34C8676B"/>
    <w:rsid w:val="34D648F5"/>
    <w:rsid w:val="354613B4"/>
    <w:rsid w:val="357C77C8"/>
    <w:rsid w:val="359019CD"/>
    <w:rsid w:val="35F40DE9"/>
    <w:rsid w:val="3620790D"/>
    <w:rsid w:val="36460900"/>
    <w:rsid w:val="36733690"/>
    <w:rsid w:val="368707BB"/>
    <w:rsid w:val="36D11C15"/>
    <w:rsid w:val="371A6EA4"/>
    <w:rsid w:val="37435B13"/>
    <w:rsid w:val="376236BE"/>
    <w:rsid w:val="37B54672"/>
    <w:rsid w:val="37F222D9"/>
    <w:rsid w:val="382C6AF0"/>
    <w:rsid w:val="383D2E94"/>
    <w:rsid w:val="389C7380"/>
    <w:rsid w:val="38AF14E6"/>
    <w:rsid w:val="38BF25C2"/>
    <w:rsid w:val="38CF5C2E"/>
    <w:rsid w:val="391C2165"/>
    <w:rsid w:val="3955526C"/>
    <w:rsid w:val="39745EC4"/>
    <w:rsid w:val="399C354F"/>
    <w:rsid w:val="39E77C33"/>
    <w:rsid w:val="3A33080D"/>
    <w:rsid w:val="3A915409"/>
    <w:rsid w:val="3AA15970"/>
    <w:rsid w:val="3ADF09A5"/>
    <w:rsid w:val="3B1C25F3"/>
    <w:rsid w:val="3B665250"/>
    <w:rsid w:val="3B857194"/>
    <w:rsid w:val="3B8B7BAE"/>
    <w:rsid w:val="3BCD4116"/>
    <w:rsid w:val="3C1217AD"/>
    <w:rsid w:val="3C150A32"/>
    <w:rsid w:val="3C3D3B62"/>
    <w:rsid w:val="3C796CE5"/>
    <w:rsid w:val="3CF61639"/>
    <w:rsid w:val="3D16147B"/>
    <w:rsid w:val="3DBE7628"/>
    <w:rsid w:val="3DF53583"/>
    <w:rsid w:val="3E9F7AC9"/>
    <w:rsid w:val="3EFC42CA"/>
    <w:rsid w:val="3F4B7348"/>
    <w:rsid w:val="3F9B6D3C"/>
    <w:rsid w:val="3FDD793A"/>
    <w:rsid w:val="4000330F"/>
    <w:rsid w:val="40283EAE"/>
    <w:rsid w:val="40B16232"/>
    <w:rsid w:val="40B22D4C"/>
    <w:rsid w:val="40D563E1"/>
    <w:rsid w:val="40F806E6"/>
    <w:rsid w:val="411E74B1"/>
    <w:rsid w:val="41562AD4"/>
    <w:rsid w:val="41C603ED"/>
    <w:rsid w:val="41F33C7A"/>
    <w:rsid w:val="4256401F"/>
    <w:rsid w:val="42643A40"/>
    <w:rsid w:val="42CE2D4D"/>
    <w:rsid w:val="42D60EDB"/>
    <w:rsid w:val="42D8676C"/>
    <w:rsid w:val="42F721D2"/>
    <w:rsid w:val="431A73CE"/>
    <w:rsid w:val="433A5E10"/>
    <w:rsid w:val="43940C72"/>
    <w:rsid w:val="43B609CD"/>
    <w:rsid w:val="43C852E6"/>
    <w:rsid w:val="442D1A59"/>
    <w:rsid w:val="44E017AE"/>
    <w:rsid w:val="450E570A"/>
    <w:rsid w:val="453A62E5"/>
    <w:rsid w:val="45B25F9F"/>
    <w:rsid w:val="45DA3D60"/>
    <w:rsid w:val="45FA7D5B"/>
    <w:rsid w:val="46276F2E"/>
    <w:rsid w:val="463A21D8"/>
    <w:rsid w:val="464B664E"/>
    <w:rsid w:val="46AB5B59"/>
    <w:rsid w:val="477D2945"/>
    <w:rsid w:val="479A5B9E"/>
    <w:rsid w:val="47A70D1B"/>
    <w:rsid w:val="485456D6"/>
    <w:rsid w:val="485A4390"/>
    <w:rsid w:val="4863011F"/>
    <w:rsid w:val="48DB5895"/>
    <w:rsid w:val="48E040C7"/>
    <w:rsid w:val="490F1582"/>
    <w:rsid w:val="493E20B6"/>
    <w:rsid w:val="49802F5F"/>
    <w:rsid w:val="499303BC"/>
    <w:rsid w:val="49A75B0F"/>
    <w:rsid w:val="49E237A2"/>
    <w:rsid w:val="49F111A5"/>
    <w:rsid w:val="4A284752"/>
    <w:rsid w:val="4A615C72"/>
    <w:rsid w:val="4AD03803"/>
    <w:rsid w:val="4AD70801"/>
    <w:rsid w:val="4ADF5ABE"/>
    <w:rsid w:val="4AE0470B"/>
    <w:rsid w:val="4AE3644D"/>
    <w:rsid w:val="4AFC5048"/>
    <w:rsid w:val="4BA8453A"/>
    <w:rsid w:val="4BB854D1"/>
    <w:rsid w:val="4BBF1D14"/>
    <w:rsid w:val="4BCE306B"/>
    <w:rsid w:val="4C950075"/>
    <w:rsid w:val="4C980294"/>
    <w:rsid w:val="4CF83157"/>
    <w:rsid w:val="4D2E7DFA"/>
    <w:rsid w:val="4D3B78B7"/>
    <w:rsid w:val="4D9F425C"/>
    <w:rsid w:val="4DA6443C"/>
    <w:rsid w:val="4DA954F8"/>
    <w:rsid w:val="4DD7368C"/>
    <w:rsid w:val="4DE93DE4"/>
    <w:rsid w:val="4E490E75"/>
    <w:rsid w:val="4E7841A5"/>
    <w:rsid w:val="4E9241DF"/>
    <w:rsid w:val="4ED062EB"/>
    <w:rsid w:val="4EF02C2A"/>
    <w:rsid w:val="4F0D625F"/>
    <w:rsid w:val="4F175D74"/>
    <w:rsid w:val="4F31578F"/>
    <w:rsid w:val="4FD3050F"/>
    <w:rsid w:val="4FD715BC"/>
    <w:rsid w:val="4FFE3627"/>
    <w:rsid w:val="500202DC"/>
    <w:rsid w:val="505B3079"/>
    <w:rsid w:val="50C50334"/>
    <w:rsid w:val="51414224"/>
    <w:rsid w:val="517F3032"/>
    <w:rsid w:val="51D519E6"/>
    <w:rsid w:val="51D7228D"/>
    <w:rsid w:val="51F86C93"/>
    <w:rsid w:val="52093D49"/>
    <w:rsid w:val="525B7A2A"/>
    <w:rsid w:val="5298216F"/>
    <w:rsid w:val="533B4D16"/>
    <w:rsid w:val="5360039B"/>
    <w:rsid w:val="536938D8"/>
    <w:rsid w:val="536B6F49"/>
    <w:rsid w:val="53794E99"/>
    <w:rsid w:val="539B36F9"/>
    <w:rsid w:val="53C95E24"/>
    <w:rsid w:val="53F20B05"/>
    <w:rsid w:val="540D0C9E"/>
    <w:rsid w:val="54341686"/>
    <w:rsid w:val="5480086F"/>
    <w:rsid w:val="54847B2B"/>
    <w:rsid w:val="555C2222"/>
    <w:rsid w:val="557800A1"/>
    <w:rsid w:val="55820CD2"/>
    <w:rsid w:val="5631187C"/>
    <w:rsid w:val="567E3400"/>
    <w:rsid w:val="57471C79"/>
    <w:rsid w:val="579C2C5C"/>
    <w:rsid w:val="58226EBC"/>
    <w:rsid w:val="58447DA6"/>
    <w:rsid w:val="58E54C3B"/>
    <w:rsid w:val="5916521B"/>
    <w:rsid w:val="5A277705"/>
    <w:rsid w:val="5AC04175"/>
    <w:rsid w:val="5AE6324B"/>
    <w:rsid w:val="5B31611F"/>
    <w:rsid w:val="5B802970"/>
    <w:rsid w:val="5B9A14D4"/>
    <w:rsid w:val="5BA27C65"/>
    <w:rsid w:val="5C966834"/>
    <w:rsid w:val="5D071C35"/>
    <w:rsid w:val="5D09601F"/>
    <w:rsid w:val="5D2501E0"/>
    <w:rsid w:val="5DB4082C"/>
    <w:rsid w:val="5F187E14"/>
    <w:rsid w:val="5F674091"/>
    <w:rsid w:val="603145BB"/>
    <w:rsid w:val="607B5D23"/>
    <w:rsid w:val="607F0907"/>
    <w:rsid w:val="60DC0B04"/>
    <w:rsid w:val="61203691"/>
    <w:rsid w:val="6160148D"/>
    <w:rsid w:val="61810738"/>
    <w:rsid w:val="61AC3694"/>
    <w:rsid w:val="61E83C87"/>
    <w:rsid w:val="61E9085D"/>
    <w:rsid w:val="6226374A"/>
    <w:rsid w:val="62526C69"/>
    <w:rsid w:val="62646233"/>
    <w:rsid w:val="628B5A02"/>
    <w:rsid w:val="62C8357D"/>
    <w:rsid w:val="62E13FCC"/>
    <w:rsid w:val="632308B3"/>
    <w:rsid w:val="63CF7AB4"/>
    <w:rsid w:val="63FD6799"/>
    <w:rsid w:val="64444E34"/>
    <w:rsid w:val="647604C4"/>
    <w:rsid w:val="64BF51AD"/>
    <w:rsid w:val="64C73747"/>
    <w:rsid w:val="64FE366D"/>
    <w:rsid w:val="65131BA8"/>
    <w:rsid w:val="651976E9"/>
    <w:rsid w:val="65266D7F"/>
    <w:rsid w:val="65451EA5"/>
    <w:rsid w:val="65707C7D"/>
    <w:rsid w:val="65772268"/>
    <w:rsid w:val="658E4C72"/>
    <w:rsid w:val="65C22FB2"/>
    <w:rsid w:val="66B951F8"/>
    <w:rsid w:val="66C63A49"/>
    <w:rsid w:val="67617BB1"/>
    <w:rsid w:val="67CC13AE"/>
    <w:rsid w:val="67E13BC0"/>
    <w:rsid w:val="67FA0D51"/>
    <w:rsid w:val="68181C9C"/>
    <w:rsid w:val="68202EB5"/>
    <w:rsid w:val="689852DE"/>
    <w:rsid w:val="68F96951"/>
    <w:rsid w:val="695536D9"/>
    <w:rsid w:val="695576CD"/>
    <w:rsid w:val="69FA196C"/>
    <w:rsid w:val="69FD43B1"/>
    <w:rsid w:val="6A0311FB"/>
    <w:rsid w:val="6A0C36CE"/>
    <w:rsid w:val="6A7318D2"/>
    <w:rsid w:val="6AC04478"/>
    <w:rsid w:val="6AEE12B3"/>
    <w:rsid w:val="6B1807C3"/>
    <w:rsid w:val="6B2F2683"/>
    <w:rsid w:val="6BC147D3"/>
    <w:rsid w:val="6BC4503A"/>
    <w:rsid w:val="6BD63613"/>
    <w:rsid w:val="6BEF757E"/>
    <w:rsid w:val="6CC42288"/>
    <w:rsid w:val="6CCE29D2"/>
    <w:rsid w:val="6CF92C5A"/>
    <w:rsid w:val="6D261F57"/>
    <w:rsid w:val="6D4205F0"/>
    <w:rsid w:val="6D535020"/>
    <w:rsid w:val="6D687746"/>
    <w:rsid w:val="6DB46757"/>
    <w:rsid w:val="6DEF2502"/>
    <w:rsid w:val="6E20558D"/>
    <w:rsid w:val="6E262BC5"/>
    <w:rsid w:val="6E44489D"/>
    <w:rsid w:val="6E7219CA"/>
    <w:rsid w:val="6EEA4E92"/>
    <w:rsid w:val="6F1C1F67"/>
    <w:rsid w:val="6F1F12B5"/>
    <w:rsid w:val="6F346E7E"/>
    <w:rsid w:val="6F3D592F"/>
    <w:rsid w:val="6F5263BD"/>
    <w:rsid w:val="6F9570A9"/>
    <w:rsid w:val="70157BAE"/>
    <w:rsid w:val="704E185D"/>
    <w:rsid w:val="70517EB3"/>
    <w:rsid w:val="707E1A73"/>
    <w:rsid w:val="70983AAC"/>
    <w:rsid w:val="712C12BB"/>
    <w:rsid w:val="717A6D3C"/>
    <w:rsid w:val="71A75688"/>
    <w:rsid w:val="72330EAB"/>
    <w:rsid w:val="726F005A"/>
    <w:rsid w:val="727328AA"/>
    <w:rsid w:val="72ED583F"/>
    <w:rsid w:val="732325C6"/>
    <w:rsid w:val="732E735C"/>
    <w:rsid w:val="73443CBE"/>
    <w:rsid w:val="734F17AB"/>
    <w:rsid w:val="736B2289"/>
    <w:rsid w:val="73722DBD"/>
    <w:rsid w:val="73BA63F5"/>
    <w:rsid w:val="73DE1A38"/>
    <w:rsid w:val="740D5265"/>
    <w:rsid w:val="741E4944"/>
    <w:rsid w:val="746A5B5C"/>
    <w:rsid w:val="74C313A6"/>
    <w:rsid w:val="74E622F3"/>
    <w:rsid w:val="757A5753"/>
    <w:rsid w:val="75A57530"/>
    <w:rsid w:val="76616C58"/>
    <w:rsid w:val="766B03CC"/>
    <w:rsid w:val="76874A4B"/>
    <w:rsid w:val="76D77031"/>
    <w:rsid w:val="777F2A3C"/>
    <w:rsid w:val="779877FD"/>
    <w:rsid w:val="779C5E05"/>
    <w:rsid w:val="77FC5DBD"/>
    <w:rsid w:val="784F27A8"/>
    <w:rsid w:val="789055EB"/>
    <w:rsid w:val="78C534F8"/>
    <w:rsid w:val="78C91CBF"/>
    <w:rsid w:val="78D10032"/>
    <w:rsid w:val="79A00F13"/>
    <w:rsid w:val="79D8160C"/>
    <w:rsid w:val="7A5741A2"/>
    <w:rsid w:val="7AB91EB4"/>
    <w:rsid w:val="7B276FFB"/>
    <w:rsid w:val="7B28617C"/>
    <w:rsid w:val="7B4712C9"/>
    <w:rsid w:val="7B4A2197"/>
    <w:rsid w:val="7B8F59EA"/>
    <w:rsid w:val="7B94322B"/>
    <w:rsid w:val="7BA931A6"/>
    <w:rsid w:val="7BB66304"/>
    <w:rsid w:val="7BCE7B4B"/>
    <w:rsid w:val="7C6B406B"/>
    <w:rsid w:val="7CF70E19"/>
    <w:rsid w:val="7D253F67"/>
    <w:rsid w:val="7D9860D5"/>
    <w:rsid w:val="7DB7163D"/>
    <w:rsid w:val="7E5B702C"/>
    <w:rsid w:val="7E5D5916"/>
    <w:rsid w:val="7E7740BB"/>
    <w:rsid w:val="7ED23E46"/>
    <w:rsid w:val="7EE42EA7"/>
    <w:rsid w:val="7F043626"/>
    <w:rsid w:val="7F116267"/>
    <w:rsid w:val="7F162BD7"/>
    <w:rsid w:val="7F3323B3"/>
    <w:rsid w:val="7F411570"/>
    <w:rsid w:val="7F416F64"/>
    <w:rsid w:val="7F695686"/>
    <w:rsid w:val="7FE76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nhideWhenUsed="0" w:uiPriority="1" w:semiHidden="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20" w:firstLineChars="200"/>
      <w:jc w:val="both"/>
    </w:pPr>
    <w:rPr>
      <w:rFonts w:ascii="Times New Roman" w:hAnsi="Times New Roman" w:eastAsia="宋体" w:cs="Times New Roman"/>
      <w:kern w:val="2"/>
      <w:sz w:val="24"/>
      <w:szCs w:val="24"/>
      <w:lang w:val="en-US" w:eastAsia="zh-CN" w:bidi="ar-SA"/>
    </w:rPr>
  </w:style>
  <w:style w:type="paragraph" w:styleId="4">
    <w:name w:val="heading 1"/>
    <w:basedOn w:val="1"/>
    <w:next w:val="1"/>
    <w:qFormat/>
    <w:uiPriority w:val="0"/>
    <w:pPr>
      <w:keepNext/>
      <w:keepLines/>
      <w:ind w:firstLine="0" w:firstLineChars="0"/>
      <w:jc w:val="center"/>
      <w:outlineLvl w:val="0"/>
    </w:pPr>
    <w:rPr>
      <w:b/>
      <w:bCs/>
      <w:kern w:val="44"/>
      <w:sz w:val="30"/>
      <w:szCs w:val="30"/>
    </w:rPr>
  </w:style>
  <w:style w:type="paragraph" w:styleId="5">
    <w:name w:val="heading 2"/>
    <w:basedOn w:val="1"/>
    <w:next w:val="1"/>
    <w:link w:val="77"/>
    <w:unhideWhenUsed/>
    <w:qFormat/>
    <w:uiPriority w:val="0"/>
    <w:pPr>
      <w:keepNext/>
      <w:keepLines/>
      <w:spacing w:before="25" w:beforeLines="25" w:after="25" w:afterLines="25"/>
      <w:jc w:val="left"/>
      <w:outlineLvl w:val="1"/>
    </w:pPr>
    <w:rPr>
      <w:rFonts w:ascii="Times New Roman" w:hAnsi="Times New Roman" w:eastAsia="宋体"/>
      <w:b/>
      <w:bCs/>
      <w:sz w:val="28"/>
      <w:szCs w:val="28"/>
    </w:rPr>
  </w:style>
  <w:style w:type="paragraph" w:styleId="6">
    <w:name w:val="heading 3"/>
    <w:basedOn w:val="1"/>
    <w:next w:val="1"/>
    <w:link w:val="67"/>
    <w:unhideWhenUsed/>
    <w:qFormat/>
    <w:uiPriority w:val="0"/>
    <w:pPr>
      <w:keepNext/>
      <w:keepLines/>
      <w:spacing w:line="500" w:lineRule="exact"/>
      <w:jc w:val="left"/>
      <w:outlineLvl w:val="2"/>
    </w:pPr>
    <w:rPr>
      <w:b/>
    </w:rPr>
  </w:style>
  <w:style w:type="paragraph" w:styleId="7">
    <w:name w:val="heading 4"/>
    <w:basedOn w:val="1"/>
    <w:next w:val="1"/>
    <w:unhideWhenUsed/>
    <w:qFormat/>
    <w:uiPriority w:val="0"/>
    <w:pPr>
      <w:keepNext/>
      <w:keepLines/>
      <w:ind w:firstLine="643"/>
      <w:outlineLvl w:val="3"/>
    </w:pPr>
    <w:rPr>
      <w:b/>
      <w:bCs/>
    </w:rPr>
  </w:style>
  <w:style w:type="paragraph" w:styleId="8">
    <w:name w:val="heading 5"/>
    <w:basedOn w:val="1"/>
    <w:next w:val="1"/>
    <w:qFormat/>
    <w:uiPriority w:val="1"/>
    <w:pPr>
      <w:spacing w:before="124"/>
      <w:ind w:left="802" w:hanging="685"/>
      <w:outlineLvl w:val="4"/>
    </w:pPr>
    <w:rPr>
      <w:rFonts w:ascii="宋体" w:hAnsi="宋体" w:cs="宋体"/>
      <w:b/>
      <w:bCs/>
      <w:sz w:val="28"/>
      <w:szCs w:val="28"/>
      <w:lang w:val="zh-CN" w:bidi="zh-CN"/>
    </w:rPr>
  </w:style>
  <w:style w:type="paragraph" w:styleId="9">
    <w:name w:val="heading 6"/>
    <w:basedOn w:val="1"/>
    <w:next w:val="1"/>
    <w:qFormat/>
    <w:uiPriority w:val="1"/>
    <w:pPr>
      <w:ind w:left="967" w:hanging="848"/>
      <w:outlineLvl w:val="5"/>
    </w:pPr>
    <w:rPr>
      <w:rFonts w:ascii="宋体" w:hAnsi="宋体" w:cs="宋体"/>
      <w:b/>
      <w:bCs/>
      <w:lang w:val="zh-CN" w:bidi="zh-CN"/>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纯文本1"/>
    <w:basedOn w:val="1"/>
    <w:qFormat/>
    <w:uiPriority w:val="0"/>
    <w:rPr>
      <w:rFonts w:ascii="宋体" w:hAnsi="Courier New"/>
      <w:sz w:val="20"/>
      <w:szCs w:val="20"/>
    </w:rPr>
  </w:style>
  <w:style w:type="paragraph" w:styleId="10">
    <w:name w:val="Normal Indent"/>
    <w:basedOn w:val="1"/>
    <w:next w:val="1"/>
    <w:qFormat/>
    <w:uiPriority w:val="0"/>
    <w:rPr>
      <w:szCs w:val="20"/>
    </w:rPr>
  </w:style>
  <w:style w:type="paragraph" w:styleId="11">
    <w:name w:val="annotation text"/>
    <w:basedOn w:val="1"/>
    <w:link w:val="100"/>
    <w:qFormat/>
    <w:uiPriority w:val="0"/>
    <w:pPr>
      <w:jc w:val="left"/>
    </w:pPr>
  </w:style>
  <w:style w:type="paragraph" w:styleId="12">
    <w:name w:val="Body Text"/>
    <w:basedOn w:val="1"/>
    <w:qFormat/>
    <w:uiPriority w:val="0"/>
    <w:pPr>
      <w:spacing w:after="120"/>
    </w:pPr>
  </w:style>
  <w:style w:type="paragraph" w:styleId="13">
    <w:name w:val="Body Text Indent"/>
    <w:basedOn w:val="1"/>
    <w:next w:val="1"/>
    <w:qFormat/>
    <w:uiPriority w:val="0"/>
    <w:pPr>
      <w:ind w:firstLine="538" w:firstLineChars="192"/>
    </w:pPr>
    <w:rPr>
      <w:sz w:val="28"/>
      <w:szCs w:val="20"/>
    </w:rPr>
  </w:style>
  <w:style w:type="paragraph" w:styleId="14">
    <w:name w:val="toc 3"/>
    <w:basedOn w:val="1"/>
    <w:next w:val="1"/>
    <w:qFormat/>
    <w:uiPriority w:val="0"/>
    <w:pPr>
      <w:ind w:left="840" w:leftChars="400"/>
    </w:pPr>
  </w:style>
  <w:style w:type="paragraph" w:styleId="15">
    <w:name w:val="Plain Text"/>
    <w:basedOn w:val="1"/>
    <w:next w:val="1"/>
    <w:qFormat/>
    <w:uiPriority w:val="0"/>
    <w:rPr>
      <w:rFonts w:ascii="宋体" w:hAnsi="Courier New"/>
    </w:rPr>
  </w:style>
  <w:style w:type="paragraph" w:styleId="16">
    <w:name w:val="Date"/>
    <w:basedOn w:val="1"/>
    <w:next w:val="1"/>
    <w:qFormat/>
    <w:uiPriority w:val="0"/>
    <w:rPr>
      <w:sz w:val="36"/>
      <w:szCs w:val="20"/>
    </w:rPr>
  </w:style>
  <w:style w:type="paragraph" w:styleId="17">
    <w:name w:val="Body Text Indent 2"/>
    <w:basedOn w:val="1"/>
    <w:qFormat/>
    <w:uiPriority w:val="0"/>
    <w:pPr>
      <w:spacing w:line="560" w:lineRule="exact"/>
      <w:ind w:firstLine="570"/>
    </w:pPr>
    <w:rPr>
      <w:color w:val="000000"/>
      <w:kern w:val="11"/>
      <w:sz w:val="28"/>
      <w:szCs w:val="27"/>
    </w:rPr>
  </w:style>
  <w:style w:type="paragraph" w:styleId="18">
    <w:name w:val="Balloon Text"/>
    <w:basedOn w:val="1"/>
    <w:link w:val="104"/>
    <w:qFormat/>
    <w:uiPriority w:val="0"/>
    <w:pPr>
      <w:spacing w:line="240" w:lineRule="auto"/>
    </w:pPr>
    <w:rPr>
      <w:sz w:val="18"/>
      <w:szCs w:val="18"/>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1">
    <w:name w:val="toc 1"/>
    <w:basedOn w:val="1"/>
    <w:next w:val="1"/>
    <w:unhideWhenUsed/>
    <w:qFormat/>
    <w:uiPriority w:val="39"/>
  </w:style>
  <w:style w:type="paragraph" w:styleId="22">
    <w:name w:val="List"/>
    <w:basedOn w:val="1"/>
    <w:unhideWhenUsed/>
    <w:qFormat/>
    <w:uiPriority w:val="0"/>
    <w:pPr>
      <w:ind w:left="200" w:hanging="200" w:hangingChars="200"/>
      <w:contextualSpacing/>
    </w:pPr>
  </w:style>
  <w:style w:type="paragraph" w:styleId="23">
    <w:name w:val="Body Text Indent 3"/>
    <w:basedOn w:val="1"/>
    <w:qFormat/>
    <w:uiPriority w:val="0"/>
    <w:pPr>
      <w:ind w:firstLine="570"/>
    </w:pPr>
  </w:style>
  <w:style w:type="paragraph" w:styleId="24">
    <w:name w:val="toc 2"/>
    <w:basedOn w:val="1"/>
    <w:next w:val="1"/>
    <w:qFormat/>
    <w:uiPriority w:val="0"/>
    <w:pPr>
      <w:ind w:left="420" w:leftChars="200"/>
    </w:pPr>
  </w:style>
  <w:style w:type="paragraph" w:styleId="25">
    <w:name w:val="Body Text 2"/>
    <w:basedOn w:val="1"/>
    <w:qFormat/>
    <w:uiPriority w:val="0"/>
    <w:rPr>
      <w:sz w:val="28"/>
    </w:rPr>
  </w:style>
  <w:style w:type="paragraph" w:styleId="2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rPr>
  </w:style>
  <w:style w:type="paragraph" w:styleId="27">
    <w:name w:val="Normal (Web)"/>
    <w:basedOn w:val="1"/>
    <w:qFormat/>
    <w:uiPriority w:val="0"/>
    <w:pPr>
      <w:spacing w:beforeAutospacing="1" w:afterAutospacing="1"/>
      <w:jc w:val="left"/>
    </w:pPr>
    <w:rPr>
      <w:kern w:val="0"/>
    </w:rPr>
  </w:style>
  <w:style w:type="paragraph" w:styleId="28">
    <w:name w:val="Title"/>
    <w:basedOn w:val="1"/>
    <w:next w:val="1"/>
    <w:qFormat/>
    <w:uiPriority w:val="0"/>
    <w:pPr>
      <w:overflowPunct w:val="0"/>
      <w:autoSpaceDE w:val="0"/>
      <w:autoSpaceDN w:val="0"/>
      <w:adjustRightInd w:val="0"/>
      <w:spacing w:before="240" w:after="60" w:line="0" w:lineRule="atLeast"/>
      <w:jc w:val="center"/>
      <w:outlineLvl w:val="0"/>
    </w:pPr>
    <w:rPr>
      <w:rFonts w:ascii="Arial" w:hAnsi="Arial"/>
      <w:b/>
      <w:kern w:val="0"/>
      <w:sz w:val="32"/>
      <w:szCs w:val="20"/>
    </w:rPr>
  </w:style>
  <w:style w:type="paragraph" w:styleId="29">
    <w:name w:val="annotation subject"/>
    <w:basedOn w:val="11"/>
    <w:next w:val="11"/>
    <w:link w:val="101"/>
    <w:qFormat/>
    <w:uiPriority w:val="0"/>
    <w:rPr>
      <w:b/>
      <w:bCs/>
    </w:rPr>
  </w:style>
  <w:style w:type="paragraph" w:styleId="30">
    <w:name w:val="Body Text First Indent"/>
    <w:basedOn w:val="12"/>
    <w:qFormat/>
    <w:uiPriority w:val="0"/>
    <w:pPr>
      <w:ind w:firstLine="100" w:firstLineChars="100"/>
    </w:pPr>
    <w:rPr>
      <w:sz w:val="21"/>
    </w:rPr>
  </w:style>
  <w:style w:type="paragraph" w:styleId="31">
    <w:name w:val="Body Text First Indent 2"/>
    <w:basedOn w:val="13"/>
    <w:next w:val="1"/>
    <w:unhideWhenUsed/>
    <w:qFormat/>
    <w:uiPriority w:val="99"/>
    <w:pPr>
      <w:ind w:firstLine="420" w:firstLineChars="200"/>
    </w:pPr>
  </w:style>
  <w:style w:type="table" w:styleId="33">
    <w:name w:val="Table Grid"/>
    <w:basedOn w:val="3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Hyperlink"/>
    <w:basedOn w:val="34"/>
    <w:qFormat/>
    <w:uiPriority w:val="0"/>
    <w:rPr>
      <w:color w:val="0000FF"/>
      <w:u w:val="single"/>
    </w:rPr>
  </w:style>
  <w:style w:type="character" w:styleId="37">
    <w:name w:val="annotation reference"/>
    <w:basedOn w:val="34"/>
    <w:qFormat/>
    <w:uiPriority w:val="0"/>
    <w:rPr>
      <w:sz w:val="21"/>
      <w:szCs w:val="21"/>
    </w:rPr>
  </w:style>
  <w:style w:type="paragraph" w:customStyle="1" w:styleId="38">
    <w:name w:val="样式 正文缩进正文缩进2正文缩进 Char Char正文缩进 Char Char Char Char正文缩进 Char ..."/>
    <w:basedOn w:val="10"/>
    <w:next w:val="1"/>
    <w:qFormat/>
    <w:uiPriority w:val="0"/>
    <w:pPr>
      <w:ind w:firstLine="200"/>
    </w:pPr>
    <w:rPr>
      <w:rFonts w:cs="宋体"/>
    </w:rPr>
  </w:style>
  <w:style w:type="paragraph" w:customStyle="1" w:styleId="39">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0">
    <w:name w:val="NormalIndent"/>
    <w:basedOn w:val="1"/>
    <w:qFormat/>
    <w:uiPriority w:val="99"/>
    <w:rPr>
      <w:szCs w:val="20"/>
    </w:rPr>
  </w:style>
  <w:style w:type="paragraph" w:customStyle="1" w:styleId="41">
    <w:name w:val="表头"/>
    <w:basedOn w:val="22"/>
    <w:next w:val="1"/>
    <w:qFormat/>
    <w:uiPriority w:val="0"/>
    <w:pPr>
      <w:spacing w:before="50" w:beforeLines="50"/>
      <w:jc w:val="center"/>
    </w:pPr>
    <w:rPr>
      <w:rFonts w:cstheme="minorBidi"/>
      <w:b/>
      <w:sz w:val="21"/>
    </w:rPr>
  </w:style>
  <w:style w:type="paragraph" w:customStyle="1" w:styleId="42">
    <w:name w:val="表格"/>
    <w:basedOn w:val="1"/>
    <w:qFormat/>
    <w:uiPriority w:val="0"/>
    <w:pPr>
      <w:pBdr>
        <w:top w:val="single" w:color="auto" w:sz="12" w:space="1"/>
        <w:left w:val="none" w:color="auto" w:sz="0" w:space="4"/>
        <w:bottom w:val="single" w:color="auto" w:sz="12" w:space="1"/>
        <w:right w:val="none" w:color="auto" w:sz="0" w:space="4"/>
      </w:pBdr>
      <w:spacing w:line="240" w:lineRule="auto"/>
      <w:ind w:firstLine="0" w:firstLineChars="0"/>
    </w:pPr>
    <w:rPr>
      <w:sz w:val="20"/>
      <w:szCs w:val="21"/>
    </w:rPr>
  </w:style>
  <w:style w:type="paragraph" w:customStyle="1" w:styleId="43">
    <w:name w:val="表中文字"/>
    <w:basedOn w:val="1"/>
    <w:qFormat/>
    <w:uiPriority w:val="0"/>
    <w:pPr>
      <w:spacing w:line="240" w:lineRule="auto"/>
      <w:ind w:firstLine="0" w:firstLineChars="0"/>
      <w:jc w:val="center"/>
    </w:pPr>
    <w:rPr>
      <w:sz w:val="21"/>
      <w:szCs w:val="21"/>
    </w:rPr>
  </w:style>
  <w:style w:type="paragraph" w:customStyle="1" w:styleId="44">
    <w:name w:val="1正文段落"/>
    <w:basedOn w:val="1"/>
    <w:qFormat/>
    <w:uiPriority w:val="0"/>
    <w:pPr>
      <w:spacing w:line="500" w:lineRule="exact"/>
      <w:ind w:firstLine="480"/>
    </w:pPr>
    <w:rPr>
      <w:rFonts w:eastAsiaTheme="minorEastAsia"/>
      <w:snapToGrid w:val="0"/>
      <w:kern w:val="0"/>
      <w:szCs w:val="22"/>
    </w:rPr>
  </w:style>
  <w:style w:type="paragraph" w:customStyle="1" w:styleId="45">
    <w:name w:val="正文1"/>
    <w:qFormat/>
    <w:uiPriority w:val="0"/>
    <w:pPr>
      <w:widowControl w:val="0"/>
      <w:adjustRightInd w:val="0"/>
      <w:spacing w:line="312" w:lineRule="atLeast"/>
      <w:jc w:val="both"/>
      <w:textAlignment w:val="baseline"/>
    </w:pPr>
    <w:rPr>
      <w:rFonts w:ascii="宋体" w:hAnsiTheme="minorHAnsi" w:eastAsiaTheme="minorEastAsia" w:cstheme="minorBidi"/>
      <w:sz w:val="34"/>
      <w:szCs w:val="22"/>
      <w:lang w:val="en-US" w:eastAsia="zh-CN" w:bidi="ar-SA"/>
    </w:rPr>
  </w:style>
  <w:style w:type="paragraph" w:customStyle="1" w:styleId="46">
    <w:name w:val="我的正文"/>
    <w:basedOn w:val="1"/>
    <w:qFormat/>
    <w:uiPriority w:val="0"/>
    <w:pPr>
      <w:spacing w:line="500" w:lineRule="exact"/>
    </w:pPr>
    <w:rPr>
      <w:rFonts w:cs="仿宋_GB2312"/>
    </w:rPr>
  </w:style>
  <w:style w:type="character" w:customStyle="1" w:styleId="47">
    <w:name w:val="headline-content2"/>
    <w:qFormat/>
    <w:uiPriority w:val="0"/>
  </w:style>
  <w:style w:type="paragraph" w:customStyle="1" w:styleId="48">
    <w:name w:val="图表抬头"/>
    <w:basedOn w:val="49"/>
    <w:qFormat/>
    <w:uiPriority w:val="0"/>
    <w:pPr>
      <w:spacing w:line="240" w:lineRule="auto"/>
      <w:ind w:firstLine="0" w:firstLineChars="0"/>
      <w:jc w:val="center"/>
    </w:pPr>
    <w:rPr>
      <w:b/>
      <w:sz w:val="21"/>
    </w:rPr>
  </w:style>
  <w:style w:type="paragraph" w:customStyle="1" w:styleId="49">
    <w:name w:val="正文首行缩进1"/>
    <w:basedOn w:val="1"/>
    <w:qFormat/>
    <w:uiPriority w:val="0"/>
    <w:pPr>
      <w:ind w:firstLine="480"/>
    </w:pPr>
  </w:style>
  <w:style w:type="character" w:customStyle="1" w:styleId="50">
    <w:name w:val="表格 Char Char Char Char"/>
    <w:qFormat/>
    <w:uiPriority w:val="0"/>
    <w:rPr>
      <w:rFonts w:eastAsia="华文楷体"/>
      <w:kern w:val="2"/>
      <w:sz w:val="21"/>
      <w:lang w:val="en-US" w:eastAsia="zh-CN"/>
    </w:rPr>
  </w:style>
  <w:style w:type="paragraph" w:customStyle="1" w:styleId="51">
    <w:name w:val="表头、图示"/>
    <w:basedOn w:val="1"/>
    <w:qFormat/>
    <w:uiPriority w:val="0"/>
    <w:pPr>
      <w:spacing w:line="0" w:lineRule="atLeast"/>
      <w:jc w:val="center"/>
    </w:pPr>
    <w:rPr>
      <w:rFonts w:eastAsia="黑体"/>
      <w:szCs w:val="22"/>
    </w:rPr>
  </w:style>
  <w:style w:type="paragraph" w:customStyle="1" w:styleId="52">
    <w:name w:val="表1"/>
    <w:next w:val="1"/>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53">
    <w:name w:val="表体"/>
    <w:basedOn w:val="1"/>
    <w:qFormat/>
    <w:uiPriority w:val="0"/>
    <w:pPr>
      <w:overflowPunct w:val="0"/>
      <w:adjustRightInd w:val="0"/>
      <w:spacing w:line="300" w:lineRule="atLeast"/>
    </w:pPr>
    <w:rPr>
      <w:rFonts w:ascii="黑体" w:eastAsia="黑体"/>
      <w:b/>
      <w:color w:val="000000"/>
      <w:kern w:val="24"/>
      <w:sz w:val="18"/>
      <w:szCs w:val="28"/>
    </w:rPr>
  </w:style>
  <w:style w:type="paragraph" w:customStyle="1" w:styleId="54">
    <w:name w:val="表头！"/>
    <w:basedOn w:val="1"/>
    <w:qFormat/>
    <w:uiPriority w:val="0"/>
    <w:pPr>
      <w:spacing w:beforeLines="50"/>
      <w:jc w:val="center"/>
    </w:pPr>
    <w:rPr>
      <w:b/>
      <w:kern w:val="0"/>
    </w:rPr>
  </w:style>
  <w:style w:type="paragraph" w:customStyle="1" w:styleId="55">
    <w:name w:val="CM61"/>
    <w:basedOn w:val="2"/>
    <w:next w:val="2"/>
    <w:unhideWhenUsed/>
    <w:qFormat/>
    <w:uiPriority w:val="99"/>
    <w:pPr>
      <w:spacing w:after="210"/>
    </w:pPr>
  </w:style>
  <w:style w:type="paragraph" w:customStyle="1" w:styleId="56">
    <w:name w:val="列表段落1"/>
    <w:basedOn w:val="1"/>
    <w:unhideWhenUsed/>
    <w:qFormat/>
    <w:uiPriority w:val="99"/>
  </w:style>
  <w:style w:type="paragraph" w:customStyle="1" w:styleId="57">
    <w:name w:val="表格文字"/>
    <w:basedOn w:val="12"/>
    <w:qFormat/>
    <w:uiPriority w:val="0"/>
    <w:pPr>
      <w:jc w:val="center"/>
    </w:pPr>
    <w:rPr>
      <w:snapToGrid w:val="0"/>
    </w:rPr>
  </w:style>
  <w:style w:type="paragraph" w:customStyle="1" w:styleId="58">
    <w:name w:val="表文"/>
    <w:basedOn w:val="1"/>
    <w:qFormat/>
    <w:uiPriority w:val="0"/>
    <w:pPr>
      <w:spacing w:before="40" w:after="40"/>
    </w:pPr>
    <w:rPr>
      <w:szCs w:val="21"/>
    </w:rPr>
  </w:style>
  <w:style w:type="paragraph" w:customStyle="1" w:styleId="59">
    <w:name w:val="表格正文"/>
    <w:qFormat/>
    <w:uiPriority w:val="0"/>
    <w:pPr>
      <w:widowControl w:val="0"/>
      <w:jc w:val="center"/>
    </w:pPr>
    <w:rPr>
      <w:rFonts w:ascii="Times New Roman" w:hAnsi="Times New Roman" w:eastAsia="宋体" w:cs="Times New Roman"/>
      <w:kern w:val="2"/>
      <w:sz w:val="21"/>
      <w:szCs w:val="21"/>
      <w:lang w:val="en-US" w:eastAsia="zh-CN" w:bidi="ar-SA"/>
    </w:rPr>
  </w:style>
  <w:style w:type="paragraph" w:customStyle="1" w:styleId="60">
    <w:name w:val="正文格式"/>
    <w:basedOn w:val="1"/>
    <w:qFormat/>
    <w:uiPriority w:val="0"/>
    <w:pPr>
      <w:ind w:firstLine="544"/>
    </w:pPr>
    <w:rPr>
      <w:szCs w:val="20"/>
    </w:rPr>
  </w:style>
  <w:style w:type="paragraph" w:customStyle="1" w:styleId="61">
    <w:name w:val="正文(首行缩进)"/>
    <w:basedOn w:val="1"/>
    <w:qFormat/>
    <w:uiPriority w:val="0"/>
    <w:pPr>
      <w:ind w:firstLine="510"/>
    </w:pPr>
    <w:rPr>
      <w:rFonts w:ascii="宋体" w:hAnsi="宋体"/>
      <w:color w:val="000000"/>
    </w:rPr>
  </w:style>
  <w:style w:type="paragraph" w:customStyle="1" w:styleId="62">
    <w:name w:val="正文首行缩进-修改"/>
    <w:basedOn w:val="1"/>
    <w:qFormat/>
    <w:uiPriority w:val="0"/>
    <w:pPr>
      <w:ind w:firstLine="480"/>
    </w:pPr>
  </w:style>
  <w:style w:type="paragraph" w:customStyle="1" w:styleId="63">
    <w:name w:val="水秦路3"/>
    <w:basedOn w:val="1"/>
    <w:qFormat/>
    <w:uiPriority w:val="0"/>
    <w:pPr>
      <w:snapToGrid w:val="0"/>
      <w:spacing w:after="60" w:line="300" w:lineRule="auto"/>
      <w:outlineLvl w:val="2"/>
    </w:pPr>
    <w:rPr>
      <w:rFonts w:ascii="宋体" w:hAnsi="宋体"/>
      <w:spacing w:val="6"/>
      <w:sz w:val="28"/>
      <w:szCs w:val="28"/>
    </w:rPr>
  </w:style>
  <w:style w:type="paragraph" w:customStyle="1" w:styleId="64">
    <w:name w:val="正文（首行缩进两字） + 首行缩进:  2 字符1"/>
    <w:basedOn w:val="10"/>
    <w:next w:val="10"/>
    <w:qFormat/>
    <w:uiPriority w:val="0"/>
    <w:pPr>
      <w:tabs>
        <w:tab w:val="left" w:pos="945"/>
        <w:tab w:val="right" w:leader="dot" w:pos="1155"/>
        <w:tab w:val="left" w:pos="8715"/>
      </w:tabs>
      <w:adjustRightInd w:val="0"/>
      <w:snapToGrid w:val="0"/>
      <w:ind w:firstLine="480"/>
    </w:pPr>
    <w:rPr>
      <w:szCs w:val="21"/>
    </w:rPr>
  </w:style>
  <w:style w:type="paragraph" w:customStyle="1" w:styleId="65">
    <w:name w:val="表题"/>
    <w:basedOn w:val="1"/>
    <w:qFormat/>
    <w:uiPriority w:val="0"/>
    <w:pPr>
      <w:numPr>
        <w:ilvl w:val="0"/>
        <w:numId w:val="1"/>
      </w:numPr>
      <w:tabs>
        <w:tab w:val="clear" w:pos="360"/>
      </w:tabs>
      <w:overflowPunct w:val="0"/>
      <w:snapToGrid w:val="0"/>
      <w:spacing w:before="180" w:after="60"/>
      <w:ind w:left="0" w:firstLine="0"/>
      <w:jc w:val="center"/>
    </w:pPr>
    <w:rPr>
      <w:b/>
      <w:snapToGrid w:val="0"/>
      <w:kern w:val="0"/>
      <w:szCs w:val="21"/>
    </w:rPr>
  </w:style>
  <w:style w:type="paragraph" w:customStyle="1" w:styleId="66">
    <w:name w:val="表文字"/>
    <w:basedOn w:val="1"/>
    <w:qFormat/>
    <w:uiPriority w:val="0"/>
    <w:pPr>
      <w:jc w:val="center"/>
    </w:pPr>
    <w:rPr>
      <w:szCs w:val="21"/>
    </w:rPr>
  </w:style>
  <w:style w:type="character" w:customStyle="1" w:styleId="67">
    <w:name w:val="标题 3 Char"/>
    <w:link w:val="6"/>
    <w:qFormat/>
    <w:uiPriority w:val="0"/>
    <w:rPr>
      <w:rFonts w:ascii="Times New Roman" w:hAnsi="Times New Roman"/>
      <w:b/>
      <w:sz w:val="24"/>
    </w:rPr>
  </w:style>
  <w:style w:type="paragraph" w:customStyle="1" w:styleId="68">
    <w:name w:val="WPSOffice手动目录 1"/>
    <w:qFormat/>
    <w:uiPriority w:val="0"/>
    <w:rPr>
      <w:rFonts w:ascii="Calibri" w:hAnsi="Calibri" w:eastAsia="宋体" w:cs="Times New Roman"/>
      <w:lang w:val="en-US" w:eastAsia="zh-CN" w:bidi="ar-SA"/>
    </w:rPr>
  </w:style>
  <w:style w:type="paragraph" w:customStyle="1" w:styleId="69">
    <w:name w:val="WPSOffice手动目录 2"/>
    <w:qFormat/>
    <w:uiPriority w:val="0"/>
    <w:pPr>
      <w:ind w:left="200" w:leftChars="200"/>
    </w:pPr>
    <w:rPr>
      <w:rFonts w:ascii="Calibri" w:hAnsi="Calibri" w:eastAsia="宋体" w:cs="Times New Roman"/>
      <w:lang w:val="en-US" w:eastAsia="zh-CN" w:bidi="ar-SA"/>
    </w:rPr>
  </w:style>
  <w:style w:type="paragraph" w:customStyle="1" w:styleId="70">
    <w:name w:val="WPSOffice手动目录 3"/>
    <w:qFormat/>
    <w:uiPriority w:val="0"/>
    <w:pPr>
      <w:ind w:left="400" w:leftChars="400"/>
    </w:pPr>
    <w:rPr>
      <w:rFonts w:ascii="Calibri" w:hAnsi="Calibri" w:eastAsia="宋体" w:cs="Times New Roman"/>
      <w:lang w:val="en-US" w:eastAsia="zh-CN" w:bidi="ar-SA"/>
    </w:rPr>
  </w:style>
  <w:style w:type="paragraph" w:customStyle="1" w:styleId="71">
    <w:name w:val="表格新"/>
    <w:basedOn w:val="1"/>
    <w:qFormat/>
    <w:uiPriority w:val="0"/>
    <w:pPr>
      <w:spacing w:line="0" w:lineRule="atLeast"/>
      <w:jc w:val="center"/>
    </w:pPr>
    <w:rPr>
      <w:kern w:val="0"/>
      <w:szCs w:val="20"/>
      <w:lang w:val="zh-CN"/>
    </w:rPr>
  </w:style>
  <w:style w:type="paragraph" w:customStyle="1" w:styleId="72">
    <w:name w:val="表中"/>
    <w:basedOn w:val="1"/>
    <w:qFormat/>
    <w:uiPriority w:val="0"/>
    <w:pPr>
      <w:spacing w:line="240" w:lineRule="auto"/>
      <w:ind w:firstLine="0" w:firstLineChars="0"/>
      <w:jc w:val="center"/>
    </w:pPr>
    <w:rPr>
      <w:sz w:val="21"/>
      <w:szCs w:val="21"/>
    </w:rPr>
  </w:style>
  <w:style w:type="paragraph" w:customStyle="1" w:styleId="73">
    <w:name w:val="sxy表头"/>
    <w:basedOn w:val="74"/>
    <w:qFormat/>
    <w:uiPriority w:val="0"/>
    <w:pPr>
      <w:ind w:left="1440"/>
    </w:pPr>
    <w:rPr>
      <w:rFonts w:ascii="Times New Roman" w:hAnsi="Times New Roman"/>
    </w:rPr>
  </w:style>
  <w:style w:type="paragraph" w:customStyle="1" w:styleId="74">
    <w:name w:val="表头11"/>
    <w:basedOn w:val="1"/>
    <w:qFormat/>
    <w:uiPriority w:val="0"/>
    <w:pPr>
      <w:numPr>
        <w:ilvl w:val="4"/>
        <w:numId w:val="2"/>
      </w:numPr>
      <w:wordWrap w:val="0"/>
      <w:spacing w:after="100" w:afterAutospacing="1"/>
      <w:ind w:left="993"/>
      <w:jc w:val="center"/>
    </w:pPr>
    <w:rPr>
      <w:rFonts w:ascii="宋体" w:hAnsi="宋体"/>
      <w:b/>
    </w:rPr>
  </w:style>
  <w:style w:type="paragraph" w:customStyle="1" w:styleId="75">
    <w:name w:val="6-表中文字"/>
    <w:basedOn w:val="1"/>
    <w:qFormat/>
    <w:uiPriority w:val="0"/>
    <w:pPr>
      <w:overflowPunct w:val="0"/>
      <w:topLinePunct/>
      <w:adjustRightInd w:val="0"/>
      <w:snapToGrid w:val="0"/>
      <w:spacing w:line="500" w:lineRule="exact"/>
      <w:ind w:left="113" w:right="113" w:firstLine="0" w:firstLineChars="0"/>
      <w:jc w:val="center"/>
      <w:textAlignment w:val="center"/>
    </w:pPr>
    <w:rPr>
      <w:szCs w:val="28"/>
    </w:rPr>
  </w:style>
  <w:style w:type="paragraph" w:customStyle="1" w:styleId="76">
    <w:name w:val="Table Paragraph"/>
    <w:basedOn w:val="1"/>
    <w:qFormat/>
    <w:uiPriority w:val="1"/>
    <w:pPr>
      <w:jc w:val="center"/>
    </w:pPr>
    <w:rPr>
      <w:rFonts w:eastAsia="Times New Roman"/>
      <w:lang w:val="zh-CN" w:bidi="zh-CN"/>
    </w:rPr>
  </w:style>
  <w:style w:type="character" w:customStyle="1" w:styleId="77">
    <w:name w:val="标题 2 Char"/>
    <w:basedOn w:val="34"/>
    <w:link w:val="5"/>
    <w:qFormat/>
    <w:uiPriority w:val="0"/>
    <w:rPr>
      <w:rFonts w:ascii="Times New Roman" w:hAnsi="Times New Roman" w:eastAsia="宋体"/>
      <w:b/>
      <w:bCs/>
      <w:sz w:val="28"/>
      <w:szCs w:val="28"/>
    </w:rPr>
  </w:style>
  <w:style w:type="paragraph" w:customStyle="1" w:styleId="78">
    <w:name w:val="11正文"/>
    <w:basedOn w:val="1"/>
    <w:qFormat/>
    <w:uiPriority w:val="0"/>
    <w:pPr>
      <w:ind w:firstLine="200"/>
    </w:pPr>
  </w:style>
  <w:style w:type="paragraph" w:customStyle="1" w:styleId="79">
    <w:name w:val="正文文本缩进1"/>
    <w:basedOn w:val="1"/>
    <w:qFormat/>
    <w:uiPriority w:val="0"/>
    <w:pPr>
      <w:ind w:left="420" w:leftChars="200"/>
    </w:pPr>
  </w:style>
  <w:style w:type="table" w:customStyle="1" w:styleId="80">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1">
    <w:name w:val="1表格中字"/>
    <w:basedOn w:val="1"/>
    <w:qFormat/>
    <w:uiPriority w:val="0"/>
    <w:pPr>
      <w:snapToGrid w:val="0"/>
      <w:jc w:val="center"/>
    </w:pPr>
    <w:rPr>
      <w:rFonts w:ascii="Cambria Math" w:hAnsi="Calibri Light" w:cs="Cambria Math"/>
      <w:szCs w:val="21"/>
    </w:rPr>
  </w:style>
  <w:style w:type="paragraph" w:customStyle="1" w:styleId="82">
    <w:name w:val="正文缩进1"/>
    <w:basedOn w:val="1"/>
    <w:qFormat/>
    <w:uiPriority w:val="0"/>
  </w:style>
  <w:style w:type="paragraph" w:customStyle="1" w:styleId="83">
    <w:name w:val="表格标题"/>
    <w:basedOn w:val="84"/>
    <w:qFormat/>
    <w:uiPriority w:val="0"/>
    <w:pPr>
      <w:spacing w:line="240" w:lineRule="auto"/>
      <w:ind w:firstLine="0" w:firstLineChars="0"/>
      <w:jc w:val="center"/>
    </w:pPr>
    <w:rPr>
      <w:rFonts w:eastAsia="黑体"/>
      <w:sz w:val="21"/>
    </w:rPr>
  </w:style>
  <w:style w:type="paragraph" w:customStyle="1" w:styleId="84">
    <w:name w:val="4正文"/>
    <w:next w:val="83"/>
    <w:qFormat/>
    <w:uiPriority w:val="0"/>
    <w:pPr>
      <w:widowControl w:val="0"/>
      <w:spacing w:line="360" w:lineRule="auto"/>
      <w:ind w:firstLine="200" w:firstLineChars="200"/>
      <w:jc w:val="both"/>
    </w:pPr>
    <w:rPr>
      <w:rFonts w:ascii="Times New Roman" w:hAnsi="Times New Roman" w:eastAsia="宋体" w:cs="宋体"/>
      <w:sz w:val="24"/>
      <w:lang w:val="en-US" w:eastAsia="zh-CN" w:bidi="ar-SA"/>
    </w:rPr>
  </w:style>
  <w:style w:type="paragraph" w:customStyle="1" w:styleId="85">
    <w:name w:val="表内文字"/>
    <w:qFormat/>
    <w:uiPriority w:val="99"/>
    <w:pPr>
      <w:widowControl w:val="0"/>
      <w:jc w:val="center"/>
    </w:pPr>
    <w:rPr>
      <w:rFonts w:ascii="Times New Roman" w:hAnsi="Times New Roman" w:eastAsia="宋体" w:cs="Times New Roman"/>
      <w:kern w:val="2"/>
      <w:sz w:val="21"/>
      <w:szCs w:val="24"/>
      <w:lang w:val="en-US" w:eastAsia="zh-CN" w:bidi="ar-SA"/>
    </w:rPr>
  </w:style>
  <w:style w:type="paragraph" w:customStyle="1" w:styleId="86">
    <w:name w:val="Body text|3"/>
    <w:basedOn w:val="1"/>
    <w:qFormat/>
    <w:uiPriority w:val="0"/>
    <w:pPr>
      <w:spacing w:after="140"/>
      <w:ind w:left="1800" w:firstLine="260"/>
    </w:pPr>
    <w:rPr>
      <w:rFonts w:ascii="宋体" w:hAnsi="宋体" w:cs="宋体"/>
      <w:sz w:val="30"/>
      <w:szCs w:val="30"/>
      <w:lang w:val="zh-CN" w:bidi="zh-CN"/>
    </w:rPr>
  </w:style>
  <w:style w:type="paragraph" w:customStyle="1" w:styleId="87">
    <w:name w:val="Other|1"/>
    <w:basedOn w:val="1"/>
    <w:qFormat/>
    <w:uiPriority w:val="0"/>
    <w:pPr>
      <w:jc w:val="center"/>
    </w:pPr>
    <w:rPr>
      <w:rFonts w:ascii="宋体" w:hAnsi="宋体" w:cs="宋体"/>
      <w:sz w:val="20"/>
      <w:szCs w:val="20"/>
      <w:lang w:val="zh-CN" w:bidi="zh-CN"/>
    </w:rPr>
  </w:style>
  <w:style w:type="paragraph" w:customStyle="1" w:styleId="88">
    <w:name w:val="6"/>
    <w:basedOn w:val="28"/>
    <w:qFormat/>
    <w:uiPriority w:val="0"/>
    <w:pPr>
      <w:spacing w:before="0" w:after="0" w:line="240" w:lineRule="auto"/>
      <w:ind w:firstLine="0" w:firstLineChars="0"/>
      <w:outlineLvl w:val="9"/>
    </w:pPr>
    <w:rPr>
      <w:rFonts w:ascii="Times New Roman" w:hAnsi="Times New Roman"/>
      <w:bCs/>
      <w:kern w:val="2"/>
      <w:sz w:val="21"/>
      <w:szCs w:val="21"/>
    </w:rPr>
  </w:style>
  <w:style w:type="paragraph" w:customStyle="1" w:styleId="89">
    <w:name w:val="Body text|1"/>
    <w:basedOn w:val="1"/>
    <w:qFormat/>
    <w:uiPriority w:val="0"/>
    <w:pPr>
      <w:spacing w:after="90" w:line="422" w:lineRule="auto"/>
      <w:ind w:firstLine="310"/>
    </w:pPr>
    <w:rPr>
      <w:rFonts w:ascii="宋体" w:hAnsi="宋体" w:cs="宋体"/>
      <w:sz w:val="20"/>
      <w:szCs w:val="20"/>
      <w:lang w:val="zh-CN" w:bidi="zh-CN"/>
    </w:rPr>
  </w:style>
  <w:style w:type="paragraph" w:customStyle="1" w:styleId="90">
    <w:name w:val="标题2"/>
    <w:unhideWhenUsed/>
    <w:qFormat/>
    <w:uiPriority w:val="2"/>
    <w:pPr>
      <w:outlineLvl w:val="2"/>
    </w:pPr>
    <w:rPr>
      <w:rFonts w:ascii="Calibri" w:hAnsi="Calibri" w:eastAsia="宋体" w:cs="Times New Roman"/>
      <w:kern w:val="2"/>
      <w:sz w:val="21"/>
      <w:szCs w:val="22"/>
      <w:lang w:val="en-US" w:eastAsia="zh-CN" w:bidi="ar-SA"/>
    </w:rPr>
  </w:style>
  <w:style w:type="paragraph" w:customStyle="1" w:styleId="91">
    <w:name w:val="1正文文本"/>
    <w:basedOn w:val="1"/>
    <w:qFormat/>
    <w:uiPriority w:val="0"/>
    <w:pPr>
      <w:autoSpaceDE w:val="0"/>
      <w:autoSpaceDN w:val="0"/>
      <w:adjustRightInd w:val="0"/>
      <w:spacing w:line="480" w:lineRule="exact"/>
      <w:ind w:firstLine="200"/>
    </w:pPr>
    <w:rPr>
      <w:rFonts w:hAnsi="宋体"/>
      <w:kern w:val="0"/>
    </w:rPr>
  </w:style>
  <w:style w:type="paragraph" w:customStyle="1" w:styleId="92">
    <w:name w:val="1表头"/>
    <w:basedOn w:val="1"/>
    <w:qFormat/>
    <w:uiPriority w:val="0"/>
    <w:pPr>
      <w:adjustRightInd w:val="0"/>
      <w:snapToGrid w:val="0"/>
      <w:spacing w:before="156" w:beforeLines="50"/>
      <w:jc w:val="center"/>
    </w:pPr>
    <w:rPr>
      <w:b/>
      <w:bCs/>
      <w:szCs w:val="28"/>
    </w:rPr>
  </w:style>
  <w:style w:type="paragraph" w:customStyle="1" w:styleId="93">
    <w:name w:val="正文文本 (2)"/>
    <w:basedOn w:val="1"/>
    <w:qFormat/>
    <w:uiPriority w:val="0"/>
    <w:pPr>
      <w:shd w:val="clear" w:color="auto" w:fill="FFFFFF"/>
      <w:spacing w:before="100" w:beforeAutospacing="1" w:after="240" w:line="0" w:lineRule="atLeast"/>
      <w:ind w:left="120" w:hanging="120"/>
      <w:jc w:val="center"/>
    </w:pPr>
    <w:rPr>
      <w:rFonts w:ascii="MingLiU" w:hAnsi="MingLiU" w:eastAsia="MingLiU" w:cs="宋体"/>
      <w:sz w:val="22"/>
    </w:rPr>
  </w:style>
  <w:style w:type="paragraph" w:customStyle="1" w:styleId="94">
    <w:name w:val="【正文】"/>
    <w:basedOn w:val="1"/>
    <w:qFormat/>
    <w:uiPriority w:val="0"/>
    <w:pPr>
      <w:ind w:firstLine="200"/>
    </w:pPr>
  </w:style>
  <w:style w:type="paragraph" w:customStyle="1" w:styleId="95">
    <w:name w:val="表 标题"/>
    <w:basedOn w:val="1"/>
    <w:qFormat/>
    <w:uiPriority w:val="0"/>
    <w:pPr>
      <w:spacing w:before="50" w:beforeLines="50"/>
      <w:jc w:val="center"/>
    </w:pPr>
    <w:rPr>
      <w:b/>
      <w:szCs w:val="21"/>
    </w:rPr>
  </w:style>
  <w:style w:type="paragraph" w:customStyle="1" w:styleId="96">
    <w:name w:val="表内"/>
    <w:basedOn w:val="1"/>
    <w:next w:val="1"/>
    <w:qFormat/>
    <w:uiPriority w:val="0"/>
    <w:pPr>
      <w:jc w:val="center"/>
    </w:pPr>
    <w:rPr>
      <w:rFonts w:ascii="Calibri" w:hAnsi="Calibri"/>
      <w:sz w:val="18"/>
      <w:szCs w:val="22"/>
    </w:rPr>
  </w:style>
  <w:style w:type="paragraph" w:customStyle="1" w:styleId="97">
    <w:name w:val="报告"/>
    <w:basedOn w:val="1"/>
    <w:qFormat/>
    <w:uiPriority w:val="0"/>
    <w:pPr>
      <w:spacing w:line="500" w:lineRule="exact"/>
      <w:ind w:firstLine="480"/>
    </w:pPr>
    <w:rPr>
      <w:szCs w:val="20"/>
    </w:rPr>
  </w:style>
  <w:style w:type="paragraph" w:customStyle="1" w:styleId="98">
    <w:name w:val="标题4"/>
    <w:basedOn w:val="1"/>
    <w:qFormat/>
    <w:uiPriority w:val="0"/>
    <w:pPr>
      <w:autoSpaceDE w:val="0"/>
      <w:autoSpaceDN w:val="0"/>
      <w:adjustRightInd w:val="0"/>
      <w:jc w:val="left"/>
      <w:textAlignment w:val="baseline"/>
    </w:pPr>
    <w:rPr>
      <w:b/>
      <w:snapToGrid w:val="0"/>
      <w:kern w:val="0"/>
    </w:rPr>
  </w:style>
  <w:style w:type="paragraph" w:customStyle="1" w:styleId="99">
    <w:name w:val="正文2"/>
    <w:qFormat/>
    <w:uiPriority w:val="0"/>
    <w:pPr>
      <w:jc w:val="both"/>
    </w:pPr>
    <w:rPr>
      <w:rFonts w:ascii="Calibri" w:hAnsi="Calibri" w:eastAsia="宋体" w:cs="Times New Roman"/>
      <w:kern w:val="2"/>
      <w:sz w:val="21"/>
      <w:szCs w:val="21"/>
      <w:lang w:val="en-US" w:eastAsia="zh-CN" w:bidi="ar-SA"/>
    </w:rPr>
  </w:style>
  <w:style w:type="character" w:customStyle="1" w:styleId="100">
    <w:name w:val="批注文字 Char"/>
    <w:basedOn w:val="34"/>
    <w:link w:val="11"/>
    <w:qFormat/>
    <w:uiPriority w:val="0"/>
    <w:rPr>
      <w:kern w:val="2"/>
      <w:sz w:val="24"/>
      <w:szCs w:val="24"/>
    </w:rPr>
  </w:style>
  <w:style w:type="character" w:customStyle="1" w:styleId="101">
    <w:name w:val="批注主题 Char"/>
    <w:basedOn w:val="100"/>
    <w:link w:val="29"/>
    <w:qFormat/>
    <w:uiPriority w:val="0"/>
    <w:rPr>
      <w:b/>
      <w:bCs/>
      <w:kern w:val="2"/>
      <w:sz w:val="24"/>
      <w:szCs w:val="24"/>
    </w:rPr>
  </w:style>
  <w:style w:type="paragraph" w:customStyle="1" w:styleId="102">
    <w:name w:val="修订1"/>
    <w:hidden/>
    <w:semiHidden/>
    <w:qFormat/>
    <w:uiPriority w:val="99"/>
    <w:rPr>
      <w:rFonts w:ascii="Times New Roman" w:hAnsi="Times New Roman" w:eastAsia="宋体" w:cs="Times New Roman"/>
      <w:kern w:val="2"/>
      <w:sz w:val="24"/>
      <w:szCs w:val="24"/>
      <w:lang w:val="en-US" w:eastAsia="zh-CN" w:bidi="ar-SA"/>
    </w:rPr>
  </w:style>
  <w:style w:type="paragraph" w:customStyle="1" w:styleId="103">
    <w:name w:val="表格内容"/>
    <w:basedOn w:val="85"/>
    <w:next w:val="1"/>
    <w:link w:val="106"/>
    <w:qFormat/>
    <w:uiPriority w:val="0"/>
    <w:pPr>
      <w:ind w:firstLine="0"/>
      <w:jc w:val="center"/>
    </w:pPr>
  </w:style>
  <w:style w:type="character" w:customStyle="1" w:styleId="104">
    <w:name w:val="批注框文本 Char"/>
    <w:basedOn w:val="34"/>
    <w:link w:val="18"/>
    <w:qFormat/>
    <w:uiPriority w:val="0"/>
    <w:rPr>
      <w:kern w:val="2"/>
      <w:sz w:val="18"/>
      <w:szCs w:val="18"/>
    </w:rPr>
  </w:style>
  <w:style w:type="paragraph" w:customStyle="1" w:styleId="105">
    <w:name w:val="标题图文"/>
    <w:basedOn w:val="1"/>
    <w:qFormat/>
    <w:uiPriority w:val="0"/>
    <w:pPr>
      <w:tabs>
        <w:tab w:val="left" w:pos="893"/>
      </w:tabs>
      <w:spacing w:line="240" w:lineRule="auto"/>
      <w:ind w:firstLine="0" w:firstLineChars="0"/>
      <w:jc w:val="center"/>
    </w:pPr>
    <w:rPr>
      <w:b/>
      <w:snapToGrid w:val="0"/>
      <w:color w:val="auto"/>
      <w:kern w:val="0"/>
      <w:sz w:val="21"/>
      <w:szCs w:val="20"/>
      <w:lang w:val="zh-CN"/>
    </w:rPr>
  </w:style>
  <w:style w:type="character" w:customStyle="1" w:styleId="106">
    <w:name w:val="表格内容 Char"/>
    <w:link w:val="103"/>
    <w:qFormat/>
    <w:uiPriority w:val="0"/>
  </w:style>
  <w:style w:type="paragraph" w:customStyle="1" w:styleId="107">
    <w:name w:val="Normal (Web)"/>
    <w:basedOn w:val="1"/>
    <w:qFormat/>
    <w:uiPriority w:val="0"/>
    <w:pPr>
      <w:keepNext w:val="0"/>
      <w:keepLines w:val="0"/>
      <w:widowControl/>
      <w:suppressLineNumbers w:val="0"/>
      <w:adjustRightInd/>
      <w:snapToGrid/>
      <w:spacing w:before="100" w:beforeAutospacing="1" w:after="100" w:afterAutospacing="1"/>
      <w:ind w:left="0" w:right="0"/>
      <w:jc w:val="left"/>
    </w:pPr>
    <w:rPr>
      <w:rFonts w:hint="eastAsia" w:ascii="宋体" w:hAnsi="宋体" w:eastAsia="宋体" w:cs="宋体"/>
      <w:snapToGrid/>
      <w:kern w:val="0"/>
      <w:sz w:val="24"/>
      <w:szCs w:val="24"/>
      <w:lang w:val="en-US" w:eastAsia="zh-CN" w:bidi="ar"/>
    </w:rPr>
  </w:style>
  <w:style w:type="paragraph" w:customStyle="1" w:styleId="108">
    <w:name w:val="标题3"/>
    <w:basedOn w:val="1"/>
    <w:qFormat/>
    <w:uiPriority w:val="0"/>
    <w:pPr>
      <w:spacing w:beforeLines="50" w:afterLines="0"/>
      <w:ind w:firstLine="0" w:firstLineChars="0"/>
      <w:outlineLvl w:val="2"/>
    </w:pPr>
    <w:rPr>
      <w:rFonts w:eastAsia="宋体"/>
      <w:b/>
      <w:bCs/>
      <w:color w:val="000000"/>
    </w:rPr>
  </w:style>
  <w:style w:type="paragraph" w:customStyle="1" w:styleId="109">
    <w:name w:val="正文 首行缩进"/>
    <w:basedOn w:val="1"/>
    <w:qFormat/>
    <w:uiPriority w:val="0"/>
    <w:pPr>
      <w:widowControl w:val="0"/>
      <w:kinsoku/>
      <w:adjustRightInd w:val="0"/>
      <w:snapToGrid w:val="0"/>
      <w:spacing w:line="360" w:lineRule="auto"/>
      <w:ind w:firstLine="800" w:firstLineChars="200"/>
      <w:jc w:val="both"/>
    </w:pPr>
    <w:rPr>
      <w:rFonts w:cs="宋体"/>
      <w:szCs w:val="20"/>
    </w:rPr>
  </w:style>
  <w:style w:type="paragraph" w:customStyle="1" w:styleId="110">
    <w:name w:val="表、图头"/>
    <w:basedOn w:val="1"/>
    <w:qFormat/>
    <w:uiPriority w:val="0"/>
    <w:pPr>
      <w:spacing w:before="50" w:beforeLines="50" w:line="240" w:lineRule="auto"/>
      <w:ind w:firstLine="0" w:firstLineChars="0"/>
      <w:jc w:val="center"/>
    </w:pPr>
    <w:rPr>
      <w:rFonts w:ascii="Times New Roman" w:hAnsi="Times New Roman" w:eastAsia="宋体"/>
      <w:b/>
      <w:kern w:val="0"/>
      <w:sz w:val="24"/>
      <w:szCs w:val="20"/>
      <w:lang w:val="en-US" w:bidi="bo-CN"/>
    </w:rPr>
  </w:style>
  <w:style w:type="character" w:customStyle="1" w:styleId="111">
    <w:name w:val="font01"/>
    <w:basedOn w:val="34"/>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5" Type="http://schemas.microsoft.com/office/2011/relationships/people" Target="people.xml"/><Relationship Id="rId94" Type="http://schemas.openxmlformats.org/officeDocument/2006/relationships/fontTable" Target="fontTable.xml"/><Relationship Id="rId93" Type="http://schemas.openxmlformats.org/officeDocument/2006/relationships/numbering" Target="numbering.xml"/><Relationship Id="rId92" Type="http://schemas.openxmlformats.org/officeDocument/2006/relationships/customXml" Target="../customXml/item1.xml"/><Relationship Id="rId91" Type="http://schemas.openxmlformats.org/officeDocument/2006/relationships/image" Target="media/image43.png"/><Relationship Id="rId90" Type="http://schemas.openxmlformats.org/officeDocument/2006/relationships/image" Target="media/image42.png"/><Relationship Id="rId9" Type="http://schemas.openxmlformats.org/officeDocument/2006/relationships/header" Target="header2.xml"/><Relationship Id="rId89" Type="http://schemas.openxmlformats.org/officeDocument/2006/relationships/image" Target="media/image41.png"/><Relationship Id="rId88" Type="http://schemas.openxmlformats.org/officeDocument/2006/relationships/oleObject" Target="embeddings/oleObject27.bin"/><Relationship Id="rId87" Type="http://schemas.openxmlformats.org/officeDocument/2006/relationships/image" Target="media/image40.png"/><Relationship Id="rId86" Type="http://schemas.openxmlformats.org/officeDocument/2006/relationships/oleObject" Target="embeddings/oleObject26.bin"/><Relationship Id="rId85" Type="http://schemas.openxmlformats.org/officeDocument/2006/relationships/image" Target="media/image39.wmf"/><Relationship Id="rId84" Type="http://schemas.openxmlformats.org/officeDocument/2006/relationships/oleObject" Target="embeddings/oleObject25.bin"/><Relationship Id="rId83" Type="http://schemas.openxmlformats.org/officeDocument/2006/relationships/image" Target="media/image38.png"/><Relationship Id="rId82" Type="http://schemas.openxmlformats.org/officeDocument/2006/relationships/image" Target="media/image37.wmf"/><Relationship Id="rId81" Type="http://schemas.openxmlformats.org/officeDocument/2006/relationships/oleObject" Target="embeddings/oleObject24.bin"/><Relationship Id="rId80" Type="http://schemas.openxmlformats.org/officeDocument/2006/relationships/image" Target="media/image36.png"/><Relationship Id="rId8" Type="http://schemas.openxmlformats.org/officeDocument/2006/relationships/footer" Target="footer1.xml"/><Relationship Id="rId79" Type="http://schemas.openxmlformats.org/officeDocument/2006/relationships/image" Target="media/image35.png"/><Relationship Id="rId78" Type="http://schemas.openxmlformats.org/officeDocument/2006/relationships/image" Target="media/image34.png"/><Relationship Id="rId77" Type="http://schemas.openxmlformats.org/officeDocument/2006/relationships/chart" Target="charts/chart6.xml"/><Relationship Id="rId76" Type="http://schemas.openxmlformats.org/officeDocument/2006/relationships/chart" Target="charts/chart5.xml"/><Relationship Id="rId75" Type="http://schemas.openxmlformats.org/officeDocument/2006/relationships/chart" Target="charts/chart4.xml"/><Relationship Id="rId74" Type="http://schemas.openxmlformats.org/officeDocument/2006/relationships/chart" Target="charts/chart3.xml"/><Relationship Id="rId73" Type="http://schemas.openxmlformats.org/officeDocument/2006/relationships/chart" Target="charts/chart2.xml"/><Relationship Id="rId72" Type="http://schemas.openxmlformats.org/officeDocument/2006/relationships/chart" Target="charts/chart1.xml"/><Relationship Id="rId71" Type="http://schemas.openxmlformats.org/officeDocument/2006/relationships/image" Target="media/image33.png"/><Relationship Id="rId70" Type="http://schemas.openxmlformats.org/officeDocument/2006/relationships/image" Target="media/image32.jpeg"/><Relationship Id="rId7" Type="http://schemas.openxmlformats.org/officeDocument/2006/relationships/header" Target="header1.xml"/><Relationship Id="rId69" Type="http://schemas.openxmlformats.org/officeDocument/2006/relationships/image" Target="media/image31.jpeg"/><Relationship Id="rId68" Type="http://schemas.openxmlformats.org/officeDocument/2006/relationships/image" Target="media/image30.wmf"/><Relationship Id="rId67" Type="http://schemas.openxmlformats.org/officeDocument/2006/relationships/oleObject" Target="embeddings/oleObject23.bin"/><Relationship Id="rId66" Type="http://schemas.openxmlformats.org/officeDocument/2006/relationships/image" Target="media/image29.jpeg"/><Relationship Id="rId65" Type="http://schemas.openxmlformats.org/officeDocument/2006/relationships/image" Target="media/image28.jpeg"/><Relationship Id="rId64" Type="http://schemas.openxmlformats.org/officeDocument/2006/relationships/image" Target="media/image27.jpeg"/><Relationship Id="rId63" Type="http://schemas.openxmlformats.org/officeDocument/2006/relationships/image" Target="media/image26.wmf"/><Relationship Id="rId62" Type="http://schemas.openxmlformats.org/officeDocument/2006/relationships/oleObject" Target="embeddings/oleObject22.bin"/><Relationship Id="rId61" Type="http://schemas.openxmlformats.org/officeDocument/2006/relationships/image" Target="media/image25.wmf"/><Relationship Id="rId60" Type="http://schemas.openxmlformats.org/officeDocument/2006/relationships/oleObject" Target="embeddings/oleObject21.bin"/><Relationship Id="rId6" Type="http://schemas.openxmlformats.org/officeDocument/2006/relationships/endnotes" Target="endnotes.xml"/><Relationship Id="rId59" Type="http://schemas.openxmlformats.org/officeDocument/2006/relationships/image" Target="media/image24.wmf"/><Relationship Id="rId58" Type="http://schemas.openxmlformats.org/officeDocument/2006/relationships/oleObject" Target="embeddings/oleObject20.bin"/><Relationship Id="rId57" Type="http://schemas.openxmlformats.org/officeDocument/2006/relationships/image" Target="media/image23.emf"/><Relationship Id="rId56" Type="http://schemas.openxmlformats.org/officeDocument/2006/relationships/oleObject" Target="embeddings/oleObject19.bin"/><Relationship Id="rId55" Type="http://schemas.openxmlformats.org/officeDocument/2006/relationships/image" Target="media/image22.emf"/><Relationship Id="rId54" Type="http://schemas.openxmlformats.org/officeDocument/2006/relationships/oleObject" Target="embeddings/oleObject18.bin"/><Relationship Id="rId53" Type="http://schemas.openxmlformats.org/officeDocument/2006/relationships/image" Target="media/image21.emf"/><Relationship Id="rId52" Type="http://schemas.openxmlformats.org/officeDocument/2006/relationships/oleObject" Target="embeddings/oleObject17.bin"/><Relationship Id="rId51" Type="http://schemas.openxmlformats.org/officeDocument/2006/relationships/image" Target="media/image20.emf"/><Relationship Id="rId50" Type="http://schemas.openxmlformats.org/officeDocument/2006/relationships/oleObject" Target="embeddings/oleObject16.bin"/><Relationship Id="rId5" Type="http://schemas.openxmlformats.org/officeDocument/2006/relationships/footnotes" Target="footnotes.xml"/><Relationship Id="rId49" Type="http://schemas.openxmlformats.org/officeDocument/2006/relationships/image" Target="media/image19.emf"/><Relationship Id="rId48" Type="http://schemas.openxmlformats.org/officeDocument/2006/relationships/oleObject" Target="embeddings/oleObject15.bin"/><Relationship Id="rId47" Type="http://schemas.openxmlformats.org/officeDocument/2006/relationships/image" Target="media/image18.emf"/><Relationship Id="rId46" Type="http://schemas.openxmlformats.org/officeDocument/2006/relationships/oleObject" Target="embeddings/oleObject14.bin"/><Relationship Id="rId45" Type="http://schemas.openxmlformats.org/officeDocument/2006/relationships/image" Target="media/image17.emf"/><Relationship Id="rId44" Type="http://schemas.openxmlformats.org/officeDocument/2006/relationships/oleObject" Target="embeddings/oleObject13.bin"/><Relationship Id="rId43" Type="http://schemas.openxmlformats.org/officeDocument/2006/relationships/image" Target="media/image16.emf"/><Relationship Id="rId42" Type="http://schemas.openxmlformats.org/officeDocument/2006/relationships/oleObject" Target="embeddings/oleObject12.bin"/><Relationship Id="rId41" Type="http://schemas.openxmlformats.org/officeDocument/2006/relationships/image" Target="media/image15.emf"/><Relationship Id="rId40" Type="http://schemas.openxmlformats.org/officeDocument/2006/relationships/oleObject" Target="embeddings/oleObject11.bin"/><Relationship Id="rId4" Type="http://schemas.microsoft.com/office/2011/relationships/commentsExtended" Target="commentsExtended.xml"/><Relationship Id="rId39" Type="http://schemas.openxmlformats.org/officeDocument/2006/relationships/image" Target="media/image14.emf"/><Relationship Id="rId38" Type="http://schemas.openxmlformats.org/officeDocument/2006/relationships/oleObject" Target="embeddings/oleObject10.bin"/><Relationship Id="rId37" Type="http://schemas.openxmlformats.org/officeDocument/2006/relationships/image" Target="media/image13.emf"/><Relationship Id="rId36" Type="http://schemas.openxmlformats.org/officeDocument/2006/relationships/oleObject" Target="embeddings/oleObject9.bin"/><Relationship Id="rId35" Type="http://schemas.openxmlformats.org/officeDocument/2006/relationships/image" Target="media/image12.emf"/><Relationship Id="rId34" Type="http://schemas.openxmlformats.org/officeDocument/2006/relationships/oleObject" Target="embeddings/oleObject8.bin"/><Relationship Id="rId33" Type="http://schemas.openxmlformats.org/officeDocument/2006/relationships/image" Target="media/image11.emf"/><Relationship Id="rId32" Type="http://schemas.openxmlformats.org/officeDocument/2006/relationships/oleObject" Target="embeddings/oleObject7.bin"/><Relationship Id="rId31" Type="http://schemas.openxmlformats.org/officeDocument/2006/relationships/image" Target="media/image10.emf"/><Relationship Id="rId30" Type="http://schemas.openxmlformats.org/officeDocument/2006/relationships/oleObject" Target="embeddings/oleObject6.bin"/><Relationship Id="rId3" Type="http://schemas.openxmlformats.org/officeDocument/2006/relationships/comments" Target="comments.xml"/><Relationship Id="rId29" Type="http://schemas.openxmlformats.org/officeDocument/2006/relationships/image" Target="media/image9.emf"/><Relationship Id="rId28" Type="http://schemas.openxmlformats.org/officeDocument/2006/relationships/oleObject" Target="embeddings/oleObject5.bin"/><Relationship Id="rId27" Type="http://schemas.openxmlformats.org/officeDocument/2006/relationships/image" Target="media/image8.emf"/><Relationship Id="rId26" Type="http://schemas.openxmlformats.org/officeDocument/2006/relationships/oleObject" Target="embeddings/oleObject4.bin"/><Relationship Id="rId25" Type="http://schemas.openxmlformats.org/officeDocument/2006/relationships/image" Target="media/image7.emf"/><Relationship Id="rId24" Type="http://schemas.openxmlformats.org/officeDocument/2006/relationships/oleObject" Target="embeddings/oleObject3.bin"/><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e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2.emf"/><Relationship Id="rId17" Type="http://schemas.openxmlformats.org/officeDocument/2006/relationships/oleObject" Target="embeddings/oleObject1.bin"/><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4.xml"/><Relationship Id="rId13" Type="http://schemas.openxmlformats.org/officeDocument/2006/relationships/header" Target="header4.xml"/><Relationship Id="rId12" Type="http://schemas.openxmlformats.org/officeDocument/2006/relationships/footer" Target="footer3.xml"/><Relationship Id="rId11" Type="http://schemas.openxmlformats.org/officeDocument/2006/relationships/header" Target="header3.xml"/><Relationship Id="rId10" Type="http://schemas.openxmlformats.org/officeDocument/2006/relationships/footer" Target="footer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charts/_rels/chart1.xml.rels><?xml version="1.0" encoding="UTF-8" standalone="yes"?>
<Relationships xmlns="http://schemas.openxmlformats.org/package/2006/relationships"><Relationship Id="rId4" Type="http://schemas.microsoft.com/office/2011/relationships/chartColorStyle" Target="colors5.xml"/><Relationship Id="rId3" Type="http://schemas.microsoft.com/office/2011/relationships/chartStyle" Target="style5.xml"/><Relationship Id="rId2" Type="http://schemas.openxmlformats.org/officeDocument/2006/relationships/themeOverride" Target="../theme/themeOverride5.xml"/><Relationship Id="rId1" Type="http://schemas.openxmlformats.org/officeDocument/2006/relationships/oleObject" Target="file:///G:\&#29615;&#35780;\1.1&#24352;&#25494;&#24066;&#29976;&#24030;&#21306;\60&#19975;&#21482;&#32905;&#32650;&#31934;&#28145;&#20998;&#21106;&#21450;&#29275;&#32650;&#39044;&#21046;&#21697;&#21152;&#24037;&#39033;&#30446;\&#22320;&#19979;&#27700;&#39044;&#27979;.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6.xml"/><Relationship Id="rId3" Type="http://schemas.microsoft.com/office/2011/relationships/chartStyle" Target="style6.xml"/><Relationship Id="rId2" Type="http://schemas.openxmlformats.org/officeDocument/2006/relationships/themeOverride" Target="../theme/themeOverride6.xml"/><Relationship Id="rId1" Type="http://schemas.openxmlformats.org/officeDocument/2006/relationships/oleObject" Target="file:///G:\&#29615;&#35780;\1.1&#24352;&#25494;&#24066;&#29976;&#24030;&#21306;\60&#19975;&#21482;&#32905;&#32650;&#31934;&#28145;&#20998;&#21106;&#21450;&#29275;&#32650;&#39044;&#21046;&#21697;&#21152;&#24037;&#39033;&#30446;\&#22320;&#19979;&#27700;&#39044;&#27979;.xlsx"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2.xml"/><Relationship Id="rId1" Type="http://schemas.openxmlformats.org/officeDocument/2006/relationships/oleObject" Target="file:///G:\&#29615;&#35780;\1.1&#24352;&#25494;&#24066;&#29976;&#24030;&#21306;\60&#19975;&#21482;&#32905;&#32650;&#31934;&#28145;&#20998;&#21106;&#21450;&#29275;&#32650;&#39044;&#21046;&#21697;&#21152;&#24037;&#39033;&#30446;\&#22320;&#19979;&#27700;&#39044;&#27979;.xlsx"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file:///G:\&#29615;&#35780;\1.1&#24352;&#25494;&#24066;&#29976;&#24030;&#21306;\60&#19975;&#21482;&#32905;&#32650;&#31934;&#28145;&#20998;&#21106;&#21450;&#29275;&#32650;&#39044;&#21046;&#21697;&#21152;&#24037;&#39033;&#30446;\&#22320;&#19979;&#27700;&#39044;&#27979;.xlsx" TargetMode="External"/></Relationships>
</file>

<file path=word/charts/_rels/chart5.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3.xml"/><Relationship Id="rId1" Type="http://schemas.openxmlformats.org/officeDocument/2006/relationships/oleObject" Target="file:///G:\&#29615;&#35780;\1.1&#24352;&#25494;&#24066;&#29976;&#24030;&#21306;\60&#19975;&#21482;&#32905;&#32650;&#31934;&#28145;&#20998;&#21106;&#21450;&#29275;&#32650;&#39044;&#21046;&#21697;&#21152;&#24037;&#39033;&#30446;\&#22320;&#19979;&#27700;&#39044;&#27979;.xlsx" TargetMode="External"/></Relationships>
</file>

<file path=word/charts/_rels/chart6.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4.xml"/><Relationship Id="rId1" Type="http://schemas.openxmlformats.org/officeDocument/2006/relationships/oleObject" Target="file:///G:\&#29615;&#35780;\1.1&#24352;&#25494;&#24066;&#29976;&#24030;&#21306;\60&#19975;&#21482;&#32905;&#32650;&#31934;&#28145;&#20998;&#21106;&#21450;&#29275;&#32650;&#39044;&#21046;&#21697;&#21152;&#24037;&#39033;&#30446;\&#22320;&#19979;&#27700;&#39044;&#2797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rPr lang="zh-CN" altLang="en-US"/>
              <a:t>氨氮泄漏</a:t>
            </a:r>
            <a:r>
              <a:rPr lang="en-US" altLang="zh-CN"/>
              <a:t>100d</a:t>
            </a:r>
            <a:r>
              <a:rPr lang="zh-CN" altLang="en-US"/>
              <a:t>预测结果图</a:t>
            </a:r>
            <a:endParaRPr lang="zh-CN" altLang="en-US"/>
          </a:p>
        </c:rich>
      </c:tx>
      <c:layout/>
      <c:overlay val="0"/>
      <c:spPr>
        <a:noFill/>
        <a:ln>
          <a:noFill/>
        </a:ln>
        <a:effectLst/>
      </c:spPr>
    </c:title>
    <c:autoTitleDeleted val="0"/>
    <c:plotArea>
      <c:layout>
        <c:manualLayout>
          <c:layoutTarget val="inner"/>
          <c:xMode val="edge"/>
          <c:yMode val="edge"/>
          <c:x val="0.0874836686699765"/>
          <c:y val="0.258855885588559"/>
          <c:w val="0.85738176117063"/>
          <c:h val="0.608338833883388"/>
        </c:manualLayout>
      </c:layout>
      <c:lineChart>
        <c:grouping val="standard"/>
        <c:varyColors val="0"/>
        <c:ser>
          <c:idx val="0"/>
          <c:order val="0"/>
          <c:spPr>
            <a:ln w="28575" cap="rnd">
              <a:solidFill>
                <a:srgbClr val="365B7C"/>
              </a:solidFill>
              <a:round/>
            </a:ln>
            <a:effectLst/>
          </c:spPr>
          <c:marker>
            <c:symbol val="none"/>
          </c:marker>
          <c:dLbls>
            <c:delete val="1"/>
          </c:dLbls>
          <c:cat>
            <c:strRef>
              <c:f>[地下水预测.xlsx]Sheet1!$D$8:$D$23</c:f>
              <c:strCache>
                <c:ptCount val="16"/>
                <c:pt idx="0">
                  <c:v>0m</c:v>
                </c:pt>
                <c:pt idx="1">
                  <c:v>10m</c:v>
                </c:pt>
                <c:pt idx="2">
                  <c:v>20m</c:v>
                </c:pt>
                <c:pt idx="3">
                  <c:v>30m</c:v>
                </c:pt>
                <c:pt idx="4">
                  <c:v>40m</c:v>
                </c:pt>
                <c:pt idx="5">
                  <c:v>50m</c:v>
                </c:pt>
                <c:pt idx="6">
                  <c:v>60m</c:v>
                </c:pt>
                <c:pt idx="7">
                  <c:v>70m</c:v>
                </c:pt>
                <c:pt idx="8">
                  <c:v>80m</c:v>
                </c:pt>
                <c:pt idx="9">
                  <c:v>90m</c:v>
                </c:pt>
                <c:pt idx="10">
                  <c:v>100m</c:v>
                </c:pt>
                <c:pt idx="11">
                  <c:v>110m</c:v>
                </c:pt>
                <c:pt idx="12">
                  <c:v>120m</c:v>
                </c:pt>
                <c:pt idx="13">
                  <c:v>130m</c:v>
                </c:pt>
                <c:pt idx="14">
                  <c:v>140m</c:v>
                </c:pt>
                <c:pt idx="15">
                  <c:v>150m</c:v>
                </c:pt>
              </c:strCache>
            </c:strRef>
          </c:cat>
          <c:val>
            <c:numRef>
              <c:f>[地下水预测.xlsx]Sheet1!$E$8:$E$23</c:f>
              <c:numCache>
                <c:formatCode>0.00E+00</c:formatCode>
                <c:ptCount val="16"/>
                <c:pt idx="0">
                  <c:v>0.00805</c:v>
                </c:pt>
                <c:pt idx="1">
                  <c:v>4.17</c:v>
                </c:pt>
                <c:pt idx="2">
                  <c:v>177</c:v>
                </c:pt>
                <c:pt idx="3">
                  <c:v>619</c:v>
                </c:pt>
                <c:pt idx="4">
                  <c:v>177</c:v>
                </c:pt>
                <c:pt idx="5">
                  <c:v>4.17</c:v>
                </c:pt>
                <c:pt idx="6">
                  <c:v>0.00805</c:v>
                </c:pt>
                <c:pt idx="7">
                  <c:v>1.28e-6</c:v>
                </c:pt>
                <c:pt idx="8">
                  <c:v>1.66e-11</c:v>
                </c:pt>
                <c:pt idx="9">
                  <c:v>1.77e-17</c:v>
                </c:pt>
                <c:pt idx="10">
                  <c:v>1.55e-24</c:v>
                </c:pt>
                <c:pt idx="11">
                  <c:v>1.12e-32</c:v>
                </c:pt>
                <c:pt idx="12">
                  <c:v>6.59e-42</c:v>
                </c:pt>
                <c:pt idx="13">
                  <c:v>0</c:v>
                </c:pt>
                <c:pt idx="14">
                  <c:v>0</c:v>
                </c:pt>
                <c:pt idx="15">
                  <c:v>0</c:v>
                </c:pt>
              </c:numCache>
            </c:numRef>
          </c:val>
          <c:smooth val="1"/>
        </c:ser>
        <c:dLbls>
          <c:showLegendKey val="0"/>
          <c:showVal val="0"/>
          <c:showCatName val="0"/>
          <c:showSerName val="0"/>
          <c:showPercent val="0"/>
          <c:showBubbleSize val="0"/>
        </c:dLbls>
        <c:marker val="0"/>
        <c:smooth val="1"/>
        <c:axId val="407032560"/>
        <c:axId val="407032952"/>
      </c:lineChart>
      <c:catAx>
        <c:axId val="407032560"/>
        <c:scaling>
          <c:orientation val="minMax"/>
        </c:scaling>
        <c:delete val="0"/>
        <c:axPos val="b"/>
        <c:majorGridlines>
          <c:spPr>
            <a:ln w="9525" cap="flat" cmpd="sng" algn="ctr">
              <a:solidFill>
                <a:schemeClr val="tx1">
                  <a:lumMod val="15000"/>
                  <a:lumOff val="85000"/>
                  <a:alpha val="69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07032952"/>
        <c:crosses val="autoZero"/>
        <c:auto val="1"/>
        <c:lblAlgn val="ctr"/>
        <c:lblOffset val="100"/>
        <c:noMultiLvlLbl val="0"/>
      </c:catAx>
      <c:valAx>
        <c:axId val="407032952"/>
        <c:scaling>
          <c:orientation val="minMax"/>
        </c:scaling>
        <c:delete val="0"/>
        <c:axPos val="l"/>
        <c:majorGridlines>
          <c:spPr>
            <a:ln w="9525" cap="flat" cmpd="sng" algn="ctr">
              <a:solidFill>
                <a:schemeClr val="tx1">
                  <a:lumMod val="15000"/>
                  <a:lumOff val="85000"/>
                  <a:alpha val="69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070325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rPr lang="zh-CN" altLang="en-US"/>
              <a:t>氨氮泄漏</a:t>
            </a:r>
            <a:r>
              <a:rPr lang="en-US" altLang="zh-CN"/>
              <a:t>365d</a:t>
            </a:r>
            <a:r>
              <a:rPr lang="zh-CN" altLang="en-US"/>
              <a:t>预测结果图</a:t>
            </a:r>
            <a:endParaRPr lang="zh-CN" altLang="en-US"/>
          </a:p>
        </c:rich>
      </c:tx>
      <c:layout/>
      <c:overlay val="0"/>
      <c:spPr>
        <a:noFill/>
        <a:ln>
          <a:noFill/>
        </a:ln>
        <a:effectLst/>
      </c:spPr>
    </c:title>
    <c:autoTitleDeleted val="0"/>
    <c:plotArea>
      <c:layout>
        <c:manualLayout>
          <c:layoutTarget val="inner"/>
          <c:xMode val="edge"/>
          <c:yMode val="edge"/>
          <c:x val="0.0874836686699765"/>
          <c:y val="0.258855885588559"/>
          <c:w val="0.85738176117063"/>
          <c:h val="0.608338833883388"/>
        </c:manualLayout>
      </c:layout>
      <c:lineChart>
        <c:grouping val="standard"/>
        <c:varyColors val="0"/>
        <c:ser>
          <c:idx val="0"/>
          <c:order val="0"/>
          <c:spPr>
            <a:ln w="28575" cap="rnd">
              <a:solidFill>
                <a:srgbClr val="365B7C"/>
              </a:solidFill>
              <a:round/>
            </a:ln>
            <a:effectLst/>
          </c:spPr>
          <c:marker>
            <c:symbol val="none"/>
          </c:marker>
          <c:dLbls>
            <c:delete val="1"/>
          </c:dLbls>
          <c:cat>
            <c:strRef>
              <c:f>[地下水预测.xlsx]Sheet1!$H$8:$H$21</c:f>
              <c:strCache>
                <c:ptCount val="14"/>
                <c:pt idx="0">
                  <c:v>0m</c:v>
                </c:pt>
                <c:pt idx="1">
                  <c:v>30m</c:v>
                </c:pt>
                <c:pt idx="2">
                  <c:v>60m</c:v>
                </c:pt>
                <c:pt idx="3">
                  <c:v>90m</c:v>
                </c:pt>
                <c:pt idx="4">
                  <c:v>120m</c:v>
                </c:pt>
                <c:pt idx="5">
                  <c:v>150m</c:v>
                </c:pt>
                <c:pt idx="6">
                  <c:v>180m</c:v>
                </c:pt>
                <c:pt idx="7">
                  <c:v>210m</c:v>
                </c:pt>
                <c:pt idx="8">
                  <c:v>240m</c:v>
                </c:pt>
                <c:pt idx="9">
                  <c:v>270m</c:v>
                </c:pt>
                <c:pt idx="10">
                  <c:v>300m</c:v>
                </c:pt>
                <c:pt idx="11">
                  <c:v>330m</c:v>
                </c:pt>
                <c:pt idx="12">
                  <c:v>360m</c:v>
                </c:pt>
                <c:pt idx="13">
                  <c:v>390m</c:v>
                </c:pt>
              </c:strCache>
            </c:strRef>
          </c:cat>
          <c:val>
            <c:numRef>
              <c:f>[地下水预测.xlsx]Sheet1!$I$8:$I$21</c:f>
              <c:numCache>
                <c:formatCode>0.00E+00</c:formatCode>
                <c:ptCount val="14"/>
                <c:pt idx="0">
                  <c:v>4.76e-16</c:v>
                </c:pt>
                <c:pt idx="1">
                  <c:v>1.29e-7</c:v>
                </c:pt>
                <c:pt idx="2">
                  <c:v>0.0735</c:v>
                </c:pt>
                <c:pt idx="3">
                  <c:v>88.1</c:v>
                </c:pt>
                <c:pt idx="4">
                  <c:v>222</c:v>
                </c:pt>
                <c:pt idx="5">
                  <c:v>1.18</c:v>
                </c:pt>
                <c:pt idx="6">
                  <c:v>1.31e-5</c:v>
                </c:pt>
                <c:pt idx="7">
                  <c:v>3.08e-13</c:v>
                </c:pt>
                <c:pt idx="8">
                  <c:v>1.52e-23</c:v>
                </c:pt>
                <c:pt idx="9">
                  <c:v>1.57e-36</c:v>
                </c:pt>
                <c:pt idx="10">
                  <c:v>0</c:v>
                </c:pt>
                <c:pt idx="11">
                  <c:v>0</c:v>
                </c:pt>
                <c:pt idx="12">
                  <c:v>0</c:v>
                </c:pt>
                <c:pt idx="13">
                  <c:v>0</c:v>
                </c:pt>
              </c:numCache>
            </c:numRef>
          </c:val>
          <c:smooth val="1"/>
        </c:ser>
        <c:dLbls>
          <c:showLegendKey val="0"/>
          <c:showVal val="0"/>
          <c:showCatName val="0"/>
          <c:showSerName val="0"/>
          <c:showPercent val="0"/>
          <c:showBubbleSize val="0"/>
        </c:dLbls>
        <c:marker val="0"/>
        <c:smooth val="1"/>
        <c:axId val="564222136"/>
        <c:axId val="564220176"/>
      </c:lineChart>
      <c:catAx>
        <c:axId val="564222136"/>
        <c:scaling>
          <c:orientation val="minMax"/>
        </c:scaling>
        <c:delete val="0"/>
        <c:axPos val="b"/>
        <c:majorGridlines>
          <c:spPr>
            <a:ln w="9525" cap="flat" cmpd="sng" algn="ctr">
              <a:solidFill>
                <a:schemeClr val="tx1">
                  <a:lumMod val="15000"/>
                  <a:lumOff val="85000"/>
                  <a:alpha val="69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564220176"/>
        <c:crosses val="autoZero"/>
        <c:auto val="1"/>
        <c:lblAlgn val="ctr"/>
        <c:lblOffset val="100"/>
        <c:noMultiLvlLbl val="0"/>
      </c:catAx>
      <c:valAx>
        <c:axId val="564220176"/>
        <c:scaling>
          <c:orientation val="minMax"/>
        </c:scaling>
        <c:delete val="0"/>
        <c:axPos val="l"/>
        <c:majorGridlines>
          <c:spPr>
            <a:ln w="9525" cap="flat" cmpd="sng" algn="ctr">
              <a:solidFill>
                <a:schemeClr val="tx1">
                  <a:lumMod val="15000"/>
                  <a:lumOff val="85000"/>
                  <a:alpha val="69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5642221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rPr lang="zh-CN" altLang="en-US"/>
              <a:t>氨氮泄漏</a:t>
            </a:r>
            <a:r>
              <a:rPr lang="en-US" altLang="zh-CN"/>
              <a:t>1000d</a:t>
            </a:r>
            <a:r>
              <a:rPr lang="zh-CN" altLang="en-US"/>
              <a:t>预测结果图</a:t>
            </a:r>
            <a:endParaRPr lang="zh-CN" altLang="en-US"/>
          </a:p>
        </c:rich>
      </c:tx>
      <c:layout/>
      <c:overlay val="0"/>
      <c:spPr>
        <a:noFill/>
        <a:ln>
          <a:noFill/>
        </a:ln>
        <a:effectLst/>
      </c:spPr>
    </c:title>
    <c:autoTitleDeleted val="0"/>
    <c:plotArea>
      <c:layout>
        <c:manualLayout>
          <c:layoutTarget val="inner"/>
          <c:xMode val="edge"/>
          <c:yMode val="edge"/>
          <c:x val="0.0874836686699765"/>
          <c:y val="0.258855885588559"/>
          <c:w val="0.85738176117063"/>
          <c:h val="0.608338833883388"/>
        </c:manualLayout>
      </c:layout>
      <c:lineChart>
        <c:grouping val="standard"/>
        <c:varyColors val="0"/>
        <c:ser>
          <c:idx val="0"/>
          <c:order val="0"/>
          <c:spPr>
            <a:ln w="28575" cap="rnd">
              <a:solidFill>
                <a:srgbClr val="365B7C"/>
              </a:solidFill>
              <a:round/>
            </a:ln>
            <a:effectLst/>
          </c:spPr>
          <c:marker>
            <c:symbol val="none"/>
          </c:marker>
          <c:dLbls>
            <c:delete val="1"/>
          </c:dLbls>
          <c:cat>
            <c:strRef>
              <c:f>[地下水预测.xlsx]Sheet1!$L$8:$L$24</c:f>
              <c:strCache>
                <c:ptCount val="17"/>
                <c:pt idx="0">
                  <c:v>0m</c:v>
                </c:pt>
                <c:pt idx="1">
                  <c:v>50m</c:v>
                </c:pt>
                <c:pt idx="2">
                  <c:v>100m</c:v>
                </c:pt>
                <c:pt idx="3">
                  <c:v>150m</c:v>
                </c:pt>
                <c:pt idx="4">
                  <c:v>200m</c:v>
                </c:pt>
                <c:pt idx="5">
                  <c:v>250m</c:v>
                </c:pt>
                <c:pt idx="6">
                  <c:v>300m</c:v>
                </c:pt>
                <c:pt idx="7">
                  <c:v>350m</c:v>
                </c:pt>
                <c:pt idx="8">
                  <c:v>400m</c:v>
                </c:pt>
                <c:pt idx="9">
                  <c:v>450m</c:v>
                </c:pt>
                <c:pt idx="10">
                  <c:v>500m</c:v>
                </c:pt>
                <c:pt idx="11">
                  <c:v>550m</c:v>
                </c:pt>
                <c:pt idx="12">
                  <c:v>600m</c:v>
                </c:pt>
                <c:pt idx="13">
                  <c:v>650m</c:v>
                </c:pt>
                <c:pt idx="14">
                  <c:v>700m</c:v>
                </c:pt>
                <c:pt idx="15">
                  <c:v>750m</c:v>
                </c:pt>
                <c:pt idx="16">
                  <c:v>800m</c:v>
                </c:pt>
              </c:strCache>
            </c:strRef>
          </c:cat>
          <c:val>
            <c:numRef>
              <c:f>[地下水预测.xlsx]Sheet1!$M$8:$M$24</c:f>
              <c:numCache>
                <c:formatCode>0.00E+00</c:formatCode>
                <c:ptCount val="17"/>
                <c:pt idx="0">
                  <c:v>0</c:v>
                </c:pt>
                <c:pt idx="1">
                  <c:v>2.3e-32</c:v>
                </c:pt>
                <c:pt idx="2">
                  <c:v>3.77e-20</c:v>
                </c:pt>
                <c:pt idx="3">
                  <c:v>1.19e-10</c:v>
                </c:pt>
                <c:pt idx="4">
                  <c:v>0.000729</c:v>
                </c:pt>
                <c:pt idx="5">
                  <c:v>8.6</c:v>
                </c:pt>
                <c:pt idx="6">
                  <c:v>196</c:v>
                </c:pt>
                <c:pt idx="7">
                  <c:v>8.6</c:v>
                </c:pt>
                <c:pt idx="8">
                  <c:v>0.000729</c:v>
                </c:pt>
                <c:pt idx="9">
                  <c:v>1.19e-10</c:v>
                </c:pt>
                <c:pt idx="10">
                  <c:v>3.77e-20</c:v>
                </c:pt>
                <c:pt idx="11">
                  <c:v>2.3e-32</c:v>
                </c:pt>
                <c:pt idx="12">
                  <c:v>0</c:v>
                </c:pt>
                <c:pt idx="13">
                  <c:v>0</c:v>
                </c:pt>
                <c:pt idx="14">
                  <c:v>0</c:v>
                </c:pt>
                <c:pt idx="15">
                  <c:v>0</c:v>
                </c:pt>
                <c:pt idx="16">
                  <c:v>0</c:v>
                </c:pt>
              </c:numCache>
            </c:numRef>
          </c:val>
          <c:smooth val="1"/>
        </c:ser>
        <c:dLbls>
          <c:showLegendKey val="0"/>
          <c:showVal val="0"/>
          <c:showCatName val="0"/>
          <c:showSerName val="0"/>
          <c:showPercent val="0"/>
          <c:showBubbleSize val="0"/>
        </c:dLbls>
        <c:marker val="0"/>
        <c:smooth val="1"/>
        <c:axId val="564222528"/>
        <c:axId val="564218608"/>
      </c:lineChart>
      <c:catAx>
        <c:axId val="564222528"/>
        <c:scaling>
          <c:orientation val="minMax"/>
        </c:scaling>
        <c:delete val="0"/>
        <c:axPos val="b"/>
        <c:majorGridlines>
          <c:spPr>
            <a:ln w="9525" cap="flat" cmpd="sng" algn="ctr">
              <a:solidFill>
                <a:schemeClr val="tx1">
                  <a:lumMod val="15000"/>
                  <a:lumOff val="85000"/>
                  <a:alpha val="69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564218608"/>
        <c:crosses val="autoZero"/>
        <c:auto val="1"/>
        <c:lblAlgn val="ctr"/>
        <c:lblOffset val="100"/>
        <c:noMultiLvlLbl val="0"/>
      </c:catAx>
      <c:valAx>
        <c:axId val="564218608"/>
        <c:scaling>
          <c:orientation val="minMax"/>
        </c:scaling>
        <c:delete val="0"/>
        <c:axPos val="l"/>
        <c:majorGridlines>
          <c:spPr>
            <a:ln w="9525" cap="flat" cmpd="sng" algn="ctr">
              <a:solidFill>
                <a:schemeClr val="tx1">
                  <a:lumMod val="15000"/>
                  <a:lumOff val="85000"/>
                  <a:alpha val="69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5642225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rPr lang="en-US" altLang="zh-CN"/>
              <a:t>CODcr</a:t>
            </a:r>
            <a:r>
              <a:rPr lang="zh-CN" altLang="en-US"/>
              <a:t>泄漏</a:t>
            </a:r>
            <a:r>
              <a:rPr lang="en-US" altLang="zh-CN"/>
              <a:t>100d</a:t>
            </a:r>
            <a:r>
              <a:rPr lang="zh-CN" altLang="en-US"/>
              <a:t>预测结果图</a:t>
            </a:r>
            <a:endParaRPr lang="zh-CN" altLang="en-US"/>
          </a:p>
        </c:rich>
      </c:tx>
      <c:layout/>
      <c:overlay val="0"/>
      <c:spPr>
        <a:noFill/>
        <a:ln>
          <a:noFill/>
        </a:ln>
        <a:effectLst/>
      </c:spPr>
    </c:title>
    <c:autoTitleDeleted val="0"/>
    <c:plotArea>
      <c:layout>
        <c:manualLayout>
          <c:layoutTarget val="inner"/>
          <c:xMode val="edge"/>
          <c:yMode val="edge"/>
          <c:x val="0.0874836686699765"/>
          <c:y val="0.258855885588559"/>
          <c:w val="0.85738176117063"/>
          <c:h val="0.608338833883388"/>
        </c:manualLayout>
      </c:layout>
      <c:lineChart>
        <c:grouping val="standard"/>
        <c:varyColors val="0"/>
        <c:ser>
          <c:idx val="0"/>
          <c:order val="0"/>
          <c:spPr>
            <a:ln w="28575" cap="rnd">
              <a:solidFill>
                <a:srgbClr val="365B7C"/>
              </a:solidFill>
              <a:round/>
            </a:ln>
            <a:effectLst/>
          </c:spPr>
          <c:marker>
            <c:symbol val="none"/>
          </c:marker>
          <c:dLbls>
            <c:delete val="1"/>
          </c:dLbls>
          <c:cat>
            <c:strRef>
              <c:f>[地下水预测.xlsx]Sheet1!$D$8:$D$23</c:f>
              <c:strCache>
                <c:ptCount val="16"/>
                <c:pt idx="0">
                  <c:v>0m</c:v>
                </c:pt>
                <c:pt idx="1">
                  <c:v>10m</c:v>
                </c:pt>
                <c:pt idx="2">
                  <c:v>20m</c:v>
                </c:pt>
                <c:pt idx="3">
                  <c:v>30m</c:v>
                </c:pt>
                <c:pt idx="4">
                  <c:v>40m</c:v>
                </c:pt>
                <c:pt idx="5">
                  <c:v>50m</c:v>
                </c:pt>
                <c:pt idx="6">
                  <c:v>60m</c:v>
                </c:pt>
                <c:pt idx="7">
                  <c:v>70m</c:v>
                </c:pt>
                <c:pt idx="8">
                  <c:v>80m</c:v>
                </c:pt>
                <c:pt idx="9">
                  <c:v>90m</c:v>
                </c:pt>
                <c:pt idx="10">
                  <c:v>100m</c:v>
                </c:pt>
                <c:pt idx="11">
                  <c:v>110m</c:v>
                </c:pt>
                <c:pt idx="12">
                  <c:v>120m</c:v>
                </c:pt>
                <c:pt idx="13">
                  <c:v>130m</c:v>
                </c:pt>
                <c:pt idx="14">
                  <c:v>140m</c:v>
                </c:pt>
                <c:pt idx="15">
                  <c:v>150m</c:v>
                </c:pt>
              </c:strCache>
            </c:strRef>
          </c:cat>
          <c:val>
            <c:numRef>
              <c:f>[地下水预测.xlsx]Sheet1!$E$8:$E$23</c:f>
              <c:numCache>
                <c:formatCode>0.00E+00</c:formatCode>
                <c:ptCount val="16"/>
                <c:pt idx="0">
                  <c:v>0.13</c:v>
                </c:pt>
                <c:pt idx="1">
                  <c:v>67.5</c:v>
                </c:pt>
                <c:pt idx="2">
                  <c:v>2870</c:v>
                </c:pt>
                <c:pt idx="3">
                  <c:v>10000</c:v>
                </c:pt>
                <c:pt idx="4">
                  <c:v>2870</c:v>
                </c:pt>
                <c:pt idx="5">
                  <c:v>67.5</c:v>
                </c:pt>
                <c:pt idx="6">
                  <c:v>0.13</c:v>
                </c:pt>
                <c:pt idx="7">
                  <c:v>2.06e-5</c:v>
                </c:pt>
                <c:pt idx="8">
                  <c:v>2.68e-10</c:v>
                </c:pt>
                <c:pt idx="9">
                  <c:v>2.87e-16</c:v>
                </c:pt>
                <c:pt idx="10">
                  <c:v>2.51e-23</c:v>
                </c:pt>
                <c:pt idx="11">
                  <c:v>1.81e-31</c:v>
                </c:pt>
                <c:pt idx="12">
                  <c:v>1.07e-40</c:v>
                </c:pt>
                <c:pt idx="13">
                  <c:v>0</c:v>
                </c:pt>
                <c:pt idx="14">
                  <c:v>0</c:v>
                </c:pt>
                <c:pt idx="15">
                  <c:v>0</c:v>
                </c:pt>
              </c:numCache>
            </c:numRef>
          </c:val>
          <c:smooth val="1"/>
        </c:ser>
        <c:dLbls>
          <c:showLegendKey val="0"/>
          <c:showVal val="0"/>
          <c:showCatName val="0"/>
          <c:showSerName val="0"/>
          <c:showPercent val="0"/>
          <c:showBubbleSize val="0"/>
        </c:dLbls>
        <c:marker val="0"/>
        <c:smooth val="1"/>
        <c:axId val="564223312"/>
        <c:axId val="564217432"/>
      </c:lineChart>
      <c:catAx>
        <c:axId val="564223312"/>
        <c:scaling>
          <c:orientation val="minMax"/>
        </c:scaling>
        <c:delete val="0"/>
        <c:axPos val="b"/>
        <c:majorGridlines>
          <c:spPr>
            <a:ln w="9525" cap="flat" cmpd="sng" algn="ctr">
              <a:solidFill>
                <a:schemeClr val="tx1">
                  <a:lumMod val="15000"/>
                  <a:lumOff val="85000"/>
                  <a:alpha val="69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564217432"/>
        <c:crosses val="autoZero"/>
        <c:auto val="1"/>
        <c:lblAlgn val="ctr"/>
        <c:lblOffset val="100"/>
        <c:noMultiLvlLbl val="0"/>
      </c:catAx>
      <c:valAx>
        <c:axId val="564217432"/>
        <c:scaling>
          <c:orientation val="minMax"/>
        </c:scaling>
        <c:delete val="0"/>
        <c:axPos val="l"/>
        <c:majorGridlines>
          <c:spPr>
            <a:ln w="9525" cap="flat" cmpd="sng" algn="ctr">
              <a:solidFill>
                <a:schemeClr val="tx1">
                  <a:lumMod val="15000"/>
                  <a:lumOff val="85000"/>
                  <a:alpha val="69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5642233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rPr lang="en-US" altLang="zh-CN"/>
              <a:t>CODcr</a:t>
            </a:r>
            <a:r>
              <a:rPr lang="zh-CN" altLang="en-US"/>
              <a:t>泄漏</a:t>
            </a:r>
            <a:r>
              <a:rPr lang="en-US" altLang="zh-CN"/>
              <a:t>365d</a:t>
            </a:r>
            <a:r>
              <a:rPr lang="zh-CN" altLang="en-US"/>
              <a:t>预测结果图</a:t>
            </a:r>
            <a:endParaRPr lang="zh-CN" altLang="en-US"/>
          </a:p>
        </c:rich>
      </c:tx>
      <c:layout/>
      <c:overlay val="0"/>
      <c:spPr>
        <a:noFill/>
        <a:ln>
          <a:noFill/>
        </a:ln>
        <a:effectLst/>
      </c:spPr>
    </c:title>
    <c:autoTitleDeleted val="0"/>
    <c:plotArea>
      <c:layout>
        <c:manualLayout>
          <c:layoutTarget val="inner"/>
          <c:xMode val="edge"/>
          <c:yMode val="edge"/>
          <c:x val="0.0874836686699765"/>
          <c:y val="0.258855885588559"/>
          <c:w val="0.85738176117063"/>
          <c:h val="0.608338833883388"/>
        </c:manualLayout>
      </c:layout>
      <c:lineChart>
        <c:grouping val="standard"/>
        <c:varyColors val="0"/>
        <c:ser>
          <c:idx val="0"/>
          <c:order val="0"/>
          <c:spPr>
            <a:ln w="28575" cap="rnd">
              <a:solidFill>
                <a:srgbClr val="365B7C"/>
              </a:solidFill>
              <a:round/>
            </a:ln>
            <a:effectLst/>
          </c:spPr>
          <c:marker>
            <c:symbol val="none"/>
          </c:marker>
          <c:dLbls>
            <c:delete val="1"/>
          </c:dLbls>
          <c:cat>
            <c:strRef>
              <c:f>[地下水预测.xlsx]Sheet1!$H$8:$H$21</c:f>
              <c:strCache>
                <c:ptCount val="14"/>
                <c:pt idx="0">
                  <c:v>0m</c:v>
                </c:pt>
                <c:pt idx="1">
                  <c:v>30m</c:v>
                </c:pt>
                <c:pt idx="2">
                  <c:v>60m</c:v>
                </c:pt>
                <c:pt idx="3">
                  <c:v>90m</c:v>
                </c:pt>
                <c:pt idx="4">
                  <c:v>120m</c:v>
                </c:pt>
                <c:pt idx="5">
                  <c:v>150m</c:v>
                </c:pt>
                <c:pt idx="6">
                  <c:v>180m</c:v>
                </c:pt>
                <c:pt idx="7">
                  <c:v>210m</c:v>
                </c:pt>
                <c:pt idx="8">
                  <c:v>240m</c:v>
                </c:pt>
                <c:pt idx="9">
                  <c:v>270m</c:v>
                </c:pt>
                <c:pt idx="10">
                  <c:v>300m</c:v>
                </c:pt>
                <c:pt idx="11">
                  <c:v>330m</c:v>
                </c:pt>
                <c:pt idx="12">
                  <c:v>360m</c:v>
                </c:pt>
                <c:pt idx="13">
                  <c:v>390m</c:v>
                </c:pt>
              </c:strCache>
            </c:strRef>
          </c:cat>
          <c:val>
            <c:numRef>
              <c:f>[地下水预测.xlsx]Sheet1!$I$8:$I$21</c:f>
              <c:numCache>
                <c:formatCode>0.00E+00</c:formatCode>
                <c:ptCount val="14"/>
                <c:pt idx="0">
                  <c:v>7.7e-15</c:v>
                </c:pt>
                <c:pt idx="1">
                  <c:v>2.09e-6</c:v>
                </c:pt>
                <c:pt idx="2">
                  <c:v>1.19</c:v>
                </c:pt>
                <c:pt idx="3">
                  <c:v>1430</c:v>
                </c:pt>
                <c:pt idx="4">
                  <c:v>3590</c:v>
                </c:pt>
                <c:pt idx="5">
                  <c:v>19.1</c:v>
                </c:pt>
                <c:pt idx="6">
                  <c:v>0.000212</c:v>
                </c:pt>
                <c:pt idx="7">
                  <c:v>4.98e-12</c:v>
                </c:pt>
                <c:pt idx="8">
                  <c:v>2.46e-22</c:v>
                </c:pt>
                <c:pt idx="9">
                  <c:v>2.55e-35</c:v>
                </c:pt>
                <c:pt idx="10">
                  <c:v>0</c:v>
                </c:pt>
                <c:pt idx="11">
                  <c:v>0</c:v>
                </c:pt>
                <c:pt idx="12">
                  <c:v>0</c:v>
                </c:pt>
                <c:pt idx="13">
                  <c:v>0</c:v>
                </c:pt>
              </c:numCache>
            </c:numRef>
          </c:val>
          <c:smooth val="1"/>
        </c:ser>
        <c:dLbls>
          <c:showLegendKey val="0"/>
          <c:showVal val="0"/>
          <c:showCatName val="0"/>
          <c:showSerName val="0"/>
          <c:showPercent val="0"/>
          <c:showBubbleSize val="0"/>
        </c:dLbls>
        <c:marker val="0"/>
        <c:smooth val="1"/>
        <c:axId val="403901000"/>
        <c:axId val="403898648"/>
      </c:lineChart>
      <c:catAx>
        <c:axId val="403901000"/>
        <c:scaling>
          <c:orientation val="minMax"/>
        </c:scaling>
        <c:delete val="0"/>
        <c:axPos val="b"/>
        <c:majorGridlines>
          <c:spPr>
            <a:ln w="9525" cap="flat" cmpd="sng" algn="ctr">
              <a:solidFill>
                <a:schemeClr val="tx1">
                  <a:lumMod val="15000"/>
                  <a:lumOff val="85000"/>
                  <a:alpha val="69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03898648"/>
        <c:crosses val="autoZero"/>
        <c:auto val="1"/>
        <c:lblAlgn val="ctr"/>
        <c:lblOffset val="100"/>
        <c:noMultiLvlLbl val="0"/>
      </c:catAx>
      <c:valAx>
        <c:axId val="403898648"/>
        <c:scaling>
          <c:orientation val="minMax"/>
        </c:scaling>
        <c:delete val="0"/>
        <c:axPos val="l"/>
        <c:majorGridlines>
          <c:spPr>
            <a:ln w="9525" cap="flat" cmpd="sng" algn="ctr">
              <a:solidFill>
                <a:schemeClr val="tx1">
                  <a:lumMod val="15000"/>
                  <a:lumOff val="85000"/>
                  <a:alpha val="69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039010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forceAA="0"/>
          <a:lstStyle/>
          <a:p>
            <a:pPr>
              <a:defRPr lang="zh-CN" sz="1400" b="0" i="0" u="none" strike="noStrike" kern="1200" spc="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r>
              <a:rPr lang="en-US" altLang="zh-CN"/>
              <a:t>CODcr</a:t>
            </a:r>
            <a:r>
              <a:rPr lang="zh-CN" altLang="en-US"/>
              <a:t>泄漏</a:t>
            </a:r>
            <a:r>
              <a:rPr lang="en-US" altLang="zh-CN"/>
              <a:t>1000d</a:t>
            </a:r>
            <a:r>
              <a:rPr lang="zh-CN" altLang="en-US"/>
              <a:t>预测结果图</a:t>
            </a:r>
            <a:endParaRPr lang="zh-CN" altLang="en-US"/>
          </a:p>
        </c:rich>
      </c:tx>
      <c:layout/>
      <c:overlay val="0"/>
      <c:spPr>
        <a:noFill/>
        <a:ln>
          <a:noFill/>
        </a:ln>
        <a:effectLst/>
      </c:spPr>
    </c:title>
    <c:autoTitleDeleted val="0"/>
    <c:plotArea>
      <c:layout>
        <c:manualLayout>
          <c:layoutTarget val="inner"/>
          <c:xMode val="edge"/>
          <c:yMode val="edge"/>
          <c:x val="0.0874836686699765"/>
          <c:y val="0.258855885588559"/>
          <c:w val="0.85738176117063"/>
          <c:h val="0.608338833883388"/>
        </c:manualLayout>
      </c:layout>
      <c:lineChart>
        <c:grouping val="standard"/>
        <c:varyColors val="0"/>
        <c:ser>
          <c:idx val="0"/>
          <c:order val="0"/>
          <c:spPr>
            <a:ln w="28575" cap="rnd">
              <a:solidFill>
                <a:srgbClr val="365B7C"/>
              </a:solidFill>
              <a:round/>
            </a:ln>
            <a:effectLst/>
          </c:spPr>
          <c:marker>
            <c:symbol val="none"/>
          </c:marker>
          <c:dLbls>
            <c:delete val="1"/>
          </c:dLbls>
          <c:cat>
            <c:strRef>
              <c:f>[地下水预测.xlsx]Sheet1!$L$8:$L$24</c:f>
              <c:strCache>
                <c:ptCount val="17"/>
                <c:pt idx="0">
                  <c:v>0m</c:v>
                </c:pt>
                <c:pt idx="1">
                  <c:v>50m</c:v>
                </c:pt>
                <c:pt idx="2">
                  <c:v>100m</c:v>
                </c:pt>
                <c:pt idx="3">
                  <c:v>150m</c:v>
                </c:pt>
                <c:pt idx="4">
                  <c:v>200m</c:v>
                </c:pt>
                <c:pt idx="5">
                  <c:v>250m</c:v>
                </c:pt>
                <c:pt idx="6">
                  <c:v>300m</c:v>
                </c:pt>
                <c:pt idx="7">
                  <c:v>350m</c:v>
                </c:pt>
                <c:pt idx="8">
                  <c:v>400m</c:v>
                </c:pt>
                <c:pt idx="9">
                  <c:v>450m</c:v>
                </c:pt>
                <c:pt idx="10">
                  <c:v>500m</c:v>
                </c:pt>
                <c:pt idx="11">
                  <c:v>550m</c:v>
                </c:pt>
                <c:pt idx="12">
                  <c:v>600m</c:v>
                </c:pt>
                <c:pt idx="13">
                  <c:v>650m</c:v>
                </c:pt>
                <c:pt idx="14">
                  <c:v>700m</c:v>
                </c:pt>
                <c:pt idx="15">
                  <c:v>750m</c:v>
                </c:pt>
                <c:pt idx="16">
                  <c:v>800m</c:v>
                </c:pt>
              </c:strCache>
            </c:strRef>
          </c:cat>
          <c:val>
            <c:numRef>
              <c:f>[地下水预测.xlsx]Sheet1!$M$8:$M$24</c:f>
              <c:numCache>
                <c:formatCode>0.00E+00</c:formatCode>
                <c:ptCount val="17"/>
                <c:pt idx="0">
                  <c:v>0</c:v>
                </c:pt>
                <c:pt idx="1">
                  <c:v>3.73e-31</c:v>
                </c:pt>
                <c:pt idx="2">
                  <c:v>6.11e-19</c:v>
                </c:pt>
                <c:pt idx="3">
                  <c:v>1.93e-9</c:v>
                </c:pt>
                <c:pt idx="4">
                  <c:v>0.0118</c:v>
                </c:pt>
                <c:pt idx="5">
                  <c:v>139</c:v>
                </c:pt>
                <c:pt idx="6">
                  <c:v>3170</c:v>
                </c:pt>
                <c:pt idx="7">
                  <c:v>139</c:v>
                </c:pt>
                <c:pt idx="8">
                  <c:v>0.0118</c:v>
                </c:pt>
                <c:pt idx="9">
                  <c:v>1.93e-9</c:v>
                </c:pt>
                <c:pt idx="10">
                  <c:v>6.11e-19</c:v>
                </c:pt>
                <c:pt idx="11">
                  <c:v>3.73e-31</c:v>
                </c:pt>
                <c:pt idx="12">
                  <c:v>0</c:v>
                </c:pt>
                <c:pt idx="13">
                  <c:v>0</c:v>
                </c:pt>
                <c:pt idx="14">
                  <c:v>0</c:v>
                </c:pt>
                <c:pt idx="15">
                  <c:v>0</c:v>
                </c:pt>
                <c:pt idx="16">
                  <c:v>0</c:v>
                </c:pt>
              </c:numCache>
            </c:numRef>
          </c:val>
          <c:smooth val="1"/>
        </c:ser>
        <c:dLbls>
          <c:showLegendKey val="0"/>
          <c:showVal val="0"/>
          <c:showCatName val="0"/>
          <c:showSerName val="0"/>
          <c:showPercent val="0"/>
          <c:showBubbleSize val="0"/>
        </c:dLbls>
        <c:marker val="0"/>
        <c:smooth val="1"/>
        <c:axId val="403900216"/>
        <c:axId val="403901784"/>
      </c:lineChart>
      <c:catAx>
        <c:axId val="403900216"/>
        <c:scaling>
          <c:orientation val="minMax"/>
        </c:scaling>
        <c:delete val="0"/>
        <c:axPos val="b"/>
        <c:majorGridlines>
          <c:spPr>
            <a:ln w="9525" cap="flat" cmpd="sng" algn="ctr">
              <a:solidFill>
                <a:schemeClr val="tx1">
                  <a:lumMod val="15000"/>
                  <a:lumOff val="85000"/>
                  <a:alpha val="69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03901784"/>
        <c:crosses val="autoZero"/>
        <c:auto val="1"/>
        <c:lblAlgn val="ctr"/>
        <c:lblOffset val="100"/>
        <c:noMultiLvlLbl val="0"/>
      </c:catAx>
      <c:valAx>
        <c:axId val="403901784"/>
        <c:scaling>
          <c:orientation val="minMax"/>
        </c:scaling>
        <c:delete val="0"/>
        <c:axPos val="l"/>
        <c:majorGridlines>
          <c:spPr>
            <a:ln w="9525" cap="flat" cmpd="sng" algn="ctr">
              <a:solidFill>
                <a:schemeClr val="tx1">
                  <a:lumMod val="15000"/>
                  <a:lumOff val="85000"/>
                  <a:alpha val="69000"/>
                </a:schemeClr>
              </a:solidFill>
              <a:round/>
            </a:ln>
            <a:effectLst/>
          </c:spPr>
        </c:majorGridlines>
        <c:numFmt formatCode="0.00E+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crossAx val="4039002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a:outerShdw blurRad="63500" dist="37357" dir="2700000" sx="0" sy="0" rotWithShape="0">
        <a:scrgbClr r="0" g="0" b="0"/>
      </a:outerShdw>
    </a:effectLst>
  </c:spPr>
  <c:txPr>
    <a:bodyPr/>
    <a:lstStyle/>
    <a:p>
      <a:pPr>
        <a:defRPr lang="zh-CN">
          <a:solidFill>
            <a:schemeClr val="tx1">
              <a:lumMod val="65000"/>
              <a:lumOff val="35000"/>
            </a:schemeClr>
          </a:solidFill>
          <a:latin typeface="微软雅黑" panose="020B0503020204020204" pitchFamily="2" charset="-122"/>
          <a:ea typeface="微软雅黑" panose="020B0503020204020204" pitchFamily="2" charset="-122"/>
          <a:cs typeface="微软雅黑" panose="020B0503020204020204" pitchFamily="2" charset="-122"/>
          <a:sym typeface="微软雅黑" panose="020B0503020204020204" pitchFamily="2"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P R C</Company>
  <Pages>253</Pages>
  <Words>161669</Words>
  <Characters>191476</Characters>
  <Lines>1218</Lines>
  <Paragraphs>343</Paragraphs>
  <TotalTime>1</TotalTime>
  <ScaleCrop>false</ScaleCrop>
  <LinksUpToDate>false</LinksUpToDate>
  <CharactersWithSpaces>192921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2018-11-24T01:47:00Z</dcterms:created>
  <dc:creator>Administrator</dc:creator>
  <cp:lastModifiedBy>i</cp:lastModifiedBy>
  <cp:lastPrinted>2019-02-27T07:00:00Z</cp:lastPrinted>
  <dcterms:modified xsi:type="dcterms:W3CDTF">2023-05-18T03:57:01Z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11A05240109B4BD18CD30388D0C79BB2</vt:lpwstr>
  </property>
</Properties>
</file>